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1A1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42"/>
          <w:szCs w:val="42"/>
        </w:rPr>
      </w:pPr>
      <w:r>
        <w:rPr>
          <w:rFonts w:hint="eastAsia" w:ascii="微软雅黑" w:hAnsi="微软雅黑" w:eastAsia="微软雅黑" w:cs="微软雅黑"/>
          <w:i w:val="0"/>
          <w:iCs w:val="0"/>
          <w:caps w:val="0"/>
          <w:color w:val="C60002"/>
          <w:spacing w:val="0"/>
          <w:sz w:val="42"/>
          <w:szCs w:val="42"/>
          <w:bdr w:val="none" w:color="auto" w:sz="0" w:space="0"/>
        </w:rPr>
        <w:t>关于加强重点行业涉新污染物建设项目环境影响评价工作的意见</w:t>
      </w:r>
    </w:p>
    <w:p w14:paraId="09AE93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各省、自治区、直辖市生态环境厅（局），新疆生产建设兵团生态环境局：</w:t>
      </w:r>
      <w:bookmarkStart w:id="0" w:name="_GoBack"/>
      <w:bookmarkEnd w:id="0"/>
    </w:p>
    <w:p w14:paraId="7BAA63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为贯彻落实《新污染物治理行动方案》相关要求，加强重点行业涉新污染物建设项目环境影响评价管理，提出以下意见。</w:t>
      </w:r>
    </w:p>
    <w:p w14:paraId="42CAC4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一、突出管理重点</w:t>
      </w:r>
    </w:p>
    <w:p w14:paraId="3A5AFC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重点关注重点管控新污染物清单、有毒有害污染物名录、优先控制化学品名录以及《关于持久性有机污染物的斯德哥尔摩公约》（简称《斯德哥尔摩公约》）附件中已发布环境质量标准、污染物排放标准、环境监测方法标准或其他具有污染治理技术的污染物。重点关注石化、涂料、纺织印染、橡胶、农药、医药等重点行业建设项目，在建设项目环评工作中做好上述新污染物识别，涉及上述新污染物的，执行本意见要求；不涉及新污染物的，无需开展相关工作。</w:t>
      </w:r>
    </w:p>
    <w:p w14:paraId="0FD8F4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二、禁止审批不符合新污染物管控要求的建设项目</w:t>
      </w:r>
    </w:p>
    <w:p w14:paraId="3E0FD4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各级环评审批部门在受理和审批建设项目环评文件时，应落实重点管控新污染物清单、产业结构调整指导目录、《斯德哥尔摩公约》、生态环境分区管控方案和项目所在园区规划环评等有关管控要求。对照</w:t>
      </w:r>
      <w:r>
        <w:rPr>
          <w:rFonts w:hint="eastAsia" w:ascii="微软雅黑" w:hAnsi="微软雅黑" w:eastAsia="微软雅黑" w:cs="微软雅黑"/>
          <w:i w:val="0"/>
          <w:iCs w:val="0"/>
          <w:caps w:val="0"/>
          <w:color w:val="0000FF"/>
          <w:spacing w:val="0"/>
          <w:sz w:val="27"/>
          <w:szCs w:val="27"/>
          <w:u w:val="none"/>
          <w:bdr w:val="none" w:color="auto" w:sz="0" w:space="0"/>
        </w:rPr>
        <w:fldChar w:fldCharType="begin"/>
      </w:r>
      <w:r>
        <w:rPr>
          <w:rFonts w:hint="eastAsia" w:ascii="微软雅黑" w:hAnsi="微软雅黑" w:eastAsia="微软雅黑" w:cs="微软雅黑"/>
          <w:i w:val="0"/>
          <w:iCs w:val="0"/>
          <w:caps w:val="0"/>
          <w:color w:val="0000FF"/>
          <w:spacing w:val="0"/>
          <w:sz w:val="27"/>
          <w:szCs w:val="27"/>
          <w:u w:val="none"/>
          <w:bdr w:val="none" w:color="auto" w:sz="0" w:space="0"/>
        </w:rPr>
        <w:instrText xml:space="preserve"> HYPERLINK "https://www.mee.gov.cn/xxgk2018/xxgk/xxgk03/202504/W020250414552577940456.pdf" </w:instrText>
      </w:r>
      <w:r>
        <w:rPr>
          <w:rFonts w:hint="eastAsia" w:ascii="微软雅黑" w:hAnsi="微软雅黑" w:eastAsia="微软雅黑" w:cs="微软雅黑"/>
          <w:i w:val="0"/>
          <w:iCs w:val="0"/>
          <w:caps w:val="0"/>
          <w:color w:val="0000FF"/>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7"/>
          <w:szCs w:val="27"/>
          <w:u w:val="none"/>
          <w:bdr w:val="none" w:color="auto" w:sz="0" w:space="0"/>
        </w:rPr>
        <w:t>不予审批环评的项目类别</w:t>
      </w:r>
      <w:r>
        <w:rPr>
          <w:rFonts w:hint="eastAsia" w:ascii="微软雅黑" w:hAnsi="微软雅黑" w:eastAsia="微软雅黑" w:cs="微软雅黑"/>
          <w:i w:val="0"/>
          <w:iCs w:val="0"/>
          <w:caps w:val="0"/>
          <w:color w:val="0000FF"/>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（见附表），严格审核建设项目原辅材料和产品，对于以禁止生产、加工使用的新污染物作为原辅料或产品的建设项目，依法不予审批。</w:t>
      </w:r>
    </w:p>
    <w:p w14:paraId="4CC1B8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三、加强重点行业涉新污染物建设项目环评</w:t>
      </w:r>
    </w:p>
    <w:p w14:paraId="57BD87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建设单位和环评技术单位在开展涉新污染物重点行业建设项目环评工作时，应高度重视新污染物防控，根据新污染物识别结果，结合现行环境影响评价技术导则和建设项目环境影响报告表编制技术指南相关要求，重点做好以下工作。</w:t>
      </w:r>
    </w:p>
    <w:p w14:paraId="425D38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优化原料、工艺和治理措施，从源头减少新污染物产生。建设项目应尽可能开发、使用低毒低害和无毒无害原料，减少产品中有毒有害物质含量；应采用清洁的生产工艺，提高资源利用率，从源头避免或削减新污染物产生。强化治理措施，已有污染防治技术的新污染物，应采取可行污染防治技术，加大治理力度，减轻新污染物排放对环境的影响。鼓励建设项目开展有毒有害化学物质绿色替代、新污染物减排以及污水污泥、废液废渣中新污染物治理等技术示范。</w:t>
      </w:r>
    </w:p>
    <w:p w14:paraId="4159EC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核算新污染物产排污情况。环评文件应给出所有列入重点管控新污染物清单、有毒有害污染物名录和优先控制化学品名录的化学物质生产或使用的数量、品种、用途，涉及化学反应的，分析主副反应中新污染物的迁移转化情况；将涉及的新污染物纳入评价因子；核算各环节新污染物的产生和排放情况。改建、扩建项目还应梳理现有工程新污染物排放情况，鼓励采用靶向及非靶向检测技术对废水、废气及废渣中的新污染物进行筛查。</w:t>
      </w:r>
    </w:p>
    <w:p w14:paraId="56C817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对已发布污染物排放标准的新污染物严格排放达标要求。新建项目产生并排放已有排放标准新污染物的，应采取措施确保排放达标。涉及新污染物排放的改建、扩建项目，应对现有项目废气、废水排放口新污染物排放情况进行监测，对排放不能达标的，应提出整改措施。对可能涉及新污染物的废母液、精馏残渣、抗生素菌渣、废反应基和废培养基、污泥等固体废物，应根据国家危险废物名录进行判定，未列入名录的固体废物应提出项目运行后按危险废物鉴别标准进行鉴别的要求，属于危险废物的按照危险废物污染环境防治相关要求进行管理。对涉及新污染物的生产、贮存、运输、处置等装置、设备设施及场所，应按相关国家标准提出防腐蚀、防渗漏、防扬散等土壤和地下水污染防治措施。</w:t>
      </w:r>
    </w:p>
    <w:p w14:paraId="577CBA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对环境质量标准规定的新污染物做好环境质量现状和影响评价。建设项目现状评价因子和预测评价因子筛选应考虑涉及的新污染物，充分利用国家和地方新污染物环境监测试点成果，收集评价范围内和建设项目相关的新污染物环境质量历史监测资料（包括环境空气、周边地表水体及相应底泥/沉积物、土壤和地下水、周边海域海水及沉积物/生物体等），没有相关监测数据的，进行补充监测。对环境质量标准规定的新污染物，根据相关环境质量标准进行现状评价，环境质量标准未规定但已有环境监测方法标准的，应给出监测值。将相应已有环境质量标准的新污染物纳入环境影响预测因子并预测评价其环境影响。</w:t>
      </w:r>
    </w:p>
    <w:p w14:paraId="5FBA6C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强化新污染物排放情况跟踪监测。应在涉及新污染物的建设项目环评文件中，明确提出将相应的新污染物纳入监测计划要求；对既未发布污染物排放标准，也无污染防治技术，但已有环境监测方法标准的新污染物，应加强日常监控和监测，掌握新污染物排放情况。将周边环境的相应新污染物监测纳入环境监测计划，做好跟踪监测。</w:t>
      </w:r>
    </w:p>
    <w:p w14:paraId="724FE8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六）提出新化学物质环境管理登记要求。对照《中国现有化学物质名录》，原辅材料或产品属于新化学物质的，或将实施新用途环境管理的现有化学物质，用于允许用途以外的其他工业用途的，应在环评文件中提出按相关规定办理新化学物质环境管理登记的要求。</w:t>
      </w:r>
    </w:p>
    <w:p w14:paraId="30E1C3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四、将新污染物管控要求依法纳入排污许可管理</w:t>
      </w:r>
    </w:p>
    <w:p w14:paraId="33369C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门依法核发排污许可证时，石化、涂料、纺织印染、橡胶、农药、医药等行业应按照排污许可证申请与核发技术规范，载明排放标准中规定的新污染物排放限值和自行监测要求；按照环评文件及批复，载明新污染物控制措施要求。生态环境部门应当按排污许可证规定，对新污染物管控要求落实情况开展执法监管。</w:t>
      </w:r>
    </w:p>
    <w:p w14:paraId="7B710A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五、地方应积极探索完善涉新污染物建设项目环评管理</w:t>
      </w:r>
    </w:p>
    <w:p w14:paraId="3414D0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省、市两级生态环境部门应将不予审批环评的项目类别及时纳入生态环境准入清单；根据国家和地方最新发布的重点管控新污染物清单、有毒有害污染物名录、优先控制化学品名录以及相关环境质量标准、污染物排放标准、监测方法标准、污染治理技术规范等，及时更新、不断完善建设项目环评管理要求。省、市两级生态环境部门可试点选取重点行业典型项目，根据新污染物最新管理要求和研究进展，探索建设项目中新污染物的源强核算方法、新污染物管控措施等。</w:t>
      </w:r>
    </w:p>
    <w:p w14:paraId="1FB319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各级生态环境部门应强化涉新污染物建设项目环评文件质量管理。对本意见发布后审批的石化、涂料、纺织印染、橡胶、农药、医药等行业建设项目环评文件开展质量复核时，重点复核涉及新污染物的评价因子筛选、评价标准、工程分析和排放达标判定、监测计划等内容，推动新污染物相关环评管理要求落实。复核中发现上述行业涉及新污染物的建设项目未按本意见要求开展新污染物评价工作的，按照《建设项目环境影响报告书（表）编制监督管理办法》相关规定严肃处理。</w:t>
      </w:r>
    </w:p>
    <w:p w14:paraId="0A9091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w:t>
      </w:r>
    </w:p>
    <w:p w14:paraId="2E38B3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2025年4月10日</w:t>
      </w:r>
    </w:p>
    <w:p w14:paraId="217CA0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（此件社会公开）</w:t>
      </w:r>
    </w:p>
    <w:p w14:paraId="38208B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生态环境部办公厅2025年4月10日印发</w:t>
      </w:r>
    </w:p>
    <w:p w14:paraId="67813A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AF2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2025-05-12T01:50:27Z</dcterms:created>
  <dc:creator>Administrator</dc:creator>
  <cp:lastModifiedBy>大国</cp:lastModifiedBy>
  <dcterms:modified xsi:type="dcterms:W3CDTF">2025-05-12T01:50:36Z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eyJoZGlkIjoiNTQ3YzMzODUxYTA1NWJiOGE0ZDhjNDU1MzM3ZmM5ZWQiLCJ1c2VySWQiOiI1MzczMzczMzYifQ==</vt:lpwstr>
  </property>
  <property fmtid="{D5CDD505-2E9C-101B-9397-08002B2CF9AE}" pid="4" name="ICV">
    <vt:lpwstr>42DF815088EA422E9A293B00023693AB_12</vt:lpwstr>
  </property>
</Properties>
</file>