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67" w:rsidRDefault="00446267">
      <w:pPr>
        <w:widowControl/>
        <w:spacing w:line="480" w:lineRule="auto"/>
        <w:ind w:firstLine="0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B23AB4" w:rsidRDefault="00446267">
      <w:pPr>
        <w:widowControl/>
        <w:spacing w:line="480" w:lineRule="auto"/>
        <w:ind w:firstLine="0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关于印发《长春经济技术开发区加快推进工业高质量发展若干政策》的通知</w:t>
      </w:r>
    </w:p>
    <w:p w:rsidR="00B23AB4" w:rsidRDefault="00B23AB4">
      <w:pPr>
        <w:rPr>
          <w:rFonts w:ascii="华文中宋" w:eastAsia="华文中宋" w:hAnsi="华文中宋" w:cs="华文中宋"/>
          <w:sz w:val="36"/>
          <w:szCs w:val="36"/>
        </w:rPr>
      </w:pPr>
    </w:p>
    <w:p w:rsidR="00B23AB4" w:rsidRDefault="00446267">
      <w:pPr>
        <w:ind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机关各部门、四街一镇、直属企事业单位、综保区各部门：</w:t>
      </w:r>
    </w:p>
    <w:p w:rsidR="00B23AB4" w:rsidRDefault="00446267">
      <w:pPr>
        <w:ind w:firstLineChars="200" w:firstLine="640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为进一步推动我区工业企业转型升级，引导本区工业企业健康、快速、高质量发展，现将《长春经济技术开发区加快推进工业高质量发展若干政策》印发给你们，请遵照执行。</w:t>
      </w:r>
    </w:p>
    <w:p w:rsidR="00B23AB4" w:rsidRDefault="00B23AB4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23AB4" w:rsidRDefault="00B23AB4">
      <w:pPr>
        <w:pStyle w:val="a0"/>
        <w:rPr>
          <w:rFonts w:ascii="仿宋_GB2312" w:hAnsi="仿宋_GB2312" w:cs="仿宋_GB2312"/>
          <w:szCs w:val="32"/>
        </w:rPr>
      </w:pPr>
    </w:p>
    <w:p w:rsidR="00B23AB4" w:rsidRDefault="00B23AB4">
      <w:pPr>
        <w:pStyle w:val="a0"/>
        <w:rPr>
          <w:rFonts w:ascii="仿宋_GB2312" w:hAnsi="仿宋_GB2312" w:cs="仿宋_GB2312"/>
          <w:szCs w:val="32"/>
        </w:rPr>
      </w:pPr>
    </w:p>
    <w:p w:rsidR="00B23AB4" w:rsidRDefault="00B23AB4">
      <w:pPr>
        <w:pStyle w:val="a0"/>
        <w:rPr>
          <w:rFonts w:ascii="仿宋_GB2312" w:hAnsi="仿宋_GB2312" w:cs="仿宋_GB2312"/>
          <w:szCs w:val="32"/>
        </w:rPr>
      </w:pPr>
    </w:p>
    <w:p w:rsidR="00B23AB4" w:rsidRDefault="00446267">
      <w:pPr>
        <w:pStyle w:val="a0"/>
        <w:jc w:val="righ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长春经济技术开发区管理委员会</w:t>
      </w:r>
    </w:p>
    <w:p w:rsidR="00B23AB4" w:rsidRDefault="0044626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2023年</w:t>
      </w:r>
      <w:r w:rsidR="004C354F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E513D7">
        <w:rPr>
          <w:rFonts w:ascii="仿宋_GB2312" w:eastAsia="仿宋_GB2312" w:hAnsi="仿宋_GB2312" w:cs="仿宋_GB2312"/>
          <w:sz w:val="32"/>
          <w:szCs w:val="32"/>
        </w:rPr>
        <w:t>1</w:t>
      </w:r>
      <w:r w:rsidR="0018683B">
        <w:rPr>
          <w:rFonts w:ascii="仿宋_GB2312" w:eastAsia="仿宋_GB2312" w:hAnsi="仿宋_GB2312" w:cs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23AB4" w:rsidRDefault="00B23AB4"/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446267">
      <w:pPr>
        <w:widowControl/>
        <w:spacing w:line="480" w:lineRule="auto"/>
        <w:ind w:firstLine="0"/>
        <w:jc w:val="center"/>
        <w:rPr>
          <w:rFonts w:ascii="华文中宋" w:eastAsia="华文中宋" w:hAnsi="华文中宋" w:cs="宋体"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color w:val="333333"/>
          <w:kern w:val="0"/>
          <w:sz w:val="36"/>
          <w:szCs w:val="36"/>
        </w:rPr>
        <w:t>长春经济技术开发区</w:t>
      </w:r>
    </w:p>
    <w:p w:rsidR="00B23AB4" w:rsidRDefault="00446267">
      <w:pPr>
        <w:widowControl/>
        <w:spacing w:line="480" w:lineRule="auto"/>
        <w:ind w:firstLine="0"/>
        <w:jc w:val="center"/>
        <w:rPr>
          <w:rFonts w:ascii="华文中宋" w:eastAsia="华文中宋" w:hAnsi="华文中宋" w:cs="宋体"/>
          <w:bCs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color w:val="333333"/>
          <w:kern w:val="0"/>
          <w:sz w:val="36"/>
          <w:szCs w:val="36"/>
        </w:rPr>
        <w:t>加快推进工业高质量发展若干政策</w:t>
      </w:r>
    </w:p>
    <w:p w:rsidR="00B23AB4" w:rsidRDefault="00B23AB4">
      <w:pPr>
        <w:ind w:firstLineChars="200" w:firstLine="720"/>
        <w:rPr>
          <w:rFonts w:ascii="华文中宋" w:eastAsia="华文中宋" w:hAnsi="华文中宋" w:cs="宋体"/>
          <w:bCs/>
          <w:color w:val="333333"/>
          <w:kern w:val="0"/>
          <w:sz w:val="36"/>
          <w:szCs w:val="36"/>
        </w:rPr>
      </w:pPr>
    </w:p>
    <w:p w:rsidR="00B23AB4" w:rsidRDefault="00446267">
      <w:pPr>
        <w:ind w:firstLineChars="200" w:firstLine="640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一、鼓励做大做强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1.设立管理创新奖，对上一年度营业收入10亿元以上且保持同比连续两年高于</w:t>
      </w:r>
      <w:r>
        <w:rPr>
          <w:rFonts w:ascii="仿宋_GB2312" w:eastAsia="仿宋_GB2312" w:cs="仿宋"/>
          <w:sz w:val="32"/>
          <w:szCs w:val="32"/>
        </w:rPr>
        <w:t>经开区</w:t>
      </w:r>
      <w:r>
        <w:rPr>
          <w:rFonts w:ascii="仿宋_GB2312" w:eastAsia="仿宋_GB2312" w:cs="仿宋" w:hint="eastAsia"/>
          <w:sz w:val="32"/>
          <w:szCs w:val="32"/>
        </w:rPr>
        <w:t>规上工业</w:t>
      </w:r>
      <w:r>
        <w:rPr>
          <w:rFonts w:ascii="仿宋_GB2312" w:eastAsia="仿宋_GB2312" w:cs="仿宋"/>
          <w:sz w:val="32"/>
          <w:szCs w:val="32"/>
        </w:rPr>
        <w:t>平均增速</w:t>
      </w:r>
      <w:r>
        <w:rPr>
          <w:rFonts w:ascii="仿宋_GB2312" w:eastAsia="仿宋_GB2312" w:cs="仿宋" w:hint="eastAsia"/>
          <w:sz w:val="32"/>
          <w:szCs w:val="32"/>
        </w:rPr>
        <w:t>的工业企业，给予企业核心管理团队最高不超过300万元的奖励。企业确保将资金拨付到核心管理团队成员。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2.现有工业企业固定资产投资总额在1000万元以上，且设备投资占固定资产投资总额高于50%</w:t>
      </w:r>
      <w:r w:rsidR="005E1EBD">
        <w:rPr>
          <w:rFonts w:ascii="仿宋_GB2312" w:eastAsia="仿宋_GB2312" w:cs="仿宋" w:hint="eastAsia"/>
          <w:sz w:val="32"/>
          <w:szCs w:val="32"/>
        </w:rPr>
        <w:t>的技术改造项目，按实际固定资产投资总额的</w:t>
      </w:r>
      <w:r>
        <w:rPr>
          <w:rFonts w:ascii="仿宋_GB2312" w:eastAsia="仿宋_GB2312" w:cs="仿宋"/>
          <w:sz w:val="32"/>
          <w:szCs w:val="32"/>
        </w:rPr>
        <w:t>2</w:t>
      </w:r>
      <w:r>
        <w:rPr>
          <w:rFonts w:ascii="仿宋_GB2312" w:eastAsia="仿宋_GB2312" w:cs="仿宋" w:hint="eastAsia"/>
          <w:sz w:val="32"/>
          <w:szCs w:val="32"/>
        </w:rPr>
        <w:t>%给予企业核心管理团队最高不超过</w:t>
      </w:r>
      <w:r>
        <w:rPr>
          <w:rFonts w:ascii="仿宋_GB2312" w:eastAsia="仿宋_GB2312" w:cs="仿宋"/>
          <w:sz w:val="32"/>
          <w:szCs w:val="32"/>
        </w:rPr>
        <w:t>4</w:t>
      </w:r>
      <w:r>
        <w:rPr>
          <w:rFonts w:ascii="仿宋_GB2312" w:eastAsia="仿宋_GB2312" w:cs="仿宋" w:hint="eastAsia"/>
          <w:sz w:val="32"/>
          <w:szCs w:val="32"/>
        </w:rPr>
        <w:t>00万元的奖励。企业确保将资金拨付到核心管理团队成员。</w:t>
      </w:r>
    </w:p>
    <w:p w:rsidR="00B23AB4" w:rsidRDefault="00446267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二、鼓励入区入统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3.</w:t>
      </w:r>
      <w:r>
        <w:rPr>
          <w:rFonts w:ascii="仿宋_GB2312" w:eastAsia="仿宋_GB2312" w:cs="仿宋"/>
          <w:sz w:val="32"/>
          <w:szCs w:val="32"/>
        </w:rPr>
        <w:t>对</w:t>
      </w:r>
      <w:r>
        <w:rPr>
          <w:rFonts w:ascii="仿宋_GB2312" w:eastAsia="仿宋_GB2312" w:cs="仿宋" w:hint="eastAsia"/>
          <w:sz w:val="32"/>
          <w:szCs w:val="32"/>
        </w:rPr>
        <w:t>新纳入国家一套表统计平台且保持稳定增长的工业企业</w:t>
      </w:r>
      <w:r>
        <w:rPr>
          <w:rFonts w:ascii="仿宋_GB2312" w:eastAsia="仿宋_GB2312" w:cs="仿宋"/>
          <w:sz w:val="32"/>
          <w:szCs w:val="32"/>
        </w:rPr>
        <w:t>，给予企业</w:t>
      </w:r>
      <w:r>
        <w:rPr>
          <w:rFonts w:ascii="仿宋_GB2312" w:eastAsia="仿宋_GB2312" w:cs="仿宋" w:hint="eastAsia"/>
          <w:sz w:val="32"/>
          <w:szCs w:val="32"/>
        </w:rPr>
        <w:t>核心管理团队一次性10万元奖励。对新纳入国家一套表统计平台且保持稳定增长的光电信息、</w:t>
      </w:r>
      <w:r>
        <w:rPr>
          <w:rFonts w:ascii="仿宋_GB2312" w:eastAsia="仿宋_GB2312" w:cs="仿宋"/>
          <w:sz w:val="32"/>
          <w:szCs w:val="32"/>
        </w:rPr>
        <w:t>生物医药、医疗器械</w:t>
      </w:r>
      <w:r>
        <w:rPr>
          <w:rFonts w:ascii="仿宋_GB2312" w:eastAsia="仿宋_GB2312" w:cs="仿宋" w:hint="eastAsia"/>
          <w:sz w:val="32"/>
          <w:szCs w:val="32"/>
        </w:rPr>
        <w:t>等工业企业，给予核心管理团队一次性15万元奖励。企业确保将资金拨付到核心管理团队成员。</w:t>
      </w:r>
    </w:p>
    <w:p w:rsidR="00B23AB4" w:rsidRDefault="00446267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三、鼓励拓展市场</w:t>
      </w:r>
    </w:p>
    <w:p w:rsidR="00B23AB4" w:rsidRDefault="00446267">
      <w:pPr>
        <w:ind w:firstLineChars="200" w:firstLine="640"/>
        <w:rPr>
          <w:rFonts w:ascii="仿宋_GB2312" w:eastAsia="仿宋_GB2312" w:cs="仿宋"/>
          <w:strike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4.鼓励汽车零部件企业开拓省外市场。对年度工业营业</w:t>
      </w:r>
      <w:r>
        <w:rPr>
          <w:rFonts w:ascii="仿宋_GB2312" w:eastAsia="仿宋_GB2312" w:cs="仿宋" w:hint="eastAsia"/>
          <w:sz w:val="32"/>
          <w:szCs w:val="32"/>
        </w:rPr>
        <w:lastRenderedPageBreak/>
        <w:t>收入10亿元以上且新增省外主机厂配套的企业，根据其贡献和省外占比情况，连续三年，按新上项目年度销售收入的</w:t>
      </w:r>
      <w:r>
        <w:rPr>
          <w:rFonts w:ascii="仿宋_GB2312" w:eastAsia="仿宋_GB2312" w:cs="仿宋"/>
          <w:sz w:val="32"/>
          <w:szCs w:val="32"/>
        </w:rPr>
        <w:t>0.4</w:t>
      </w:r>
      <w:r>
        <w:rPr>
          <w:rFonts w:ascii="仿宋_GB2312" w:eastAsia="仿宋_GB2312" w:cs="仿宋" w:hint="eastAsia"/>
          <w:sz w:val="32"/>
          <w:szCs w:val="32"/>
        </w:rPr>
        <w:t>%给予奖励。</w:t>
      </w:r>
    </w:p>
    <w:p w:rsidR="00B23AB4" w:rsidRDefault="00446267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四、鼓励企业创新发展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5.鼓励中小企业向专精特新发展，对新认定的国家级、省级、市级“专精特新”中小企业分别给予企业核心管理团队20万元、10万元、5万元奖励。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6.对首次列入国家绿色工厂、绿色供应链管理企业、绿色设计产品示范名单的，分别给予企业核心管理团队</w:t>
      </w:r>
      <w:r>
        <w:rPr>
          <w:rFonts w:ascii="仿宋_GB2312" w:eastAsia="仿宋_GB2312" w:cs="仿宋"/>
          <w:sz w:val="32"/>
          <w:szCs w:val="32"/>
        </w:rPr>
        <w:t>25</w:t>
      </w:r>
      <w:r>
        <w:rPr>
          <w:rFonts w:ascii="仿宋_GB2312" w:eastAsia="仿宋_GB2312" w:cs="仿宋" w:hint="eastAsia"/>
          <w:sz w:val="32"/>
          <w:szCs w:val="32"/>
        </w:rPr>
        <w:t>万元、</w:t>
      </w:r>
      <w:r>
        <w:rPr>
          <w:rFonts w:ascii="仿宋_GB2312" w:eastAsia="仿宋_GB2312" w:cs="仿宋"/>
          <w:sz w:val="32"/>
          <w:szCs w:val="32"/>
        </w:rPr>
        <w:t>20</w:t>
      </w:r>
      <w:r>
        <w:rPr>
          <w:rFonts w:ascii="仿宋_GB2312" w:eastAsia="仿宋_GB2312" w:cs="仿宋" w:hint="eastAsia"/>
          <w:sz w:val="32"/>
          <w:szCs w:val="32"/>
        </w:rPr>
        <w:t>万元、</w:t>
      </w:r>
      <w:r>
        <w:rPr>
          <w:rFonts w:ascii="仿宋_GB2312" w:eastAsia="仿宋_GB2312" w:cs="仿宋"/>
          <w:sz w:val="32"/>
          <w:szCs w:val="32"/>
        </w:rPr>
        <w:t>15</w:t>
      </w:r>
      <w:r>
        <w:rPr>
          <w:rFonts w:ascii="仿宋_GB2312" w:eastAsia="仿宋_GB2312" w:cs="仿宋" w:hint="eastAsia"/>
          <w:sz w:val="32"/>
          <w:szCs w:val="32"/>
        </w:rPr>
        <w:t>万元奖励；对首次列入省级绿色工厂、绿色供应链管理企业、绿色设计产品示范名单的，分别给予企业核心管理团队</w:t>
      </w:r>
      <w:r>
        <w:rPr>
          <w:rFonts w:ascii="仿宋_GB2312" w:eastAsia="仿宋_GB2312" w:cs="仿宋"/>
          <w:sz w:val="32"/>
          <w:szCs w:val="32"/>
        </w:rPr>
        <w:t>10</w:t>
      </w:r>
      <w:r>
        <w:rPr>
          <w:rFonts w:ascii="仿宋_GB2312" w:eastAsia="仿宋_GB2312" w:cs="仿宋" w:hint="eastAsia"/>
          <w:sz w:val="32"/>
          <w:szCs w:val="32"/>
        </w:rPr>
        <w:t>万元、</w:t>
      </w:r>
      <w:r>
        <w:rPr>
          <w:rFonts w:ascii="仿宋_GB2312" w:eastAsia="仿宋_GB2312" w:cs="仿宋"/>
          <w:sz w:val="32"/>
          <w:szCs w:val="32"/>
        </w:rPr>
        <w:t>8</w:t>
      </w:r>
      <w:r>
        <w:rPr>
          <w:rFonts w:ascii="仿宋_GB2312" w:eastAsia="仿宋_GB2312" w:cs="仿宋" w:hint="eastAsia"/>
          <w:sz w:val="32"/>
          <w:szCs w:val="32"/>
        </w:rPr>
        <w:t>万元、</w:t>
      </w:r>
      <w:r>
        <w:rPr>
          <w:rFonts w:ascii="仿宋_GB2312" w:eastAsia="仿宋_GB2312" w:cs="仿宋"/>
          <w:sz w:val="32"/>
          <w:szCs w:val="32"/>
        </w:rPr>
        <w:t>5</w:t>
      </w:r>
      <w:r>
        <w:rPr>
          <w:rFonts w:ascii="仿宋_GB2312" w:eastAsia="仿宋_GB2312" w:cs="仿宋" w:hint="eastAsia"/>
          <w:sz w:val="32"/>
          <w:szCs w:val="32"/>
        </w:rPr>
        <w:t>万元奖励。</w:t>
      </w:r>
    </w:p>
    <w:p w:rsidR="00B23AB4" w:rsidRDefault="00446267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五、鼓励</w:t>
      </w:r>
      <w:r>
        <w:rPr>
          <w:rFonts w:ascii="黑体" w:eastAsia="黑体" w:cs="黑体"/>
          <w:sz w:val="32"/>
          <w:szCs w:val="32"/>
        </w:rPr>
        <w:t>安全产业发展</w:t>
      </w:r>
    </w:p>
    <w:p w:rsidR="00B23AB4" w:rsidRDefault="00446267">
      <w:pPr>
        <w:ind w:firstLineChars="200" w:firstLine="640"/>
        <w:rPr>
          <w:rFonts w:ascii="仿宋_GB2312" w:eastAsia="仿宋_GB2312" w:hAnsi="Helvetica"/>
          <w:color w:val="333333"/>
          <w:sz w:val="32"/>
          <w:szCs w:val="32"/>
        </w:rPr>
      </w:pPr>
      <w:r>
        <w:rPr>
          <w:rFonts w:ascii="仿宋_GB2312" w:eastAsia="仿宋_GB2312" w:hAnsi="Helvetica"/>
          <w:sz w:val="32"/>
          <w:szCs w:val="32"/>
        </w:rPr>
        <w:t>7.</w:t>
      </w:r>
      <w:r>
        <w:rPr>
          <w:rFonts w:ascii="仿宋_GB2312" w:eastAsia="仿宋_GB2312" w:hAnsi="Helvetica" w:hint="eastAsia"/>
          <w:sz w:val="32"/>
          <w:szCs w:val="32"/>
        </w:rPr>
        <w:t>鼓励</w:t>
      </w:r>
      <w:r>
        <w:rPr>
          <w:rFonts w:ascii="仿宋_GB2312" w:eastAsia="仿宋_GB2312" w:hAnsi="Helvetica" w:hint="eastAsia"/>
          <w:color w:val="333333"/>
          <w:sz w:val="32"/>
          <w:szCs w:val="32"/>
        </w:rPr>
        <w:t>安全产业</w:t>
      </w:r>
      <w:r>
        <w:rPr>
          <w:rFonts w:ascii="仿宋_GB2312" w:eastAsia="仿宋_GB2312" w:hAnsi="Helvetica" w:hint="eastAsia"/>
          <w:sz w:val="32"/>
          <w:szCs w:val="32"/>
        </w:rPr>
        <w:t>发展</w:t>
      </w:r>
      <w:r>
        <w:rPr>
          <w:rFonts w:ascii="仿宋_GB2312" w:eastAsia="仿宋_GB2312" w:hAnsi="Helvetica" w:hint="eastAsia"/>
          <w:color w:val="333333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对新建成的汽车</w:t>
      </w:r>
      <w:r>
        <w:rPr>
          <w:rFonts w:ascii="仿宋_GB2312" w:eastAsia="仿宋_GB2312"/>
          <w:sz w:val="32"/>
          <w:szCs w:val="32"/>
        </w:rPr>
        <w:t>主被动安全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智慧安防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安全防护、应急救援等</w:t>
      </w:r>
      <w:r>
        <w:rPr>
          <w:rFonts w:ascii="仿宋_GB2312" w:eastAsia="仿宋_GB2312" w:hint="eastAsia"/>
          <w:sz w:val="32"/>
          <w:szCs w:val="32"/>
        </w:rPr>
        <w:t>工业或服务业企业，建成后第一自然年度年营业收入达</w:t>
      </w:r>
      <w:r>
        <w:rPr>
          <w:rFonts w:ascii="仿宋_GB2312" w:eastAsia="仿宋_GB2312" w:hAnsi="Helvetica" w:hint="eastAsia"/>
          <w:color w:val="333333"/>
          <w:sz w:val="32"/>
          <w:szCs w:val="32"/>
        </w:rPr>
        <w:t>1000</w:t>
      </w:r>
      <w:r>
        <w:rPr>
          <w:rFonts w:ascii="仿宋_GB2312" w:eastAsia="仿宋_GB2312" w:hint="eastAsia"/>
          <w:sz w:val="32"/>
          <w:szCs w:val="32"/>
        </w:rPr>
        <w:t>万元以上的，</w:t>
      </w:r>
      <w:r>
        <w:rPr>
          <w:rFonts w:ascii="仿宋_GB2312" w:eastAsia="仿宋_GB2312" w:hAnsi="Helvetica" w:hint="eastAsia"/>
          <w:color w:val="333333"/>
          <w:sz w:val="32"/>
          <w:szCs w:val="32"/>
        </w:rPr>
        <w:t>前3年按企业</w:t>
      </w:r>
      <w:r>
        <w:rPr>
          <w:rFonts w:ascii="仿宋_GB2312" w:eastAsia="仿宋_GB2312" w:hint="eastAsia"/>
          <w:sz w:val="32"/>
          <w:szCs w:val="32"/>
        </w:rPr>
        <w:t>当年区级贡献的100%给予奖励；后2年按企业区级贡献的</w:t>
      </w:r>
      <w:r>
        <w:rPr>
          <w:rFonts w:ascii="仿宋_GB2312" w:eastAsia="仿宋_GB2312" w:hAnsi="Helvetica" w:hint="eastAsia"/>
          <w:color w:val="333333"/>
          <w:sz w:val="32"/>
          <w:szCs w:val="32"/>
        </w:rPr>
        <w:t>50%给予奖励。</w:t>
      </w:r>
    </w:p>
    <w:p w:rsidR="00B23AB4" w:rsidRDefault="00446267">
      <w:pPr>
        <w:ind w:firstLineChars="200" w:firstLine="640"/>
        <w:rPr>
          <w:rFonts w:ascii="黑体" w:eastAsia="黑体" w:cs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六、附则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（一）本政策对外整体由</w:t>
      </w:r>
      <w:r w:rsidR="004809A0" w:rsidRPr="004809A0">
        <w:rPr>
          <w:rFonts w:ascii="仿宋_GB2312" w:eastAsia="仿宋_GB2312" w:cs="仿宋" w:hint="eastAsia"/>
          <w:color w:val="FF0000"/>
          <w:sz w:val="32"/>
          <w:szCs w:val="32"/>
        </w:rPr>
        <w:t>长春经济技术开发区经济发展和科技创新局</w:t>
      </w:r>
      <w:r>
        <w:rPr>
          <w:rFonts w:ascii="仿宋_GB2312" w:eastAsia="仿宋_GB2312" w:cs="仿宋" w:hint="eastAsia"/>
          <w:sz w:val="32"/>
          <w:szCs w:val="32"/>
        </w:rPr>
        <w:t>负责解释。</w:t>
      </w:r>
    </w:p>
    <w:p w:rsidR="00B23AB4" w:rsidRDefault="00446267">
      <w:pPr>
        <w:tabs>
          <w:tab w:val="left" w:pos="1189"/>
        </w:tabs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（二）</w:t>
      </w:r>
      <w:r>
        <w:rPr>
          <w:rFonts w:ascii="仿宋_GB2312" w:eastAsia="仿宋_GB2312" w:cs="仿宋"/>
          <w:sz w:val="32"/>
          <w:szCs w:val="32"/>
        </w:rPr>
        <w:t>对发生重大环境污</w:t>
      </w:r>
      <w:bookmarkStart w:id="0" w:name="_GoBack"/>
      <w:bookmarkEnd w:id="0"/>
      <w:r>
        <w:rPr>
          <w:rFonts w:ascii="仿宋_GB2312" w:eastAsia="仿宋_GB2312" w:cs="仿宋"/>
          <w:sz w:val="32"/>
          <w:szCs w:val="32"/>
        </w:rPr>
        <w:t>染违法违规行为的企业实行</w:t>
      </w:r>
      <w:r>
        <w:rPr>
          <w:rFonts w:ascii="仿宋_GB2312" w:eastAsia="仿宋_GB2312" w:cs="仿宋" w:hint="eastAsia"/>
          <w:sz w:val="32"/>
          <w:szCs w:val="32"/>
        </w:rPr>
        <w:t xml:space="preserve"> </w:t>
      </w:r>
      <w:r>
        <w:rPr>
          <w:rFonts w:ascii="仿宋_GB2312" w:eastAsia="仿宋_GB2312" w:cs="仿宋" w:hint="eastAsia"/>
          <w:sz w:val="32"/>
          <w:szCs w:val="32"/>
        </w:rPr>
        <w:lastRenderedPageBreak/>
        <w:t>“</w:t>
      </w:r>
      <w:r>
        <w:rPr>
          <w:rFonts w:ascii="仿宋_GB2312" w:eastAsia="仿宋_GB2312" w:cs="仿宋"/>
          <w:sz w:val="32"/>
          <w:szCs w:val="32"/>
        </w:rPr>
        <w:t>环保</w:t>
      </w:r>
      <w:r>
        <w:rPr>
          <w:rFonts w:ascii="仿宋_GB2312" w:eastAsia="仿宋_GB2312" w:cs="仿宋" w:hint="eastAsia"/>
          <w:sz w:val="32"/>
          <w:szCs w:val="32"/>
        </w:rPr>
        <w:t>”</w:t>
      </w:r>
      <w:r>
        <w:rPr>
          <w:rFonts w:ascii="仿宋_GB2312" w:eastAsia="仿宋_GB2312" w:cs="仿宋"/>
          <w:sz w:val="32"/>
          <w:szCs w:val="32"/>
        </w:rPr>
        <w:t>一票否决。</w:t>
      </w:r>
    </w:p>
    <w:p w:rsidR="00B23AB4" w:rsidRDefault="00446267">
      <w:pPr>
        <w:ind w:firstLineChars="200" w:firstLine="640"/>
        <w:rPr>
          <w:rFonts w:ascii="仿宋_GB2312" w:eastAsia="仿宋_GB2312" w:cs="仿宋_GB2312"/>
          <w:strike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（三）本</w:t>
      </w:r>
      <w:r>
        <w:rPr>
          <w:rFonts w:ascii="仿宋_GB2312" w:eastAsia="仿宋_GB2312" w:cs="仿宋" w:hint="eastAsia"/>
          <w:sz w:val="32"/>
          <w:szCs w:val="32"/>
        </w:rPr>
        <w:t>政策</w:t>
      </w:r>
      <w:r>
        <w:rPr>
          <w:rFonts w:ascii="仿宋_GB2312" w:eastAsia="仿宋_GB2312" w:cs="仿宋_GB2312" w:hint="eastAsia"/>
          <w:sz w:val="32"/>
          <w:szCs w:val="32"/>
        </w:rPr>
        <w:t>条款除特殊说明外适用于</w:t>
      </w:r>
      <w:r w:rsidR="00DE5D93">
        <w:rPr>
          <w:rFonts w:ascii="仿宋_GB2312" w:eastAsia="仿宋_GB2312" w:cs="仿宋_GB2312" w:hint="eastAsia"/>
          <w:sz w:val="32"/>
          <w:szCs w:val="32"/>
        </w:rPr>
        <w:t>在经开区内</w:t>
      </w:r>
      <w:r>
        <w:rPr>
          <w:rFonts w:ascii="仿宋_GB2312" w:eastAsia="仿宋_GB2312" w:cs="仿宋_GB2312" w:hint="eastAsia"/>
          <w:sz w:val="32"/>
          <w:szCs w:val="32"/>
        </w:rPr>
        <w:t>具有独立法人资格的企业。</w:t>
      </w:r>
      <w:r w:rsidR="00DE5D93">
        <w:rPr>
          <w:rFonts w:ascii="仿宋_GB2312" w:eastAsia="仿宋_GB2312" w:cs="仿宋_GB2312" w:hint="eastAsia"/>
          <w:sz w:val="32"/>
          <w:szCs w:val="32"/>
        </w:rPr>
        <w:t>（适用政策企业的认定标准由经开区管委会另行</w:t>
      </w:r>
      <w:r w:rsidR="001646FC" w:rsidRPr="001646FC">
        <w:rPr>
          <w:rFonts w:ascii="仿宋_GB2312" w:eastAsia="仿宋_GB2312" w:cs="仿宋_GB2312" w:hint="eastAsia"/>
          <w:color w:val="FF0000"/>
          <w:sz w:val="32"/>
          <w:szCs w:val="32"/>
        </w:rPr>
        <w:t>确定</w:t>
      </w:r>
      <w:r w:rsidR="00DE5D93">
        <w:rPr>
          <w:rFonts w:ascii="仿宋_GB2312" w:eastAsia="仿宋_GB2312" w:cs="仿宋_GB2312" w:hint="eastAsia"/>
          <w:sz w:val="32"/>
          <w:szCs w:val="32"/>
        </w:rPr>
        <w:t>）</w:t>
      </w:r>
    </w:p>
    <w:p w:rsidR="00B23AB4" w:rsidRDefault="00446267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823B44">
        <w:rPr>
          <w:rFonts w:ascii="仿宋_GB2312" w:eastAsia="仿宋_GB2312" w:cs="仿宋_GB2312" w:hint="eastAsia"/>
          <w:sz w:val="32"/>
          <w:szCs w:val="32"/>
        </w:rPr>
        <w:t>（四）兑现流程按《长春经济技术开发区工业企业</w:t>
      </w:r>
      <w:r w:rsidRPr="00823B44">
        <w:rPr>
          <w:rFonts w:ascii="仿宋_GB2312" w:eastAsia="仿宋_GB2312" w:cs="仿宋_GB2312"/>
          <w:sz w:val="32"/>
          <w:szCs w:val="32"/>
        </w:rPr>
        <w:t>扶持政策兑现流程</w:t>
      </w:r>
      <w:r w:rsidRPr="00823B44">
        <w:rPr>
          <w:rFonts w:ascii="仿宋_GB2312" w:eastAsia="仿宋_GB2312" w:cs="仿宋_GB2312" w:hint="eastAsia"/>
          <w:sz w:val="32"/>
          <w:szCs w:val="32"/>
        </w:rPr>
        <w:t>》规定执行，</w:t>
      </w:r>
      <w:r w:rsidRPr="00823B44">
        <w:rPr>
          <w:rFonts w:ascii="仿宋_GB2312" w:eastAsia="仿宋_GB2312" w:cs="仿宋" w:hint="eastAsia"/>
          <w:sz w:val="32"/>
          <w:szCs w:val="32"/>
        </w:rPr>
        <w:t>政策中另有规定的除外</w:t>
      </w:r>
      <w:r w:rsidRPr="00823B44">
        <w:rPr>
          <w:rFonts w:ascii="仿宋_GB2312" w:eastAsia="仿宋_GB2312" w:cs="仿宋_GB2312" w:hint="eastAsia"/>
          <w:sz w:val="32"/>
          <w:szCs w:val="32"/>
        </w:rPr>
        <w:t>。</w:t>
      </w:r>
    </w:p>
    <w:p w:rsidR="00B23AB4" w:rsidRDefault="00446267">
      <w:pPr>
        <w:ind w:firstLineChars="200" w:firstLine="640"/>
        <w:rPr>
          <w:rFonts w:ascii="仿宋_GB2312" w:eastAsia="仿宋_GB2312" w:hAnsi="Helvetica"/>
          <w:bCs/>
          <w:sz w:val="32"/>
          <w:szCs w:val="32"/>
        </w:rPr>
      </w:pPr>
      <w:r>
        <w:rPr>
          <w:rFonts w:ascii="仿宋_GB2312" w:eastAsia="仿宋_GB2312" w:hAnsi="Helvetica" w:hint="eastAsia"/>
          <w:bCs/>
          <w:color w:val="333333"/>
          <w:sz w:val="32"/>
          <w:szCs w:val="32"/>
        </w:rPr>
        <w:t>（五）涉及行业</w:t>
      </w:r>
      <w:r>
        <w:rPr>
          <w:rFonts w:ascii="仿宋_GB2312" w:eastAsia="仿宋_GB2312" w:hAnsi="Helvetica"/>
          <w:bCs/>
          <w:color w:val="333333"/>
          <w:sz w:val="32"/>
          <w:szCs w:val="32"/>
        </w:rPr>
        <w:t>划分，</w:t>
      </w:r>
      <w:r>
        <w:rPr>
          <w:rFonts w:ascii="仿宋_GB2312" w:eastAsia="仿宋_GB2312" w:hAnsi="Helvetica" w:hint="eastAsia"/>
          <w:bCs/>
          <w:sz w:val="32"/>
          <w:szCs w:val="32"/>
        </w:rPr>
        <w:t>由三人以上专家进行评审认定。</w:t>
      </w:r>
    </w:p>
    <w:p w:rsidR="00B23AB4" w:rsidRDefault="00446267">
      <w:pPr>
        <w:tabs>
          <w:tab w:val="left" w:pos="1120"/>
        </w:tabs>
        <w:ind w:firstLineChars="200" w:firstLine="640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cs="楷体_GB2312" w:hint="eastAsia"/>
          <w:sz w:val="32"/>
          <w:szCs w:val="32"/>
        </w:rPr>
        <w:t>（六）</w:t>
      </w:r>
      <w:r>
        <w:rPr>
          <w:rFonts w:ascii="仿宋_GB2312" w:eastAsia="仿宋_GB2312" w:cs="仿宋" w:hint="eastAsia"/>
          <w:sz w:val="32"/>
          <w:szCs w:val="32"/>
        </w:rPr>
        <w:t>企业区级综合贡献指企业缴纳的增值税、企业所得</w:t>
      </w:r>
      <w:r>
        <w:rPr>
          <w:rFonts w:ascii="仿宋_GB2312" w:eastAsia="仿宋_GB2312" w:cs="楷体_GB2312" w:hint="eastAsia"/>
          <w:sz w:val="32"/>
          <w:szCs w:val="32"/>
        </w:rPr>
        <w:t>税、房产税区级留成部分。</w:t>
      </w:r>
    </w:p>
    <w:p w:rsidR="00B23AB4" w:rsidRDefault="00446267">
      <w:pPr>
        <w:tabs>
          <w:tab w:val="left" w:pos="1120"/>
        </w:tabs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</w:t>
      </w:r>
      <w:r>
        <w:rPr>
          <w:rFonts w:ascii="仿宋_GB2312" w:eastAsia="仿宋_GB2312" w:cs="楷体_GB2312" w:hint="eastAsia"/>
          <w:sz w:val="32"/>
          <w:szCs w:val="32"/>
        </w:rPr>
        <w:t>七</w:t>
      </w:r>
      <w:r>
        <w:rPr>
          <w:rFonts w:ascii="仿宋_GB2312" w:eastAsia="仿宋_GB2312" w:cs="仿宋" w:hint="eastAsia"/>
          <w:sz w:val="32"/>
          <w:szCs w:val="32"/>
        </w:rPr>
        <w:t>）兑付应遵循最小化原则，即采用（包括但不限于）审计报告、投资协议、统计平台、税务报表中的最小值数据作为计算兑付金额的依据。</w:t>
      </w:r>
    </w:p>
    <w:p w:rsidR="00B23AB4" w:rsidRDefault="00446267">
      <w:pPr>
        <w:tabs>
          <w:tab w:val="left" w:pos="1120"/>
        </w:tabs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（八）根据需要所发生的项目（企业）审计费用，由管委会出资，初审部门列支专项经费，并委托经认定的第三方机构进行专项审计并出具审计报告。</w:t>
      </w:r>
    </w:p>
    <w:p w:rsidR="00B23AB4" w:rsidRDefault="00446267">
      <w:pPr>
        <w:tabs>
          <w:tab w:val="left" w:pos="1120"/>
        </w:tabs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（九）</w:t>
      </w:r>
      <w:r>
        <w:rPr>
          <w:rFonts w:ascii="仿宋_GB2312" w:eastAsia="仿宋_GB2312" w:cs="仿宋_GB2312" w:hint="eastAsia"/>
          <w:sz w:val="32"/>
          <w:szCs w:val="32"/>
        </w:rPr>
        <w:t>申报材料中企业增值税纳税申报表由税务部门</w:t>
      </w:r>
      <w:r>
        <w:rPr>
          <w:rFonts w:ascii="仿宋_GB2312" w:eastAsia="仿宋_GB2312" w:cs="仿宋_GB2312"/>
          <w:sz w:val="32"/>
          <w:szCs w:val="32"/>
        </w:rPr>
        <w:t>盖章后生效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B23AB4" w:rsidRDefault="00446267">
      <w:pPr>
        <w:spacing w:line="600" w:lineRule="exact"/>
        <w:ind w:firstLineChars="200" w:firstLine="640"/>
        <w:rPr>
          <w:rFonts w:ascii="仿宋_GB2312" w:eastAsia="仿宋_GB2312" w:cs="仿宋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cs="仿宋" w:hint="eastAsia"/>
          <w:sz w:val="32"/>
          <w:szCs w:val="32"/>
        </w:rPr>
        <w:t>（十</w:t>
      </w:r>
      <w:r>
        <w:rPr>
          <w:rFonts w:ascii="仿宋_GB2312" w:eastAsia="仿宋_GB2312" w:cs="仿宋_GB2312" w:hint="eastAsia"/>
          <w:sz w:val="32"/>
          <w:szCs w:val="32"/>
        </w:rPr>
        <w:t>）同一条款原则上不兼得，</w:t>
      </w:r>
      <w:r w:rsidR="00107B8C" w:rsidRPr="00107B8C">
        <w:rPr>
          <w:rFonts w:ascii="仿宋_GB2312" w:eastAsia="仿宋_GB2312" w:cs="仿宋_GB2312" w:hint="eastAsia"/>
          <w:color w:val="FF0000"/>
          <w:sz w:val="32"/>
          <w:szCs w:val="32"/>
        </w:rPr>
        <w:t>同时采用</w:t>
      </w:r>
      <w:r>
        <w:rPr>
          <w:rFonts w:ascii="仿宋_GB2312" w:eastAsia="仿宋_GB2312" w:cs="仿宋_GB2312" w:hint="eastAsia"/>
          <w:sz w:val="32"/>
          <w:szCs w:val="32"/>
        </w:rPr>
        <w:t>就高不就低、同类不叠加</w:t>
      </w:r>
      <w:r w:rsidR="00107B8C" w:rsidRPr="00107B8C">
        <w:rPr>
          <w:rFonts w:ascii="仿宋_GB2312" w:eastAsia="仿宋_GB2312" w:cs="仿宋_GB2312" w:hint="eastAsia"/>
          <w:color w:val="FF0000"/>
          <w:sz w:val="32"/>
          <w:szCs w:val="32"/>
        </w:rPr>
        <w:t>的原则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（十一）本政策原则上一年统一修订一次。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（十二）重大事项一事一议。</w:t>
      </w:r>
    </w:p>
    <w:p w:rsidR="00B23AB4" w:rsidRDefault="00446267">
      <w:pPr>
        <w:ind w:firstLineChars="200" w:firstLine="640"/>
        <w:rPr>
          <w:rFonts w:ascii="仿宋_GB2312" w:eastAsia="仿宋_GB2312" w:cs="仿宋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（十三）</w:t>
      </w:r>
      <w:r w:rsidR="00225D76">
        <w:rPr>
          <w:rFonts w:ascii="仿宋_GB2312" w:eastAsia="仿宋_GB2312" w:cs="仿宋" w:hint="eastAsia"/>
          <w:sz w:val="32"/>
          <w:szCs w:val="32"/>
        </w:rPr>
        <w:t>本政策自正式发布之日起开始执行。</w:t>
      </w:r>
      <w:r w:rsidR="00642485" w:rsidRPr="00642485">
        <w:rPr>
          <w:rFonts w:ascii="仿宋_GB2312" w:eastAsia="仿宋_GB2312" w:cs="仿宋" w:hint="eastAsia"/>
          <w:color w:val="FF0000"/>
          <w:sz w:val="32"/>
          <w:szCs w:val="32"/>
        </w:rPr>
        <w:t>自2022</w:t>
      </w:r>
      <w:r w:rsidR="00642485" w:rsidRPr="00642485">
        <w:rPr>
          <w:rFonts w:ascii="仿宋_GB2312" w:eastAsia="仿宋_GB2312" w:cs="仿宋" w:hint="eastAsia"/>
          <w:color w:val="FF0000"/>
          <w:sz w:val="32"/>
          <w:szCs w:val="32"/>
        </w:rPr>
        <w:lastRenderedPageBreak/>
        <w:t>年10月18日起，</w:t>
      </w:r>
      <w:r w:rsidR="00225D76">
        <w:rPr>
          <w:rFonts w:ascii="仿宋_GB2312" w:eastAsia="仿宋_GB2312" w:cs="仿宋" w:hint="eastAsia"/>
          <w:sz w:val="32"/>
          <w:szCs w:val="32"/>
        </w:rPr>
        <w:t>符合上述条件未</w:t>
      </w:r>
      <w:r w:rsidR="00642485" w:rsidRPr="00642485">
        <w:rPr>
          <w:rFonts w:ascii="仿宋_GB2312" w:eastAsia="仿宋_GB2312" w:cs="仿宋" w:hint="eastAsia"/>
          <w:color w:val="FF0000"/>
          <w:sz w:val="32"/>
          <w:szCs w:val="32"/>
        </w:rPr>
        <w:t>享受相</w:t>
      </w:r>
      <w:r w:rsidR="00642485">
        <w:rPr>
          <w:rFonts w:ascii="仿宋_GB2312" w:eastAsia="仿宋_GB2312" w:cs="仿宋" w:hint="eastAsia"/>
          <w:color w:val="FF0000"/>
          <w:sz w:val="32"/>
          <w:szCs w:val="32"/>
        </w:rPr>
        <w:t>应</w:t>
      </w:r>
      <w:r w:rsidR="00642485" w:rsidRPr="00642485">
        <w:rPr>
          <w:rFonts w:ascii="仿宋_GB2312" w:eastAsia="仿宋_GB2312" w:cs="仿宋" w:hint="eastAsia"/>
          <w:color w:val="FF0000"/>
          <w:sz w:val="32"/>
          <w:szCs w:val="32"/>
        </w:rPr>
        <w:t>政策</w:t>
      </w:r>
      <w:r w:rsidR="00225D76">
        <w:rPr>
          <w:rFonts w:ascii="仿宋_GB2312" w:eastAsia="仿宋_GB2312" w:cs="仿宋" w:hint="eastAsia"/>
          <w:sz w:val="32"/>
          <w:szCs w:val="32"/>
        </w:rPr>
        <w:t>的企业，可参照本政策标准执行</w:t>
      </w:r>
      <w:r>
        <w:rPr>
          <w:rFonts w:ascii="仿宋_GB2312" w:eastAsia="仿宋_GB2312" w:cs="仿宋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本政策执行之前</w:t>
      </w:r>
      <w:r w:rsidR="0036125E">
        <w:rPr>
          <w:rFonts w:ascii="仿宋_GB2312" w:eastAsia="仿宋_GB2312" w:cs="仿宋_GB2312" w:hint="eastAsia"/>
          <w:sz w:val="32"/>
          <w:szCs w:val="32"/>
        </w:rPr>
        <w:t>的其他政策如与本政策内容相冲突的，应以本政策内容为准。</w:t>
      </w:r>
      <w:r w:rsidR="00192B47">
        <w:rPr>
          <w:rFonts w:ascii="仿宋_GB2312" w:eastAsia="仿宋_GB2312" w:cs="仿宋" w:hint="eastAsia"/>
          <w:sz w:val="32"/>
          <w:szCs w:val="32"/>
        </w:rPr>
        <w:t>但对本政策执行之前，已经发生且符合原政策给付条件的，按照原政策继续执行。</w:t>
      </w: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p w:rsidR="00B23AB4" w:rsidRDefault="00B23AB4">
      <w:pPr>
        <w:pStyle w:val="a0"/>
      </w:pPr>
    </w:p>
    <w:sectPr w:rsidR="00B23AB4" w:rsidSect="004E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71E" w:rsidRDefault="00CE771E" w:rsidP="00B71503">
      <w:r>
        <w:separator/>
      </w:r>
    </w:p>
  </w:endnote>
  <w:endnote w:type="continuationSeparator" w:id="1">
    <w:p w:rsidR="00CE771E" w:rsidRDefault="00CE771E" w:rsidP="00B71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71E" w:rsidRDefault="00CE771E" w:rsidP="00B71503">
      <w:r>
        <w:separator/>
      </w:r>
    </w:p>
  </w:footnote>
  <w:footnote w:type="continuationSeparator" w:id="1">
    <w:p w:rsidR="00CE771E" w:rsidRDefault="00CE771E" w:rsidP="00B715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VjOWVjMzYyZGIxNDk3NjU4ZjMxNGFmMjYyYzVhMWYifQ=="/>
  </w:docVars>
  <w:rsids>
    <w:rsidRoot w:val="368E5E81"/>
    <w:rsid w:val="00070684"/>
    <w:rsid w:val="00091A30"/>
    <w:rsid w:val="00107B8C"/>
    <w:rsid w:val="001603BD"/>
    <w:rsid w:val="001646FC"/>
    <w:rsid w:val="0018683B"/>
    <w:rsid w:val="00192B47"/>
    <w:rsid w:val="001A6E52"/>
    <w:rsid w:val="0022291E"/>
    <w:rsid w:val="00225D76"/>
    <w:rsid w:val="0025722A"/>
    <w:rsid w:val="0036125E"/>
    <w:rsid w:val="003B4660"/>
    <w:rsid w:val="00446267"/>
    <w:rsid w:val="004662EA"/>
    <w:rsid w:val="004809A0"/>
    <w:rsid w:val="004A4E19"/>
    <w:rsid w:val="004C354F"/>
    <w:rsid w:val="004E05EF"/>
    <w:rsid w:val="005E1EBD"/>
    <w:rsid w:val="006339F3"/>
    <w:rsid w:val="00642485"/>
    <w:rsid w:val="00723071"/>
    <w:rsid w:val="00735F32"/>
    <w:rsid w:val="007D6E93"/>
    <w:rsid w:val="007F7DF3"/>
    <w:rsid w:val="00823B44"/>
    <w:rsid w:val="00850A05"/>
    <w:rsid w:val="0096524B"/>
    <w:rsid w:val="00B23AB4"/>
    <w:rsid w:val="00B71503"/>
    <w:rsid w:val="00B9113E"/>
    <w:rsid w:val="00C030EB"/>
    <w:rsid w:val="00C15C18"/>
    <w:rsid w:val="00CE771E"/>
    <w:rsid w:val="00CF39A9"/>
    <w:rsid w:val="00D2749B"/>
    <w:rsid w:val="00DE5D93"/>
    <w:rsid w:val="00E513D7"/>
    <w:rsid w:val="00E83812"/>
    <w:rsid w:val="00F64182"/>
    <w:rsid w:val="00FC4C9E"/>
    <w:rsid w:val="0BAB3F00"/>
    <w:rsid w:val="0FDF605B"/>
    <w:rsid w:val="29203431"/>
    <w:rsid w:val="29F140F2"/>
    <w:rsid w:val="368E5E81"/>
    <w:rsid w:val="40D67E4D"/>
    <w:rsid w:val="410D7451"/>
    <w:rsid w:val="59705456"/>
    <w:rsid w:val="73B2038E"/>
    <w:rsid w:val="759D0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E05EF"/>
    <w:pPr>
      <w:widowControl w:val="0"/>
      <w:ind w:firstLine="567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4E05EF"/>
    <w:pPr>
      <w:adjustRightInd w:val="0"/>
      <w:snapToGrid w:val="0"/>
      <w:spacing w:line="480" w:lineRule="exact"/>
    </w:pPr>
    <w:rPr>
      <w:rFonts w:eastAsia="仿宋_GB2312"/>
      <w:sz w:val="32"/>
    </w:rPr>
  </w:style>
  <w:style w:type="paragraph" w:styleId="a4">
    <w:name w:val="footer"/>
    <w:basedOn w:val="a"/>
    <w:uiPriority w:val="99"/>
    <w:unhideWhenUsed/>
    <w:qFormat/>
    <w:rsid w:val="004E0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B71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B7150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雪琪</dc:creator>
  <cp:lastModifiedBy>洪岩</cp:lastModifiedBy>
  <cp:revision>37</cp:revision>
  <dcterms:created xsi:type="dcterms:W3CDTF">2023-01-10T07:37:00Z</dcterms:created>
  <dcterms:modified xsi:type="dcterms:W3CDTF">2023-03-14T01:43:00Z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BF26E7A76B52442BB106932E2D1EAE9A</vt:lpwstr>
  </property>
</Properties>
</file>