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E488A"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 xml:space="preserve">附件 </w:t>
      </w:r>
      <w:r>
        <w:rPr>
          <w:rFonts w:hint="default" w:ascii="Times New Roman" w:hAnsi="Times New Roman" w:eastAsia="仿宋" w:cs="Times New Roman"/>
          <w:snapToGrid/>
          <w:kern w:val="2"/>
          <w:sz w:val="28"/>
          <w:szCs w:val="28"/>
          <w:lang w:eastAsia="zh-CN"/>
        </w:rPr>
        <w:t>1</w:t>
      </w:r>
      <w:r>
        <w:rPr>
          <w:rFonts w:hint="eastAsia" w:ascii="仿宋" w:hAnsi="仿宋" w:eastAsia="仿宋" w:cs="Times New Roman"/>
          <w:snapToGrid/>
          <w:kern w:val="2"/>
          <w:sz w:val="28"/>
          <w:szCs w:val="28"/>
          <w:lang w:eastAsia="zh-CN"/>
        </w:rPr>
        <w:t>：</w:t>
      </w:r>
    </w:p>
    <w:p w14:paraId="61DDEACB">
      <w:pPr>
        <w:pStyle w:val="2"/>
        <w:spacing w:line="251" w:lineRule="auto"/>
      </w:pPr>
    </w:p>
    <w:p w14:paraId="43CBFBD7">
      <w:pPr>
        <w:pStyle w:val="2"/>
        <w:spacing w:line="251" w:lineRule="auto"/>
      </w:pPr>
    </w:p>
    <w:p w14:paraId="645E4E61">
      <w:pPr>
        <w:pStyle w:val="2"/>
        <w:spacing w:line="252" w:lineRule="auto"/>
      </w:pPr>
    </w:p>
    <w:p w14:paraId="48535888">
      <w:pPr>
        <w:pStyle w:val="2"/>
        <w:spacing w:line="252" w:lineRule="auto"/>
      </w:pPr>
    </w:p>
    <w:p w14:paraId="694B6A7A">
      <w:pPr>
        <w:pStyle w:val="2"/>
        <w:spacing w:line="252" w:lineRule="auto"/>
      </w:pPr>
    </w:p>
    <w:p w14:paraId="57FD9CD7">
      <w:pPr>
        <w:pStyle w:val="2"/>
        <w:spacing w:line="252" w:lineRule="auto"/>
      </w:pPr>
    </w:p>
    <w:p w14:paraId="271888AD">
      <w:pPr>
        <w:pStyle w:val="2"/>
        <w:spacing w:line="252" w:lineRule="auto"/>
      </w:pPr>
    </w:p>
    <w:p w14:paraId="215517E7">
      <w:pPr>
        <w:pStyle w:val="2"/>
        <w:spacing w:line="252" w:lineRule="auto"/>
      </w:pPr>
    </w:p>
    <w:p w14:paraId="08B91D74">
      <w:pPr>
        <w:pStyle w:val="2"/>
        <w:spacing w:line="252" w:lineRule="auto"/>
      </w:pPr>
    </w:p>
    <w:p w14:paraId="350F5316">
      <w:pPr>
        <w:pStyle w:val="2"/>
        <w:spacing w:line="252" w:lineRule="auto"/>
      </w:pPr>
    </w:p>
    <w:p w14:paraId="5FFA5540">
      <w:pPr>
        <w:pStyle w:val="2"/>
        <w:spacing w:line="252" w:lineRule="auto"/>
      </w:pPr>
    </w:p>
    <w:p w14:paraId="56B7E71F">
      <w:pPr>
        <w:pStyle w:val="2"/>
        <w:spacing w:line="252" w:lineRule="auto"/>
      </w:pPr>
    </w:p>
    <w:p w14:paraId="2E036EB9">
      <w:pPr>
        <w:pStyle w:val="2"/>
        <w:spacing w:line="252" w:lineRule="auto"/>
      </w:pPr>
    </w:p>
    <w:p w14:paraId="67783E6F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2023 年度</w:t>
      </w:r>
    </w:p>
    <w:p w14:paraId="3CDFB59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</w:pPr>
    </w:p>
    <w:p w14:paraId="3B793EE8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44"/>
          <w:szCs w:val="44"/>
          <w:lang w:val="en-US" w:eastAsia="zh-CN"/>
        </w:rPr>
        <w:t>长春经济技术开发区房屋征收经办中心</w:t>
      </w:r>
      <w:r>
        <w:rPr>
          <w:rFonts w:hint="default" w:ascii="Times New Roman" w:hAnsi="Times New Roman" w:eastAsia="黑体" w:cs="Times New Roman"/>
          <w:snapToGrid/>
          <w:kern w:val="2"/>
          <w:sz w:val="44"/>
          <w:szCs w:val="44"/>
          <w:lang w:eastAsia="zh-CN"/>
        </w:rPr>
        <w:t>部门决算</w:t>
      </w:r>
    </w:p>
    <w:p w14:paraId="3046D1A1">
      <w:pPr>
        <w:pStyle w:val="2"/>
        <w:spacing w:line="242" w:lineRule="auto"/>
      </w:pPr>
    </w:p>
    <w:p w14:paraId="1C7F1A99">
      <w:pPr>
        <w:pStyle w:val="2"/>
        <w:spacing w:line="242" w:lineRule="auto"/>
      </w:pPr>
    </w:p>
    <w:p w14:paraId="48803267">
      <w:pPr>
        <w:pStyle w:val="2"/>
        <w:spacing w:line="242" w:lineRule="auto"/>
      </w:pPr>
    </w:p>
    <w:p w14:paraId="5F59DF2B">
      <w:pPr>
        <w:pStyle w:val="2"/>
        <w:spacing w:line="242" w:lineRule="auto"/>
      </w:pPr>
    </w:p>
    <w:p w14:paraId="05A38409">
      <w:pPr>
        <w:pStyle w:val="2"/>
        <w:spacing w:line="242" w:lineRule="auto"/>
      </w:pPr>
    </w:p>
    <w:p w14:paraId="2F744DEA">
      <w:pPr>
        <w:pStyle w:val="2"/>
        <w:spacing w:line="242" w:lineRule="auto"/>
      </w:pPr>
    </w:p>
    <w:p w14:paraId="2842B894">
      <w:pPr>
        <w:pStyle w:val="2"/>
        <w:spacing w:line="242" w:lineRule="auto"/>
      </w:pPr>
    </w:p>
    <w:p w14:paraId="0676B1DF">
      <w:pPr>
        <w:pStyle w:val="2"/>
        <w:spacing w:line="242" w:lineRule="auto"/>
      </w:pPr>
    </w:p>
    <w:p w14:paraId="3F09B3F7">
      <w:pPr>
        <w:pStyle w:val="2"/>
        <w:spacing w:line="242" w:lineRule="auto"/>
      </w:pPr>
    </w:p>
    <w:p w14:paraId="542533B8">
      <w:pPr>
        <w:pStyle w:val="2"/>
        <w:spacing w:line="242" w:lineRule="auto"/>
      </w:pPr>
    </w:p>
    <w:p w14:paraId="32423B0A">
      <w:pPr>
        <w:pStyle w:val="2"/>
        <w:spacing w:line="242" w:lineRule="auto"/>
      </w:pPr>
    </w:p>
    <w:p w14:paraId="1CE6AA6D">
      <w:pPr>
        <w:pStyle w:val="2"/>
        <w:spacing w:line="243" w:lineRule="auto"/>
      </w:pPr>
    </w:p>
    <w:p w14:paraId="17D21E96">
      <w:pPr>
        <w:pStyle w:val="2"/>
        <w:spacing w:line="243" w:lineRule="auto"/>
      </w:pPr>
    </w:p>
    <w:p w14:paraId="092A5179">
      <w:pPr>
        <w:pStyle w:val="2"/>
        <w:spacing w:line="243" w:lineRule="auto"/>
      </w:pPr>
    </w:p>
    <w:p w14:paraId="5A816F20">
      <w:pPr>
        <w:pStyle w:val="2"/>
        <w:spacing w:line="243" w:lineRule="auto"/>
      </w:pPr>
    </w:p>
    <w:p w14:paraId="515DAB53">
      <w:pPr>
        <w:pStyle w:val="2"/>
        <w:spacing w:line="243" w:lineRule="auto"/>
      </w:pPr>
    </w:p>
    <w:p w14:paraId="75008A7F">
      <w:pPr>
        <w:pStyle w:val="2"/>
        <w:spacing w:line="243" w:lineRule="auto"/>
      </w:pPr>
    </w:p>
    <w:p w14:paraId="0BB02FC1">
      <w:pPr>
        <w:pStyle w:val="2"/>
        <w:spacing w:line="243" w:lineRule="auto"/>
      </w:pPr>
    </w:p>
    <w:p w14:paraId="20F5831A">
      <w:pPr>
        <w:pStyle w:val="2"/>
        <w:spacing w:line="243" w:lineRule="auto"/>
      </w:pPr>
    </w:p>
    <w:p w14:paraId="6FE7034E">
      <w:pPr>
        <w:pStyle w:val="2"/>
        <w:spacing w:line="243" w:lineRule="auto"/>
      </w:pPr>
    </w:p>
    <w:p w14:paraId="6F85391C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snapToGrid/>
          <w:kern w:val="2"/>
          <w:sz w:val="32"/>
          <w:szCs w:val="32"/>
          <w:lang w:eastAsia="zh-CN"/>
        </w:rPr>
        <w:t xml:space="preserve">2024 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年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9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Arial"/>
          <w:snapToGrid/>
          <w:kern w:val="2"/>
          <w:sz w:val="32"/>
          <w:szCs w:val="32"/>
          <w:lang w:val="en-US" w:eastAsia="zh-CN"/>
        </w:rPr>
        <w:t>11</w:t>
      </w:r>
      <w:r>
        <w:rPr>
          <w:rFonts w:hint="default" w:ascii="仿宋" w:hAnsi="仿宋" w:eastAsia="仿宋" w:cs="Arial"/>
          <w:snapToGrid/>
          <w:kern w:val="2"/>
          <w:sz w:val="32"/>
          <w:szCs w:val="32"/>
          <w:lang w:eastAsia="zh-CN"/>
        </w:rPr>
        <w:t>日</w:t>
      </w:r>
    </w:p>
    <w:p w14:paraId="6993AFEA">
      <w:pPr>
        <w:widowControl w:val="0"/>
        <w:kinsoku/>
        <w:autoSpaceDE/>
        <w:autoSpaceDN/>
        <w:adjustRightInd/>
        <w:snapToGrid/>
        <w:spacing w:line="240" w:lineRule="auto"/>
        <w:jc w:val="center"/>
        <w:textAlignment w:val="auto"/>
        <w:rPr>
          <w:rFonts w:ascii="仿宋" w:hAnsi="仿宋" w:eastAsia="仿宋" w:cs="Arial"/>
          <w:snapToGrid/>
          <w:kern w:val="2"/>
          <w:sz w:val="44"/>
          <w:szCs w:val="44"/>
          <w:lang w:eastAsia="zh-CN"/>
        </w:rPr>
        <w:sectPr>
          <w:footerReference r:id="rId5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7051B57F">
      <w:pPr>
        <w:pStyle w:val="2"/>
        <w:spacing w:line="289" w:lineRule="auto"/>
      </w:pPr>
    </w:p>
    <w:p w14:paraId="23C612BD">
      <w:pPr>
        <w:pStyle w:val="2"/>
        <w:spacing w:line="290" w:lineRule="auto"/>
      </w:pPr>
    </w:p>
    <w:p w14:paraId="665DB1F9">
      <w:pPr>
        <w:spacing w:before="140" w:line="223" w:lineRule="auto"/>
        <w:ind w:left="3502"/>
        <w:outlineLvl w:val="0"/>
        <w:rPr>
          <w:rFonts w:ascii="仿宋" w:hAnsi="仿宋" w:eastAsia="仿宋" w:cs="仿宋"/>
          <w:sz w:val="43"/>
          <w:szCs w:val="43"/>
        </w:rPr>
      </w:pPr>
      <w:r>
        <w:rPr>
          <w:rFonts w:hint="eastAsia" w:ascii="仿宋" w:hAnsi="仿宋" w:eastAsia="仿宋" w:cs="Times New Roman"/>
          <w:snapToGrid/>
          <w:kern w:val="2"/>
          <w:sz w:val="44"/>
          <w:szCs w:val="22"/>
          <w:lang w:eastAsia="zh-CN"/>
        </w:rPr>
        <w:t>目   录</w:t>
      </w:r>
    </w:p>
    <w:p w14:paraId="5D522147">
      <w:pPr>
        <w:pStyle w:val="2"/>
        <w:spacing w:line="341" w:lineRule="auto"/>
      </w:pPr>
    </w:p>
    <w:p w14:paraId="2C8CBCD6">
      <w:pPr>
        <w:pStyle w:val="2"/>
        <w:spacing w:line="342" w:lineRule="auto"/>
      </w:pPr>
    </w:p>
    <w:p w14:paraId="74146468">
      <w:pPr>
        <w:spacing w:before="101" w:line="223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第一部分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部门概况</w:t>
      </w:r>
    </w:p>
    <w:p w14:paraId="554930FC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z w:val="31"/>
          <w:szCs w:val="31"/>
        </w:rPr>
        <w:t>一、部门职责</w:t>
      </w:r>
    </w:p>
    <w:p w14:paraId="78959538">
      <w:pPr>
        <w:spacing w:before="250" w:line="222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二、机构设置及部门决算单位构成</w:t>
      </w:r>
    </w:p>
    <w:p w14:paraId="0E27E5FF">
      <w:pPr>
        <w:spacing w:before="250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第二部分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2"/>
          <w:sz w:val="31"/>
          <w:szCs w:val="31"/>
        </w:rPr>
        <w:t>年度部门决算表</w:t>
      </w:r>
    </w:p>
    <w:p w14:paraId="78421B7B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一、收入支出决算总表</w:t>
      </w:r>
    </w:p>
    <w:p w14:paraId="409320E4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二、收入决算表</w:t>
      </w:r>
    </w:p>
    <w:p w14:paraId="3E9C8384">
      <w:pPr>
        <w:spacing w:before="249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三、支出决算表</w:t>
      </w:r>
    </w:p>
    <w:p w14:paraId="200F167F">
      <w:pPr>
        <w:spacing w:before="250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四、财政拨款收入支出决算总表</w:t>
      </w:r>
    </w:p>
    <w:p w14:paraId="0477EFDC">
      <w:pPr>
        <w:spacing w:before="24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五、一般公共预算财政拨款支出决算表</w:t>
      </w:r>
    </w:p>
    <w:p w14:paraId="6D6535DE">
      <w:pPr>
        <w:spacing w:before="250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六、一般公共预算财政拨款基本支出决算明细表</w:t>
      </w:r>
    </w:p>
    <w:p w14:paraId="1BCD40AD">
      <w:pPr>
        <w:spacing w:before="251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七、政府性基金预算财政拨款收入支出决算表</w:t>
      </w:r>
    </w:p>
    <w:p w14:paraId="1BF975B7">
      <w:pPr>
        <w:spacing w:before="252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国有资本经营预算财政拨款支出决算表</w:t>
      </w:r>
    </w:p>
    <w:p w14:paraId="78232F72">
      <w:pPr>
        <w:spacing w:before="249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九、财政拨款“三公”经费支出决算表</w:t>
      </w:r>
    </w:p>
    <w:p w14:paraId="370E852D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十、部门预算项目支出绩效自评表</w:t>
      </w:r>
    </w:p>
    <w:p w14:paraId="6EABBC5B">
      <w:pPr>
        <w:spacing w:before="249" w:line="223" w:lineRule="auto"/>
        <w:ind w:left="49"/>
        <w:outlineLvl w:val="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第三部分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3"/>
          <w:sz w:val="31"/>
          <w:szCs w:val="31"/>
        </w:rPr>
        <w:t>年度部门决算情况说明</w:t>
      </w:r>
    </w:p>
    <w:p w14:paraId="504AF74E">
      <w:pPr>
        <w:spacing w:before="250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一、收入支出决算总体情况说明</w:t>
      </w:r>
    </w:p>
    <w:p w14:paraId="10230D11">
      <w:pPr>
        <w:spacing w:before="250" w:line="223" w:lineRule="auto"/>
        <w:ind w:left="4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二、收入决算情况说明</w:t>
      </w:r>
    </w:p>
    <w:p w14:paraId="1B27875C">
      <w:pPr>
        <w:spacing w:before="250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三、支出决算情况说明</w:t>
      </w:r>
    </w:p>
    <w:p w14:paraId="3D1D22EC">
      <w:pPr>
        <w:spacing w:before="249" w:line="223" w:lineRule="auto"/>
        <w:ind w:left="7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四、财政拨款收入支出决算总体情况说明</w:t>
      </w:r>
    </w:p>
    <w:p w14:paraId="470963C4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6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7311C54">
      <w:pPr>
        <w:spacing w:before="159" w:line="223" w:lineRule="auto"/>
        <w:ind w:left="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5E07CB2C">
      <w:pPr>
        <w:spacing w:before="249" w:line="223" w:lineRule="auto"/>
        <w:ind w:left="3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47E7DC97">
      <w:pPr>
        <w:spacing w:before="250" w:line="221" w:lineRule="auto"/>
        <w:ind w:left="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七、政府性基金预算财政拨款收入支出决算情况说明</w:t>
      </w:r>
    </w:p>
    <w:p w14:paraId="3961E78B">
      <w:pPr>
        <w:spacing w:before="251" w:line="223" w:lineRule="auto"/>
        <w:ind w:left="3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八、</w:t>
      </w:r>
      <w:r>
        <w:rPr>
          <w:rFonts w:hint="default" w:ascii="Times New Roman" w:hAnsi="Times New Roman" w:eastAsia="仿宋_GB2312" w:cs="Times New Roman"/>
          <w:spacing w:val="-9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国有资本经营预算财政拨款支出决算情况说明</w:t>
      </w:r>
    </w:p>
    <w:p w14:paraId="65748C71">
      <w:pPr>
        <w:spacing w:before="250" w:line="223" w:lineRule="auto"/>
        <w:ind w:left="4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九、财政拨款“三公”经费支出决算情况说明</w:t>
      </w:r>
    </w:p>
    <w:p w14:paraId="3F35FFC0">
      <w:pPr>
        <w:spacing w:before="249" w:line="224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十、绩效评价情况说明</w:t>
      </w:r>
    </w:p>
    <w:p w14:paraId="200A0808">
      <w:pPr>
        <w:spacing w:before="248" w:line="223" w:lineRule="auto"/>
        <w:ind w:left="4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十一、其他重要事项情况说明</w:t>
      </w:r>
    </w:p>
    <w:p w14:paraId="774CC4F7">
      <w:pPr>
        <w:spacing w:before="250" w:line="224" w:lineRule="auto"/>
        <w:ind w:left="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第四部分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1"/>
          <w:szCs w:val="31"/>
        </w:rPr>
        <w:t>名词解释</w:t>
      </w:r>
    </w:p>
    <w:p w14:paraId="7AB74CDC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0AC02428">
      <w:pPr>
        <w:pStyle w:val="2"/>
        <w:spacing w:line="328" w:lineRule="auto"/>
      </w:pPr>
    </w:p>
    <w:p w14:paraId="09AF81A2">
      <w:pPr>
        <w:pStyle w:val="2"/>
        <w:spacing w:line="328" w:lineRule="auto"/>
      </w:pPr>
    </w:p>
    <w:p w14:paraId="58E8CE98">
      <w:pPr>
        <w:spacing w:before="189" w:line="443" w:lineRule="exact"/>
        <w:ind w:left="2215"/>
        <w:outlineLvl w:val="0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第一部分</w:t>
      </w:r>
      <w:r>
        <w:rPr>
          <w:rFonts w:hint="default" w:ascii="Times New Roman" w:hAnsi="Times New Roman" w:eastAsia="仿宋_GB2312" w:cs="Times New Roman"/>
          <w:b/>
          <w:bCs/>
          <w:spacing w:val="1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pacing w:val="1"/>
          <w:position w:val="-2"/>
          <w:sz w:val="44"/>
          <w:szCs w:val="44"/>
        </w:rPr>
        <w:t>部门概况</w:t>
      </w:r>
    </w:p>
    <w:p w14:paraId="3002D75E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31122861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36949F18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0C1F2FDC">
      <w:pPr>
        <w:keepNext w:val="0"/>
        <w:keepLines w:val="0"/>
        <w:pageBreakBefore w:val="0"/>
        <w:wordWrap/>
        <w:overflowPunct/>
        <w:topLinePunct w:val="0"/>
        <w:bidi w:val="0"/>
        <w:spacing w:before="101" w:line="560" w:lineRule="exact"/>
        <w:ind w:left="751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一、部门主要职责</w:t>
      </w:r>
    </w:p>
    <w:p w14:paraId="2AA751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长春经济技术开发区房屋</w:t>
      </w:r>
      <w:r>
        <w:rPr>
          <w:rFonts w:hint="eastAsia" w:ascii="仿宋" w:hAnsi="仿宋" w:eastAsia="仿宋"/>
          <w:sz w:val="32"/>
          <w:lang w:val="en-US" w:eastAsia="zh-CN"/>
        </w:rPr>
        <w:t>征收经办中心</w:t>
      </w:r>
      <w:r>
        <w:rPr>
          <w:rFonts w:hint="eastAsia" w:ascii="仿宋" w:hAnsi="仿宋" w:eastAsia="仿宋"/>
          <w:sz w:val="32"/>
        </w:rPr>
        <w:t>为管委会直属正处级全额拨款事业单位。</w:t>
      </w:r>
      <w:r>
        <w:rPr>
          <w:rFonts w:hint="eastAsia" w:ascii="仿宋" w:hAnsi="仿宋" w:eastAsia="仿宋"/>
          <w:sz w:val="32"/>
          <w:szCs w:val="32"/>
        </w:rPr>
        <w:t>主要职责为：</w:t>
      </w:r>
    </w:p>
    <w:p w14:paraId="7C0EC11F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1、负责按照国家、省、市相关法律、法规拟定征收补偿相关政策，编制全区年度房屋征收补偿工作计划。</w:t>
      </w:r>
    </w:p>
    <w:p w14:paraId="2A447BC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2、负责全区集体土地上地上物的征收与补偿工作（整体征收范围内如有国有土地性质住宅与非住宅可一并实施征收）。</w:t>
      </w:r>
    </w:p>
    <w:p w14:paraId="6D9C232C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3、负责用于公益事业的国有土地上房屋及地上物的征收与补偿工作。</w:t>
      </w:r>
    </w:p>
    <w:p w14:paraId="65530556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4、负责履行全区房屋等地上物司法强制征收工作程序。</w:t>
      </w:r>
    </w:p>
    <w:p w14:paraId="290F0CB4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5、负责受理接待房屋征收工作中的来信、来访，依法处理、调解房屋征收纠纷。</w:t>
      </w:r>
    </w:p>
    <w:p w14:paraId="4FEFA6FA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6、负责征收补偿政策宣传及解答工作。</w:t>
      </w:r>
    </w:p>
    <w:p w14:paraId="04BA6B55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7、负责全区回迁安置房屋建设、购买及回迁安置工作。</w:t>
      </w:r>
    </w:p>
    <w:p w14:paraId="61B33538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8、负责征收数据统计、产权灭籍、房屋拆除工作。</w:t>
      </w:r>
    </w:p>
    <w:p w14:paraId="7C3F90A9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  <w:szCs w:val="32"/>
        </w:rPr>
        <w:t>9、负责党工委、管委会交办的其他工作。</w:t>
      </w:r>
    </w:p>
    <w:p w14:paraId="3D670686"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rPr>
          <w:rFonts w:hint="default" w:ascii="Times New Roman" w:hAnsi="Times New Roman" w:eastAsia="仿宋_GB2312" w:cs="Times New Roman"/>
        </w:rPr>
      </w:pPr>
    </w:p>
    <w:p w14:paraId="43C213F2">
      <w:pPr>
        <w:spacing w:before="101" w:line="218" w:lineRule="exact"/>
        <w:ind w:left="102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8"/>
          <w:position w:val="-13"/>
          <w:sz w:val="31"/>
          <w:szCs w:val="31"/>
        </w:rPr>
        <w:t>……</w:t>
      </w:r>
    </w:p>
    <w:p w14:paraId="4F0C3A94">
      <w:pPr>
        <w:spacing w:before="251" w:line="224" w:lineRule="auto"/>
        <w:ind w:left="672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二、机构设置及部门决算单位构成</w:t>
      </w:r>
    </w:p>
    <w:p w14:paraId="60D8EBA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textAlignment w:val="baseline"/>
        <w:rPr>
          <w:rFonts w:hint="default" w:ascii="Times New Roman" w:hAnsi="Times New Roman" w:eastAsia="仿宋_GB2312" w:cs="Times New Roman"/>
        </w:rPr>
      </w:pPr>
      <w:r>
        <w:rPr>
          <w:rFonts w:hint="eastAsia" w:ascii="仿宋" w:hAnsi="仿宋" w:eastAsia="仿宋"/>
          <w:sz w:val="32"/>
          <w:szCs w:val="32"/>
        </w:rPr>
        <w:t>根据以上职责，长春经济技术开发区房屋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房屋征收经办中心</w:t>
      </w:r>
      <w:r>
        <w:rPr>
          <w:rFonts w:hint="eastAsia" w:ascii="仿宋" w:hAnsi="仿宋" w:eastAsia="仿宋"/>
          <w:sz w:val="32"/>
          <w:szCs w:val="32"/>
        </w:rPr>
        <w:t>设综合财务科、法制维稳科、审核安置科、征收一科、征收二科、征收三科、征收四科、征收五科共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个职能科（室）。房屋征收办公室编制人数为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</w:t>
      </w:r>
      <w:r>
        <w:rPr>
          <w:rFonts w:hint="eastAsia" w:ascii="仿宋" w:hAnsi="仿宋" w:eastAsia="仿宋"/>
          <w:sz w:val="32"/>
          <w:szCs w:val="32"/>
        </w:rPr>
        <w:t>人，其中在编人数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人、聘用人数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/>
          <w:sz w:val="32"/>
          <w:szCs w:val="32"/>
        </w:rPr>
        <w:t>人、劳务派遣人员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sz w:val="32"/>
          <w:szCs w:val="32"/>
        </w:rPr>
        <w:t>人，在职人数共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49</w:t>
      </w:r>
      <w:r>
        <w:rPr>
          <w:rFonts w:hint="eastAsia" w:ascii="仿宋" w:hAnsi="仿宋" w:eastAsia="仿宋"/>
          <w:sz w:val="32"/>
          <w:szCs w:val="32"/>
        </w:rPr>
        <w:t>人。退休人员共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人。</w:t>
      </w:r>
    </w:p>
    <w:p w14:paraId="43922980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192AD39C">
      <w:pPr>
        <w:pStyle w:val="2"/>
        <w:spacing w:line="328" w:lineRule="auto"/>
        <w:rPr>
          <w:rFonts w:hint="default" w:ascii="Times New Roman" w:hAnsi="Times New Roman" w:eastAsia="仿宋_GB2312" w:cs="Times New Roman"/>
        </w:rPr>
      </w:pPr>
    </w:p>
    <w:p w14:paraId="6A0156AD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A7A1307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BC1D2A7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11677E53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0AD1CB01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1B001397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57104A1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C0EE8E6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6444BBD9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732C1582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69E7454E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3BD6C1D0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E2B6108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EB53CF0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11E3D223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4091A99E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</w:p>
    <w:p w14:paraId="338382EE">
      <w:pPr>
        <w:spacing w:before="189" w:line="186" w:lineRule="auto"/>
        <w:ind w:left="1142"/>
        <w:rPr>
          <w:rFonts w:hint="default" w:ascii="Times New Roman" w:hAnsi="Times New Roman" w:eastAsia="仿宋_GB2312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第二部分</w:t>
      </w:r>
      <w:r>
        <w:rPr>
          <w:rFonts w:hint="default" w:ascii="Times New Roman" w:hAnsi="Times New Roman" w:eastAsia="仿宋_GB2312" w:cs="Times New Roman"/>
          <w:b/>
          <w:bCs/>
          <w:spacing w:val="111"/>
          <w:sz w:val="44"/>
          <w:szCs w:val="44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3"/>
          <w:szCs w:val="43"/>
        </w:rPr>
        <w:t>2023</w:t>
      </w:r>
      <w:r>
        <w:rPr>
          <w:rFonts w:hint="default" w:ascii="Times New Roman" w:hAnsi="Times New Roman" w:eastAsia="仿宋_GB2312" w:cs="Times New Roman"/>
          <w:b/>
          <w:bCs/>
          <w:spacing w:val="-103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44"/>
          <w:szCs w:val="44"/>
        </w:rPr>
        <w:t>年度部门决算表</w:t>
      </w:r>
    </w:p>
    <w:p w14:paraId="66BC7C53">
      <w:pPr>
        <w:pStyle w:val="2"/>
        <w:spacing w:line="268" w:lineRule="auto"/>
        <w:rPr>
          <w:rFonts w:hint="default" w:ascii="Times New Roman" w:hAnsi="Times New Roman" w:eastAsia="仿宋_GB2312" w:cs="Times New Roman"/>
        </w:rPr>
      </w:pPr>
    </w:p>
    <w:p w14:paraId="7874DEAD">
      <w:pPr>
        <w:spacing w:before="100" w:line="224" w:lineRule="auto"/>
        <w:ind w:left="672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一、收入支出决算总表</w:t>
      </w:r>
    </w:p>
    <w:p w14:paraId="3BFDC1CA">
      <w:pPr>
        <w:spacing w:before="100" w:line="224" w:lineRule="auto"/>
        <w:ind w:left="672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2090" cy="4462145"/>
            <wp:effectExtent l="0" t="0" r="381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92090" cy="446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E7A67">
      <w:pPr>
        <w:pStyle w:val="2"/>
        <w:spacing w:line="337" w:lineRule="auto"/>
        <w:rPr>
          <w:rFonts w:hint="default" w:ascii="Times New Roman" w:hAnsi="Times New Roman" w:eastAsia="仿宋_GB2312" w:cs="Times New Roman"/>
        </w:rPr>
      </w:pPr>
    </w:p>
    <w:p w14:paraId="70541B2C">
      <w:pPr>
        <w:pStyle w:val="2"/>
        <w:spacing w:line="338" w:lineRule="auto"/>
        <w:rPr>
          <w:rFonts w:hint="default" w:ascii="Times New Roman" w:hAnsi="Times New Roman" w:eastAsia="仿宋_GB2312" w:cs="Times New Roman"/>
        </w:rPr>
      </w:pPr>
    </w:p>
    <w:p w14:paraId="4EBE2D00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8" w:type="default"/>
          <w:pgSz w:w="11907" w:h="16839"/>
          <w:pgMar w:top="1431" w:right="1785" w:bottom="1150" w:left="1785" w:header="0" w:footer="965" w:gutter="0"/>
          <w:cols w:space="720" w:num="1"/>
        </w:sectPr>
      </w:pPr>
    </w:p>
    <w:p w14:paraId="5A39DBFB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C101A17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556853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firstLine="650" w:firstLineChars="200"/>
        <w:textAlignment w:val="baseline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二、收入决算表</w:t>
      </w:r>
    </w:p>
    <w:p w14:paraId="3CB12233">
      <w:pPr>
        <w:spacing w:before="209" w:line="5702" w:lineRule="exact"/>
        <w:ind w:firstLine="324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88915" cy="2738120"/>
            <wp:effectExtent l="0" t="0" r="698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88915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DE1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4" w:lineRule="auto"/>
        <w:ind w:firstLine="420" w:firstLineChars="200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9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205105</wp:posOffset>
            </wp:positionH>
            <wp:positionV relativeFrom="page">
              <wp:posOffset>6334760</wp:posOffset>
            </wp:positionV>
            <wp:extent cx="5292725" cy="2781300"/>
            <wp:effectExtent l="0" t="0" r="3175" b="0"/>
            <wp:wrapSquare wrapText="bothSides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三、支出决算</w:t>
      </w:r>
    </w:p>
    <w:p w14:paraId="32CDC45F">
      <w:pPr>
        <w:spacing w:before="101" w:line="224" w:lineRule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四、财政拨款收入支出决算总表</w:t>
      </w:r>
    </w:p>
    <w:p w14:paraId="2730830C">
      <w:pPr>
        <w:pStyle w:val="2"/>
        <w:spacing w:line="273" w:lineRule="auto"/>
        <w:rPr>
          <w:rFonts w:hint="default" w:ascii="Times New Roman" w:hAnsi="Times New Roman" w:eastAsia="仿宋_GB2312" w:cs="Times New Roman"/>
        </w:rPr>
      </w:pPr>
    </w:p>
    <w:p w14:paraId="6DABE4F0">
      <w:pPr>
        <w:pStyle w:val="2"/>
        <w:spacing w:line="274" w:lineRule="auto"/>
        <w:rPr>
          <w:rFonts w:hint="default" w:ascii="Times New Roman" w:hAnsi="Times New Roman" w:eastAsia="仿宋_GB2312" w:cs="Times New Roman"/>
        </w:rPr>
      </w:pPr>
    </w:p>
    <w:p w14:paraId="292C761D">
      <w:pPr>
        <w:spacing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0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inline distT="0" distB="0" distL="114300" distR="114300">
            <wp:extent cx="5290820" cy="4027805"/>
            <wp:effectExtent l="0" t="0" r="5080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402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B2ACC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0EBBEEDA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7D289C4">
      <w:pPr>
        <w:numPr>
          <w:numId w:val="0"/>
        </w:numPr>
        <w:spacing w:before="100" w:line="224" w:lineRule="auto"/>
      </w:pPr>
      <w:r>
        <w:rPr>
          <w:rFonts w:hint="eastAsia" w:ascii="Times New Roman" w:hAnsi="Times New Roman" w:eastAsia="仿宋_GB2312" w:cs="Times New Roman"/>
          <w:b/>
          <w:bCs/>
          <w:spacing w:val="8"/>
          <w:sz w:val="31"/>
          <w:szCs w:val="31"/>
          <w:lang w:val="en-US" w:eastAsia="zh-CN"/>
        </w:rPr>
        <w:t>五、</w:t>
      </w: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一般公共预算财政拨款支出决算表</w:t>
      </w:r>
      <w:r>
        <w:drawing>
          <wp:inline distT="0" distB="0" distL="114300" distR="114300">
            <wp:extent cx="5292725" cy="1889760"/>
            <wp:effectExtent l="0" t="0" r="3175" b="152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92725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AECBE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default"/>
        </w:rPr>
      </w:pPr>
    </w:p>
    <w:p w14:paraId="041FB431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default"/>
        </w:rPr>
      </w:pPr>
    </w:p>
    <w:p w14:paraId="3CF28CA7">
      <w:pPr>
        <w:numPr>
          <w:numId w:val="0"/>
        </w:numPr>
        <w:kinsoku w:val="0"/>
        <w:autoSpaceDE w:val="0"/>
        <w:autoSpaceDN w:val="0"/>
        <w:adjustRightInd w:val="0"/>
        <w:snapToGrid w:val="0"/>
        <w:spacing w:before="100" w:line="224" w:lineRule="auto"/>
        <w:jc w:val="left"/>
        <w:textAlignment w:val="baseline"/>
        <w:rPr>
          <w:rFonts w:hint="default"/>
        </w:rPr>
      </w:pPr>
    </w:p>
    <w:p w14:paraId="4AC0B895">
      <w:pPr>
        <w:spacing w:before="100" w:line="22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1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六、一般公共预算财政拨款基本支出决算明细表</w:t>
      </w:r>
      <w:r>
        <w:drawing>
          <wp:inline distT="0" distB="0" distL="114300" distR="114300">
            <wp:extent cx="5284470" cy="3206115"/>
            <wp:effectExtent l="0" t="0" r="11430" b="1333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84470" cy="320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56340">
      <w:pPr>
        <w:spacing w:before="101" w:line="224" w:lineRule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七、政府性基金预算财政拨款收入支出决算表</w:t>
      </w:r>
      <w:r>
        <w:drawing>
          <wp:inline distT="0" distB="0" distL="114300" distR="114300">
            <wp:extent cx="4796155" cy="1138555"/>
            <wp:effectExtent l="0" t="0" r="4445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796155" cy="1138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C19E5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E929622">
      <w:pPr>
        <w:pStyle w:val="2"/>
        <w:spacing w:line="270" w:lineRule="auto"/>
        <w:rPr>
          <w:rFonts w:hint="default" w:ascii="Times New Roman" w:hAnsi="Times New Roman" w:eastAsia="仿宋_GB2312" w:cs="Times New Roman"/>
        </w:rPr>
      </w:pPr>
    </w:p>
    <w:p w14:paraId="68EECF1C">
      <w:pPr>
        <w:pStyle w:val="2"/>
        <w:spacing w:line="271" w:lineRule="auto"/>
        <w:rPr>
          <w:rFonts w:hint="default" w:ascii="Times New Roman" w:hAnsi="Times New Roman" w:eastAsia="仿宋_GB2312" w:cs="Times New Roman"/>
        </w:rPr>
      </w:pPr>
    </w:p>
    <w:p w14:paraId="5C78A6A2">
      <w:pPr>
        <w:spacing w:before="101" w:line="224" w:lineRule="auto"/>
        <w:ind w:left="667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八、国有资本经营预算财政拨款支出决算表</w:t>
      </w:r>
    </w:p>
    <w:p w14:paraId="52A7F102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49B196BA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2" w:type="default"/>
          <w:pgSz w:w="11907" w:h="16839"/>
          <w:pgMar w:top="1431" w:right="1785" w:bottom="1153" w:left="1785" w:header="0" w:footer="965" w:gutter="0"/>
          <w:cols w:space="720" w:num="1"/>
        </w:sectPr>
      </w:pPr>
      <w:r>
        <w:drawing>
          <wp:inline distT="0" distB="0" distL="114300" distR="114300">
            <wp:extent cx="5005705" cy="1729740"/>
            <wp:effectExtent l="0" t="0" r="4445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05705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71630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D9A6513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7E669510">
      <w:pPr>
        <w:spacing w:before="101" w:line="364" w:lineRule="auto"/>
        <w:ind w:left="24" w:right="13" w:firstLine="650"/>
        <w:jc w:val="both"/>
        <w:rPr>
          <w:rFonts w:hint="default" w:ascii="Times New Roman" w:hAnsi="Times New Roman" w:eastAsia="仿宋_GB2312" w:cs="Times New Roman"/>
        </w:rPr>
      </w:pPr>
    </w:p>
    <w:p w14:paraId="6965E70F">
      <w:pPr>
        <w:pStyle w:val="2"/>
        <w:spacing w:line="340" w:lineRule="auto"/>
        <w:rPr>
          <w:rFonts w:hint="default" w:ascii="Times New Roman" w:hAnsi="Times New Roman" w:eastAsia="仿宋_GB2312" w:cs="Times New Roman"/>
        </w:rPr>
      </w:pPr>
    </w:p>
    <w:p w14:paraId="3DB281B9">
      <w:pPr>
        <w:spacing w:before="101" w:line="224" w:lineRule="auto"/>
        <w:ind w:left="675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九、财政拨款“三公”经费支出决算表</w:t>
      </w:r>
    </w:p>
    <w:p w14:paraId="2A10084C">
      <w:pPr>
        <w:spacing w:before="96" w:line="5302" w:lineRule="exact"/>
        <w:ind w:firstLine="237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position w:val="-106"/>
        </w:rPr>
        <w:drawing>
          <wp:inline distT="0" distB="0" distL="0" distR="0">
            <wp:extent cx="4991100" cy="3366770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D4613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2BDE0C1C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61BBA783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01BB639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2D62AA1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6D0DB65F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28C80643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1871B1EC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444261C5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0BC54493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3CE3A8AA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23ABC923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2AD2A8E3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716F4428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7367A65C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4CE918D9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</w:pPr>
    </w:p>
    <w:p w14:paraId="55D5B402">
      <w:pPr>
        <w:spacing w:before="100" w:line="224" w:lineRule="auto"/>
        <w:ind w:left="30"/>
        <w:rPr>
          <w:rFonts w:hint="default" w:ascii="Times New Roman" w:hAnsi="Times New Roman" w:eastAsia="仿宋_GB2312" w:cs="Times New Roman"/>
          <w:b/>
          <w:bCs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8"/>
          <w:sz w:val="31"/>
          <w:szCs w:val="31"/>
        </w:rPr>
        <w:t>十、部门预算项目支出绩效自评表</w:t>
      </w:r>
    </w:p>
    <w:p w14:paraId="028F3E30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659D3A41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1758CA82">
      <w:pPr>
        <w:pStyle w:val="2"/>
        <w:spacing w:line="261" w:lineRule="auto"/>
        <w:rPr>
          <w:rFonts w:hint="default" w:ascii="Times New Roman" w:hAnsi="Times New Roman" w:eastAsia="仿宋_GB2312" w:cs="Times New Roman"/>
        </w:rPr>
      </w:pPr>
    </w:p>
    <w:p w14:paraId="3A7326F8">
      <w:pPr>
        <w:spacing w:line="9847" w:lineRule="exact"/>
        <w:ind w:firstLine="297"/>
        <w:rPr>
          <w:rFonts w:hint="default" w:ascii="Times New Roman" w:hAnsi="Times New Roman" w:eastAsia="仿宋_GB2312" w:cs="Times New Roman"/>
        </w:rPr>
      </w:pPr>
      <w:r>
        <w:drawing>
          <wp:inline distT="0" distB="0" distL="114300" distR="114300">
            <wp:extent cx="5290820" cy="5490845"/>
            <wp:effectExtent l="0" t="0" r="5080" b="14605"/>
            <wp:docPr id="13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290820" cy="5490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C7A92">
      <w:pPr>
        <w:spacing w:line="9847" w:lineRule="exact"/>
        <w:rPr>
          <w:rFonts w:hint="default" w:ascii="Times New Roman" w:hAnsi="Times New Roman" w:eastAsia="仿宋_GB2312" w:cs="Times New Roman"/>
        </w:rPr>
        <w:sectPr>
          <w:footerReference r:id="rId13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3ED3A5A6">
      <w:pPr>
        <w:spacing w:before="225" w:line="443" w:lineRule="exact"/>
        <w:ind w:left="482"/>
        <w:outlineLvl w:val="0"/>
        <w:rPr>
          <w:rFonts w:hint="default" w:ascii="Times New Roman" w:hAnsi="Times New Roman" w:eastAsia="仿宋_GB2312" w:cs="Times New Roman"/>
          <w:b/>
          <w:bCs/>
          <w:sz w:val="43"/>
          <w:szCs w:val="43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第三部分</w:t>
      </w:r>
      <w:r>
        <w:rPr>
          <w:rFonts w:hint="default" w:ascii="Times New Roman" w:hAnsi="Times New Roman" w:eastAsia="仿宋_GB2312" w:cs="Times New Roman"/>
          <w:b/>
          <w:bCs/>
          <w:spacing w:val="103"/>
          <w:position w:val="-2"/>
          <w:sz w:val="43"/>
          <w:szCs w:val="43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5"/>
          <w:position w:val="-2"/>
          <w:sz w:val="43"/>
          <w:szCs w:val="43"/>
        </w:rPr>
        <w:t>2023年度部门决算情况说明</w:t>
      </w:r>
    </w:p>
    <w:p w14:paraId="3927A3E2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5560208A">
      <w:pPr>
        <w:pStyle w:val="2"/>
        <w:spacing w:line="314" w:lineRule="auto"/>
        <w:rPr>
          <w:rFonts w:hint="default" w:ascii="Times New Roman" w:hAnsi="Times New Roman" w:eastAsia="仿宋_GB2312" w:cs="Times New Roman"/>
        </w:rPr>
      </w:pPr>
    </w:p>
    <w:p w14:paraId="2C49D8B8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05A24472">
      <w:pPr>
        <w:spacing w:before="101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一、收入支出决算总体情况说明</w:t>
      </w:r>
    </w:p>
    <w:p w14:paraId="4761E00F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2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年度收、支总计均为 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万元。与</w:t>
      </w:r>
      <w:r>
        <w:rPr>
          <w:rFonts w:hint="default" w:ascii="Times New Roman" w:hAnsi="Times New Roman" w:eastAsia="仿宋_GB2312" w:cs="Times New Roman"/>
          <w:spacing w:val="-3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年度相比，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收、支总计各增加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168.35</w:t>
      </w:r>
      <w:r>
        <w:rPr>
          <w:rFonts w:hint="default" w:ascii="Times New Roman" w:hAnsi="Times New Roman" w:eastAsia="仿宋_GB2312" w:cs="Times New Roman"/>
          <w:spacing w:val="32"/>
          <w:sz w:val="31"/>
          <w:szCs w:val="31"/>
        </w:rPr>
        <w:t xml:space="preserve">  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%。主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要原因：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补缴在编人员机关保养老保险和职业年金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322424E2">
      <w:pPr>
        <w:pStyle w:val="2"/>
        <w:spacing w:line="260" w:lineRule="auto"/>
        <w:rPr>
          <w:rFonts w:hint="default" w:ascii="Times New Roman" w:hAnsi="Times New Roman" w:eastAsia="仿宋_GB2312" w:cs="Times New Roman"/>
        </w:rPr>
      </w:pPr>
    </w:p>
    <w:p w14:paraId="2B24ECFD">
      <w:pPr>
        <w:spacing w:before="50" w:line="224" w:lineRule="auto"/>
        <w:ind w:left="67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二、收入决算情况说明</w:t>
      </w:r>
    </w:p>
    <w:p w14:paraId="6D2D837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63" w:lineRule="auto"/>
        <w:ind w:firstLine="636" w:firstLineChars="200"/>
        <w:jc w:val="left"/>
        <w:textAlignment w:val="baseline"/>
        <w:rPr>
          <w:rFonts w:hint="eastAsia" w:ascii="Times New Roman" w:hAnsi="Times New Roman" w:eastAsia="仿宋_GB2312" w:cs="Times New Roman"/>
          <w:spacing w:val="4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本年收入合计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843.41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万元，其中：财政拨款收入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843.41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%。</w:t>
      </w:r>
    </w:p>
    <w:p w14:paraId="4B5F9C3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8" w:line="363" w:lineRule="auto"/>
        <w:ind w:left="674"/>
        <w:textAlignment w:val="baseline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三、支出决算情况说明</w:t>
      </w:r>
    </w:p>
    <w:p w14:paraId="2F249E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ind w:firstLine="640"/>
        <w:textAlignment w:val="baseline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本年支出合计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843.41</w:t>
      </w:r>
      <w:r>
        <w:rPr>
          <w:rFonts w:hint="eastAsia" w:ascii="仿宋" w:hAnsi="仿宋" w:eastAsia="仿宋"/>
          <w:sz w:val="32"/>
        </w:rPr>
        <w:t xml:space="preserve">万元，其中：基本支出 </w:t>
      </w:r>
      <w:r>
        <w:rPr>
          <w:rFonts w:hint="eastAsia" w:ascii="仿宋" w:hAnsi="仿宋" w:eastAsia="仿宋"/>
          <w:sz w:val="32"/>
          <w:lang w:val="en-US" w:eastAsia="zh-CN"/>
        </w:rPr>
        <w:t>787.21</w:t>
      </w:r>
      <w:r>
        <w:rPr>
          <w:rFonts w:hint="eastAsia" w:ascii="仿宋" w:hAnsi="仿宋" w:eastAsia="仿宋"/>
          <w:sz w:val="32"/>
        </w:rPr>
        <w:t>万元，占</w:t>
      </w:r>
      <w:r>
        <w:rPr>
          <w:rFonts w:hint="eastAsia" w:ascii="仿宋" w:hAnsi="仿宋" w:eastAsia="仿宋"/>
          <w:sz w:val="32"/>
          <w:lang w:val="en-US" w:eastAsia="zh-CN"/>
        </w:rPr>
        <w:t>93</w:t>
      </w:r>
      <w:r>
        <w:rPr>
          <w:rFonts w:hint="eastAsia" w:ascii="仿宋" w:hAnsi="仿宋" w:eastAsia="仿宋"/>
          <w:sz w:val="32"/>
        </w:rPr>
        <w:t>%；项目支出</w:t>
      </w:r>
      <w:r>
        <w:rPr>
          <w:rFonts w:hint="eastAsia" w:ascii="仿宋" w:hAnsi="仿宋" w:eastAsia="仿宋"/>
          <w:sz w:val="32"/>
          <w:lang w:val="en-US" w:eastAsia="zh-CN"/>
        </w:rPr>
        <w:t>56.20</w:t>
      </w:r>
      <w:r>
        <w:rPr>
          <w:rFonts w:hint="eastAsia" w:ascii="仿宋" w:hAnsi="仿宋" w:eastAsia="仿宋"/>
          <w:sz w:val="32"/>
        </w:rPr>
        <w:t xml:space="preserve">万元，占 </w:t>
      </w:r>
      <w:r>
        <w:rPr>
          <w:rFonts w:hint="eastAsia" w:ascii="仿宋" w:hAnsi="仿宋" w:eastAsia="仿宋"/>
          <w:sz w:val="32"/>
          <w:lang w:val="en-US" w:eastAsia="zh-CN"/>
        </w:rPr>
        <w:t>7</w:t>
      </w:r>
      <w:r>
        <w:rPr>
          <w:rFonts w:hint="eastAsia" w:ascii="仿宋" w:hAnsi="仿宋" w:eastAsia="仿宋"/>
          <w:sz w:val="32"/>
        </w:rPr>
        <w:t>%；</w:t>
      </w:r>
    </w:p>
    <w:p w14:paraId="72B01AD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3" w:lineRule="auto"/>
        <w:textAlignment w:val="baseline"/>
        <w:rPr>
          <w:rFonts w:hint="default" w:ascii="Times New Roman" w:hAnsi="Times New Roman" w:eastAsia="仿宋_GB2312" w:cs="Times New Roman"/>
        </w:rPr>
      </w:pPr>
    </w:p>
    <w:p w14:paraId="6F2E2C1B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4E98DC24">
      <w:pPr>
        <w:spacing w:before="101" w:line="224" w:lineRule="auto"/>
        <w:ind w:left="68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四、财政拨款收入支出决算总体情况说明</w:t>
      </w:r>
    </w:p>
    <w:p w14:paraId="4E27723E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年度财政拨款收、支总计均为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万元，与</w:t>
      </w:r>
      <w:r>
        <w:rPr>
          <w:rFonts w:hint="default" w:ascii="Times New Roman" w:hAnsi="Times New Roman" w:eastAsia="仿宋_GB2312" w:cs="Times New Roman"/>
          <w:spacing w:val="-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2022</w:t>
      </w:r>
      <w:r>
        <w:rPr>
          <w:rFonts w:hint="default" w:ascii="Times New Roman" w:hAnsi="Times New Roman" w:eastAsia="仿宋_GB2312" w:cs="Times New Roman"/>
          <w:spacing w:val="-3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年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相比，财政拨款收、支总计各增加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168.35</w:t>
      </w:r>
      <w:r>
        <w:rPr>
          <w:rFonts w:hint="default" w:ascii="Times New Roman" w:hAnsi="Times New Roman" w:eastAsia="仿宋_GB2312" w:cs="Times New Roman"/>
          <w:spacing w:val="-9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%。主要原因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:</w:t>
      </w:r>
      <w:r>
        <w:rPr>
          <w:rFonts w:hint="default" w:ascii="Times New Roman" w:hAnsi="Times New Roman" w:eastAsia="仿宋_GB2312" w:cs="Times New Roman"/>
          <w:spacing w:val="-10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补缴在编人员机关保养老保险和职业年金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0FCF247A">
      <w:pPr>
        <w:pStyle w:val="2"/>
        <w:spacing w:line="285" w:lineRule="auto"/>
        <w:rPr>
          <w:rFonts w:hint="default" w:ascii="Times New Roman" w:hAnsi="Times New Roman" w:eastAsia="仿宋_GB2312" w:cs="Times New Roman"/>
        </w:rPr>
      </w:pPr>
    </w:p>
    <w:p w14:paraId="2FF14BD6">
      <w:pPr>
        <w:pStyle w:val="2"/>
        <w:spacing w:line="286" w:lineRule="auto"/>
        <w:rPr>
          <w:rFonts w:hint="default" w:ascii="Times New Roman" w:hAnsi="Times New Roman" w:eastAsia="仿宋_GB2312" w:cs="Times New Roman"/>
        </w:rPr>
      </w:pPr>
    </w:p>
    <w:p w14:paraId="3A75B645">
      <w:pPr>
        <w:spacing w:before="101" w:line="224" w:lineRule="auto"/>
        <w:ind w:left="67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五、一般公共预算财政拨款支出决算情况说明</w:t>
      </w:r>
    </w:p>
    <w:p w14:paraId="40E56DAD">
      <w:pPr>
        <w:spacing w:before="248" w:line="223" w:lineRule="auto"/>
        <w:ind w:left="662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一</w:t>
      </w:r>
      <w:r>
        <w:rPr>
          <w:rFonts w:hint="default" w:ascii="Times New Roman" w:hAnsi="Times New Roman" w:eastAsia="仿宋_GB2312" w:cs="Times New Roman"/>
          <w:spacing w:val="-6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）一般公共预算财政拨款支出决算总体情况</w:t>
      </w:r>
    </w:p>
    <w:p w14:paraId="12B745FD">
      <w:pPr>
        <w:spacing w:before="249" w:line="223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年度一般公共预算财政拨款支出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万元，占本年支</w:t>
      </w:r>
    </w:p>
    <w:p w14:paraId="204D63B8">
      <w:pPr>
        <w:spacing w:line="223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4" w:type="default"/>
          <w:pgSz w:w="11907" w:h="16839"/>
          <w:pgMar w:top="1431" w:right="1714" w:bottom="1153" w:left="1785" w:header="0" w:footer="965" w:gutter="0"/>
          <w:cols w:space="720" w:num="1"/>
        </w:sectPr>
      </w:pPr>
    </w:p>
    <w:p w14:paraId="2E66B123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出合计的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%。与 2022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年度相比，一般公共预算财政拨款支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出增加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168.35</w:t>
      </w:r>
      <w:r>
        <w:rPr>
          <w:rFonts w:hint="default" w:ascii="Times New Roman" w:hAnsi="Times New Roman" w:eastAsia="仿宋_GB2312" w:cs="Times New Roman"/>
          <w:spacing w:val="6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万元，增长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%。主要原因：</w:t>
      </w:r>
      <w:r>
        <w:rPr>
          <w:rFonts w:hint="default" w:ascii="Times New Roman" w:hAnsi="Times New Roman" w:eastAsia="仿宋_GB2312" w:cs="Times New Roman"/>
          <w:spacing w:val="-5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补缴在编人员机关保养老保险和职业年金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</w:rPr>
        <w:t>。</w:t>
      </w:r>
    </w:p>
    <w:p w14:paraId="746FB6FA">
      <w:pPr>
        <w:spacing w:before="160" w:line="357" w:lineRule="auto"/>
        <w:ind w:left="68" w:right="90"/>
        <w:rPr>
          <w:rFonts w:hint="default" w:ascii="Times New Roman" w:hAnsi="Times New Roman" w:eastAsia="仿宋_GB2312" w:cs="Times New Roman"/>
          <w:sz w:val="31"/>
          <w:szCs w:val="31"/>
        </w:rPr>
      </w:pPr>
    </w:p>
    <w:p w14:paraId="1560B19E">
      <w:pPr>
        <w:spacing w:before="248" w:line="362" w:lineRule="auto"/>
        <w:ind w:left="36" w:right="113" w:firstLine="634"/>
        <w:rPr>
          <w:rFonts w:hint="default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（二） 一般公共预算财政拨款支出决算结构情况</w:t>
      </w:r>
    </w:p>
    <w:p w14:paraId="72FEB81F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2023 年度一般公共预算财政拨款支出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万元，主要用于 以下方面：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社会保障和就业支出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117.18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14%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；卫生健康支出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24.92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%；城乡社区支出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580.43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69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 xml:space="preserve"> %；住房保障支出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74.4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万元，占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9%；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交通运输支出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46.48万，占5%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。</w:t>
      </w:r>
    </w:p>
    <w:p w14:paraId="4C97ECFA">
      <w:pPr>
        <w:spacing w:before="52" w:line="223" w:lineRule="auto"/>
        <w:ind w:left="659"/>
        <w:outlineLvl w:val="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8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一般公共预算财政拨款支出决算具体情况</w:t>
      </w:r>
    </w:p>
    <w:p w14:paraId="36A44D21">
      <w:pPr>
        <w:spacing w:before="248" w:line="357" w:lineRule="auto"/>
        <w:ind w:left="38" w:right="86" w:firstLine="63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 年度一般公共预算财政拨款支出年初预算为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3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元，支出决算为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万元，完成年初预算的</w:t>
      </w:r>
      <w:r>
        <w:rPr>
          <w:rFonts w:hint="eastAsia" w:ascii="Times New Roman" w:hAnsi="Times New Roman" w:eastAsia="仿宋_GB2312" w:cs="Times New Roman"/>
          <w:spacing w:val="4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 %。其中：</w:t>
      </w:r>
    </w:p>
    <w:p w14:paraId="7595D344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1. 社会保障和就业年初预算为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117.18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117.18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 xml:space="preserve">万元，完成年初预算的100 %。    </w:t>
      </w:r>
    </w:p>
    <w:p w14:paraId="4B5CCDE3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2. 卫生健康年初预算为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24.92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24.92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万元，完成年初预算的100 %。</w:t>
      </w:r>
    </w:p>
    <w:p w14:paraId="61811E6A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3、城乡社区年初预算为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580.43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580.43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万元，完成年初预算的100 %。</w:t>
      </w:r>
    </w:p>
    <w:p w14:paraId="0AD95FFA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4、住房保障年初预算为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74.4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74.4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 xml:space="preserve">万万元，完成年初预算的100 %。 </w:t>
      </w:r>
    </w:p>
    <w:p w14:paraId="3B393680">
      <w:pPr>
        <w:spacing w:before="248" w:line="362" w:lineRule="auto"/>
        <w:ind w:left="36" w:right="113" w:firstLine="634"/>
        <w:rPr>
          <w:rFonts w:hint="eastAsia" w:ascii="Times New Roman" w:hAnsi="Times New Roman" w:eastAsia="仿宋_GB2312" w:cs="Times New Roman"/>
          <w:spacing w:val="3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、交通运输年初预算为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46.48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万元，支出决算为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46.48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</w:rPr>
        <w:t>万元，完成年初预算的100 %。</w:t>
      </w:r>
    </w:p>
    <w:p w14:paraId="1DA4F5D5">
      <w:pPr>
        <w:pStyle w:val="2"/>
        <w:spacing w:line="255" w:lineRule="auto"/>
        <w:rPr>
          <w:rFonts w:hint="default" w:ascii="Times New Roman" w:hAnsi="Times New Roman" w:eastAsia="仿宋_GB2312" w:cs="Times New Roman"/>
        </w:rPr>
      </w:pPr>
    </w:p>
    <w:p w14:paraId="75897B8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9F72D7F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7E34E60A">
      <w:pPr>
        <w:spacing w:before="101" w:line="224" w:lineRule="auto"/>
        <w:ind w:left="67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六、一般公共预算财政拨款基本支出决算情况说明</w:t>
      </w:r>
    </w:p>
    <w:p w14:paraId="12F40691">
      <w:pPr>
        <w:spacing w:before="247" w:line="357" w:lineRule="auto"/>
        <w:ind w:left="64" w:right="96" w:firstLine="607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2023年度一般公共预算财政拨款基本支出</w:t>
      </w:r>
      <w:r>
        <w:rPr>
          <w:rFonts w:hint="eastAsia" w:ascii="Times New Roman" w:hAnsi="Times New Roman" w:eastAsia="仿宋_GB2312" w:cs="Times New Roman"/>
          <w:spacing w:val="3"/>
          <w:sz w:val="31"/>
          <w:szCs w:val="31"/>
          <w:lang w:val="en-US" w:eastAsia="zh-CN"/>
        </w:rPr>
        <w:t>843.41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>万元，其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0"/>
          <w:sz w:val="31"/>
          <w:szCs w:val="31"/>
        </w:rPr>
        <w:t>中：</w:t>
      </w:r>
    </w:p>
    <w:p w14:paraId="0DD60914">
      <w:pPr>
        <w:spacing w:before="53" w:line="367" w:lineRule="auto"/>
        <w:ind w:left="29" w:right="98" w:firstLine="643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人员经费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739.82</w:t>
      </w: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，主要包括：基本工资、津贴补贴、奖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金、伙食补助费、绩效工资、机关事业单位基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本养老保险缴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费、职业年金缴费、职工基本医疗保险缴费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、公务员医疗补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助缴费、其他社会保障缴费、住房公积金、医疗费、</w:t>
      </w:r>
      <w:r>
        <w:rPr>
          <w:rFonts w:hint="default" w:ascii="Times New Roman" w:hAnsi="Times New Roman" w:eastAsia="仿宋_GB2312" w:cs="Times New Roman"/>
          <w:spacing w:val="-5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其他工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资福利支出、离休费、退休费、退职（役） 费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、抚恤金、生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活补助、救济费、医疗费补助、助学金、奖励金、个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人农业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生产补贴、代缴社会保险费和其他对个人和家庭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的补助。</w:t>
      </w:r>
    </w:p>
    <w:p w14:paraId="2F947BE7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5" w:type="default"/>
          <w:pgSz w:w="11907" w:h="16839"/>
          <w:pgMar w:top="1431" w:right="1699" w:bottom="1153" w:left="1785" w:header="0" w:footer="965" w:gutter="0"/>
          <w:cols w:space="720" w:num="1"/>
        </w:sectPr>
      </w:pP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公用经费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pacing w:val="-1"/>
          <w:sz w:val="31"/>
          <w:szCs w:val="31"/>
          <w:lang w:val="en-US" w:eastAsia="zh-CN"/>
        </w:rPr>
        <w:t>47.39</w:t>
      </w:r>
      <w:r>
        <w:rPr>
          <w:rFonts w:hint="default" w:ascii="Times New Roman" w:hAnsi="Times New Roman" w:eastAsia="仿宋_GB2312" w:cs="Times New Roman"/>
          <w:b/>
          <w:bCs/>
          <w:spacing w:val="-1"/>
          <w:sz w:val="31"/>
          <w:szCs w:val="31"/>
        </w:rPr>
        <w:t>万元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，主要包括：办公费、印刷费、咨询费、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手续费、水费、电费、邮电费、取暖费、物业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管理费、差旅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费、因公出国（境）费、维修（护）费、租赁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费、</w:t>
      </w:r>
      <w:r>
        <w:rPr>
          <w:rFonts w:hint="default" w:ascii="Times New Roman" w:hAnsi="Times New Roman" w:eastAsia="仿宋_GB2312" w:cs="Times New Roman"/>
          <w:spacing w:val="8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会议费、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培训费、公务接待费、专用材料费、被装购置费、专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用燃料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费、劳务费、委托业务费、工会经费、福利费、公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行维护费、其他交通费用、税金及附加费用、其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他商品和服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务支出、房屋建筑物购建、办公设备购置、专用设备</w:t>
      </w:r>
    </w:p>
    <w:p w14:paraId="7ADF1159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4980B417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02036883">
      <w:pPr>
        <w:pStyle w:val="2"/>
        <w:spacing w:line="256" w:lineRule="auto"/>
        <w:rPr>
          <w:rFonts w:hint="default" w:ascii="Times New Roman" w:hAnsi="Times New Roman" w:eastAsia="仿宋_GB2312" w:cs="Times New Roman"/>
        </w:rPr>
      </w:pPr>
    </w:p>
    <w:p w14:paraId="5CF8D170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七、政府性基金预算财政拨款收入支出决算情况说明</w:t>
      </w:r>
    </w:p>
    <w:p w14:paraId="039A10E8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9"/>
          <w:sz w:val="31"/>
          <w:szCs w:val="31"/>
        </w:rPr>
        <w:t>一般公共预算财政拨款“三公”经费支出决算表为空白表。</w:t>
      </w:r>
    </w:p>
    <w:p w14:paraId="08CBAC21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八、国有资本经营预算财政拨款支出决算情况说明</w:t>
      </w:r>
    </w:p>
    <w:p w14:paraId="0490A50C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9"/>
          <w:sz w:val="31"/>
          <w:szCs w:val="31"/>
        </w:rPr>
        <w:t>政府性基金预算财政拨款收入支出决算表为空白表。</w:t>
      </w:r>
    </w:p>
    <w:p w14:paraId="3E14AA73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</w:p>
    <w:p w14:paraId="3032BEB2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</w:p>
    <w:p w14:paraId="312C186B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九、财政拨款“三公”经费支出决算情况说明</w:t>
      </w:r>
    </w:p>
    <w:p w14:paraId="4A3BEB27">
      <w:pPr>
        <w:spacing w:before="254" w:line="367" w:lineRule="auto"/>
        <w:ind w:left="26" w:firstLine="641"/>
        <w:rPr>
          <w:rFonts w:hint="eastAsia" w:ascii="Times New Roman" w:hAnsi="Times New Roman" w:eastAsia="仿宋_GB2312" w:cs="Times New Roman"/>
          <w:spacing w:val="9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国有资本经营预算财政拨款支出决算表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</w:rPr>
        <w:t>为空白表</w:t>
      </w:r>
    </w:p>
    <w:p w14:paraId="55C69395">
      <w:pPr>
        <w:pStyle w:val="2"/>
        <w:spacing w:line="287" w:lineRule="auto"/>
        <w:rPr>
          <w:rFonts w:hint="default" w:ascii="Times New Roman" w:hAnsi="Times New Roman" w:eastAsia="仿宋_GB2312" w:cs="Times New Roman"/>
        </w:rPr>
      </w:pPr>
    </w:p>
    <w:p w14:paraId="24D8D4FC">
      <w:pPr>
        <w:spacing w:before="101" w:line="224" w:lineRule="auto"/>
        <w:ind w:left="750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十、关于</w:t>
      </w:r>
      <w:r>
        <w:rPr>
          <w:rFonts w:hint="default" w:ascii="Times New Roman" w:hAnsi="Times New Roman" w:eastAsia="仿宋_GB2312" w:cs="Times New Roman"/>
          <w:spacing w:val="-5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2023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年度绩效评价情况说明</w:t>
      </w:r>
    </w:p>
    <w:p w14:paraId="6FE28B6F">
      <w:pPr>
        <w:spacing w:before="254" w:line="367" w:lineRule="auto"/>
        <w:ind w:left="26" w:firstLine="641"/>
        <w:rPr>
          <w:rFonts w:hint="default" w:ascii="Times New Roman" w:hAnsi="Times New Roman" w:eastAsia="仿宋_GB2312" w:cs="Times New Roman"/>
          <w:spacing w:val="9"/>
          <w:sz w:val="31"/>
          <w:szCs w:val="31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 xml:space="preserve">（ 一）绩效评价工作开展情况。绩效评价工作开展情况 说明为：根据预算绩效管理要求，本部门组织对 2023 年度 一般公共预算项目支出全面开展绩效自评，其中，一级项目 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 xml:space="preserve"> 个，二级项目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 xml:space="preserve">个，共涉及资金 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7.92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 xml:space="preserve"> 万元， 占一般公共 预算项目支出总额的 </w:t>
      </w:r>
      <w:r>
        <w:rPr>
          <w:rFonts w:hint="eastAsia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  <w:lang w:val="en-US" w:eastAsia="zh-CN"/>
        </w:rPr>
        <w:t>%。</w:t>
      </w:r>
      <w:bookmarkStart w:id="0" w:name="_GoBack"/>
      <w:bookmarkEnd w:id="0"/>
    </w:p>
    <w:p w14:paraId="618FD030">
      <w:pPr>
        <w:spacing w:before="253" w:line="356" w:lineRule="auto"/>
        <w:ind w:left="36" w:right="22" w:firstLine="62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（二）</w:t>
      </w:r>
      <w:r>
        <w:rPr>
          <w:rFonts w:hint="default" w:ascii="Times New Roman" w:hAnsi="Times New Roman" w:eastAsia="仿宋_GB2312" w:cs="Times New Roman"/>
          <w:spacing w:val="-6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4"/>
          <w:sz w:val="31"/>
          <w:szCs w:val="31"/>
        </w:rPr>
        <w:t>项目绩效自评结果（如有）。除涉密敏感内容外，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省级部门原则上应予以公开。按照如下格式说明</w:t>
      </w:r>
      <w:r>
        <w:rPr>
          <w:rFonts w:hint="default" w:ascii="Times New Roman" w:hAnsi="Times New Roman" w:eastAsia="仿宋_GB2312" w:cs="Times New Roman"/>
          <w:spacing w:val="-8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:</w:t>
      </w:r>
    </w:p>
    <w:p w14:paraId="35C60D75">
      <w:pPr>
        <w:spacing w:before="49" w:line="366" w:lineRule="auto"/>
        <w:ind w:left="21" w:right="107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房屋征收管理系统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项目绩效自评情况：根据年初设定的绩效目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标，项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目绩效自评得分为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分。项目全年预算数为</w:t>
      </w:r>
      <w:r>
        <w:rPr>
          <w:rFonts w:hint="default" w:ascii="Times New Roman" w:hAnsi="Times New Roman" w:eastAsia="仿宋_GB2312" w:cs="Times New Roman"/>
          <w:spacing w:val="-64"/>
          <w:sz w:val="31"/>
          <w:szCs w:val="31"/>
        </w:rPr>
        <w:t xml:space="preserve"> 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-47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万元，执行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数为</w:t>
      </w:r>
      <w:r>
        <w:rPr>
          <w:rFonts w:hint="eastAsia" w:ascii="Times New Roman" w:hAnsi="Times New Roman" w:eastAsia="仿宋_GB2312" w:cs="Times New Roman"/>
          <w:spacing w:val="8"/>
          <w:sz w:val="31"/>
          <w:szCs w:val="31"/>
          <w:lang w:val="en-US" w:eastAsia="zh-CN"/>
        </w:rPr>
        <w:t>7.92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万元，完成预算的</w:t>
      </w:r>
      <w:r>
        <w:rPr>
          <w:rFonts w:hint="eastAsia" w:ascii="Times New Roman" w:hAnsi="Times New Roman" w:eastAsia="仿宋_GB2312" w:cs="Times New Roman"/>
          <w:sz w:val="31"/>
          <w:szCs w:val="31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%。</w:t>
      </w:r>
    </w:p>
    <w:p w14:paraId="4006096F">
      <w:pPr>
        <w:spacing w:before="250" w:line="364" w:lineRule="auto"/>
        <w:ind w:left="34" w:firstLine="625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（三）</w:t>
      </w:r>
      <w:r>
        <w:rPr>
          <w:rFonts w:hint="default" w:ascii="Times New Roman" w:hAnsi="Times New Roman" w:eastAsia="仿宋_GB2312" w:cs="Times New Roman"/>
          <w:spacing w:val="-3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部门评价结果（如有）。除涉密敏感内容外，省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级部门原则上应将部门评价结果以报告的形式予以公开。报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0"/>
          <w:sz w:val="31"/>
          <w:szCs w:val="31"/>
        </w:rPr>
        <w:t>告框架可参考《项目支出绩效评价管理办法》（吉财绩〔2022〕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711</w:t>
      </w:r>
      <w:r>
        <w:rPr>
          <w:rFonts w:hint="default" w:ascii="Times New Roman" w:hAnsi="Times New Roman" w:eastAsia="仿宋_GB2312" w:cs="Times New Roman"/>
          <w:spacing w:val="-3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号）中的《项目支出绩效评价报告（参考提纲）》。</w:t>
      </w:r>
    </w:p>
    <w:p w14:paraId="35E8EF0C">
      <w:pPr>
        <w:spacing w:line="364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6" w:type="default"/>
          <w:pgSz w:w="11907" w:h="16839"/>
          <w:pgMar w:top="1431" w:right="1694" w:bottom="1153" w:left="1785" w:header="0" w:footer="965" w:gutter="0"/>
          <w:cols w:space="720" w:num="1"/>
        </w:sectPr>
      </w:pPr>
    </w:p>
    <w:p w14:paraId="55D73E59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5C8F0E8">
      <w:pPr>
        <w:pStyle w:val="2"/>
        <w:spacing w:line="339" w:lineRule="auto"/>
        <w:rPr>
          <w:rFonts w:hint="default" w:ascii="Times New Roman" w:hAnsi="Times New Roman" w:eastAsia="仿宋_GB2312" w:cs="Times New Roman"/>
        </w:rPr>
      </w:pPr>
    </w:p>
    <w:p w14:paraId="416AADF5">
      <w:pPr>
        <w:spacing w:before="100" w:line="224" w:lineRule="auto"/>
        <w:ind w:left="67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十一、其他重要事项情况说明</w:t>
      </w:r>
    </w:p>
    <w:p w14:paraId="427B2A6B">
      <w:pPr>
        <w:spacing w:before="248" w:line="222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（</w:t>
      </w:r>
      <w:r>
        <w:rPr>
          <w:rFonts w:hint="default" w:ascii="Times New Roman" w:hAnsi="Times New Roman" w:eastAsia="仿宋_GB2312" w:cs="Times New Roman"/>
          <w:spacing w:val="-7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一）机关运行经费执行情况说明</w:t>
      </w:r>
    </w:p>
    <w:p w14:paraId="2E27FFE1">
      <w:pPr>
        <w:spacing w:before="249" w:line="368" w:lineRule="auto"/>
        <w:ind w:left="29" w:right="24" w:firstLine="641"/>
        <w:rPr>
          <w:rFonts w:hint="eastAsia" w:ascii="Times New Roman" w:hAnsi="Times New Roman" w:eastAsia="仿宋_GB2312" w:cs="Times New Roman"/>
          <w:spacing w:val="7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年度，机关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无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运行经费</w:t>
      </w:r>
    </w:p>
    <w:p w14:paraId="0923DC50">
      <w:pPr>
        <w:spacing w:before="48" w:line="224" w:lineRule="auto"/>
        <w:ind w:left="65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（二）政府采购支出情况说明</w:t>
      </w:r>
    </w:p>
    <w:p w14:paraId="56FE463B">
      <w:pPr>
        <w:spacing w:before="249" w:line="368" w:lineRule="auto"/>
        <w:ind w:left="29" w:right="24" w:firstLine="641"/>
        <w:rPr>
          <w:rFonts w:hint="eastAsia" w:ascii="Times New Roman" w:hAnsi="Times New Roman" w:eastAsia="仿宋_GB2312" w:cs="Times New Roman"/>
          <w:spacing w:val="7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202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 xml:space="preserve">年度，政府采购支出总额 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万元</w:t>
      </w:r>
    </w:p>
    <w:p w14:paraId="04F304D3">
      <w:pPr>
        <w:spacing w:before="249" w:line="368" w:lineRule="auto"/>
        <w:ind w:left="29" w:right="24" w:firstLine="641"/>
        <w:rPr>
          <w:rFonts w:hint="default" w:ascii="Times New Roman" w:hAnsi="Times New Roman" w:eastAsia="仿宋_GB2312" w:cs="Times New Roman"/>
          <w:spacing w:val="7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（三）国有资产占用情况说明</w:t>
      </w:r>
    </w:p>
    <w:p w14:paraId="6EF42901">
      <w:pPr>
        <w:spacing w:before="249" w:line="368" w:lineRule="auto"/>
        <w:ind w:left="29" w:right="24" w:firstLine="641"/>
        <w:rPr>
          <w:rFonts w:hint="eastAsia" w:ascii="Times New Roman" w:hAnsi="Times New Roman" w:eastAsia="仿宋_GB2312" w:cs="Times New Roman"/>
          <w:spacing w:val="7"/>
          <w:sz w:val="31"/>
          <w:szCs w:val="31"/>
        </w:rPr>
      </w:pP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截至202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年12月31日，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长春经济技术开发区房屋征收经办中心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共有车辆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辆，其中，副部（省）级及以上领导用车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辆、主要领导干部用车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辆、机要通信用车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辆、应急保障用车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辆、执法执勤用车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辆、特种专业技术用车XX辆、离退休干部用车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辆、其他用车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辆，单位价值100万元以上专用设备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  <w:lang w:val="en-US" w:eastAsia="zh-CN"/>
        </w:rPr>
        <w:t>0</w:t>
      </w:r>
      <w:r>
        <w:rPr>
          <w:rFonts w:hint="eastAsia" w:ascii="Times New Roman" w:hAnsi="Times New Roman" w:eastAsia="仿宋_GB2312" w:cs="Times New Roman"/>
          <w:spacing w:val="7"/>
          <w:sz w:val="31"/>
          <w:szCs w:val="31"/>
        </w:rPr>
        <w:t>台（套）。</w:t>
      </w:r>
    </w:p>
    <w:p w14:paraId="78036132">
      <w:pPr>
        <w:spacing w:before="225" w:line="443" w:lineRule="exact"/>
        <w:ind w:left="2186"/>
        <w:outlineLvl w:val="0"/>
        <w:rPr>
          <w:rFonts w:hint="default" w:ascii="Times New Roman" w:hAnsi="Times New Roman" w:eastAsia="仿宋_GB2312" w:cs="Times New Roman"/>
          <w:sz w:val="44"/>
          <w:szCs w:val="44"/>
        </w:rPr>
      </w:pP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第四部分</w:t>
      </w:r>
      <w:r>
        <w:rPr>
          <w:rFonts w:hint="default" w:ascii="Times New Roman" w:hAnsi="Times New Roman" w:eastAsia="仿宋_GB2312" w:cs="Times New Roman"/>
          <w:spacing w:val="24"/>
          <w:position w:val="-2"/>
          <w:sz w:val="44"/>
          <w:szCs w:val="44"/>
        </w:rPr>
        <w:t xml:space="preserve">   </w:t>
      </w:r>
      <w:r>
        <w:rPr>
          <w:rFonts w:hint="default" w:ascii="Times New Roman" w:hAnsi="Times New Roman" w:eastAsia="仿宋_GB2312" w:cs="Times New Roman"/>
          <w:spacing w:val="-4"/>
          <w:position w:val="-2"/>
          <w:sz w:val="44"/>
          <w:szCs w:val="44"/>
        </w:rPr>
        <w:t>名词解释</w:t>
      </w:r>
    </w:p>
    <w:p w14:paraId="6027599F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E75D38F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2135D6AA">
      <w:pPr>
        <w:pStyle w:val="2"/>
        <w:spacing w:line="315" w:lineRule="auto"/>
        <w:rPr>
          <w:rFonts w:hint="default" w:ascii="Times New Roman" w:hAnsi="Times New Roman" w:eastAsia="仿宋_GB2312" w:cs="Times New Roman"/>
        </w:rPr>
      </w:pPr>
    </w:p>
    <w:p w14:paraId="127EAD91">
      <w:pPr>
        <w:spacing w:before="100" w:line="297" w:lineRule="auto"/>
        <w:ind w:left="39" w:right="13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一、财政拨款收入：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指单位从同级财政部门取得的财政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>预算资金。</w:t>
      </w:r>
    </w:p>
    <w:p w14:paraId="2E9D6968">
      <w:pPr>
        <w:spacing w:before="250" w:line="297" w:lineRule="auto"/>
        <w:ind w:left="30" w:right="1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二、上级补助收入：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指从主管部门和上级单位取得的非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财政补助收入。</w:t>
      </w:r>
    </w:p>
    <w:p w14:paraId="758A9ABC">
      <w:pPr>
        <w:spacing w:before="249" w:line="298" w:lineRule="auto"/>
        <w:ind w:left="44" w:right="18" w:firstLine="649"/>
        <w:outlineLvl w:val="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4"/>
          <w:sz w:val="31"/>
          <w:szCs w:val="31"/>
        </w:rPr>
        <w:t>三、事业收入：指事业单位开展专业业务活动及辅助活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pacing w:val="-6"/>
          <w:sz w:val="31"/>
          <w:szCs w:val="31"/>
        </w:rPr>
        <w:t>动取得的收入。</w:t>
      </w:r>
    </w:p>
    <w:p w14:paraId="068B634F">
      <w:pPr>
        <w:spacing w:before="249" w:line="297" w:lineRule="auto"/>
        <w:ind w:left="44" w:right="16" w:firstLine="662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四、经营收入：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指事业单位在专业业务活动及其辅助活</w:t>
      </w:r>
      <w:r>
        <w:rPr>
          <w:rFonts w:hint="default" w:ascii="Times New Roman" w:hAnsi="Times New Roman" w:eastAsia="仿宋_GB2312" w:cs="Times New Roman"/>
          <w:spacing w:val="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动之外开展非独立核算经营活动取得的收入。</w:t>
      </w:r>
    </w:p>
    <w:p w14:paraId="1B3C3BAC">
      <w:pPr>
        <w:spacing w:before="249" w:line="298" w:lineRule="auto"/>
        <w:ind w:left="28" w:right="1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五、附属单位上缴收入：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指事业单位附属独立核算单位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按照有关规定上缴的收入。</w:t>
      </w:r>
    </w:p>
    <w:p w14:paraId="7BCFA313">
      <w:pPr>
        <w:spacing w:before="246" w:line="347" w:lineRule="auto"/>
        <w:ind w:left="29" w:right="14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六、其他收入：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指除上述收入以外的各项收入。包括未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纳入财政预算或财政专户管理的投资收益、银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行存款利息收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入、租金收入、捐赠收入，现金盘盈收入、存货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盘盈收入、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收回已核销应收及预付款项、无法偿付的应付及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预收款项，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从省财政以外的同级单位取得的经费、从非省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财政取得的经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费，以及行政单位收到的财政专户管理资金等。</w:t>
      </w:r>
    </w:p>
    <w:p w14:paraId="3370F073">
      <w:pPr>
        <w:spacing w:before="252" w:line="322" w:lineRule="auto"/>
        <w:ind w:left="28" w:right="10" w:firstLine="64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5"/>
          <w:sz w:val="31"/>
          <w:szCs w:val="31"/>
        </w:rPr>
        <w:t>七、使用非财政拨款结余（含专用结余</w:t>
      </w:r>
      <w:r>
        <w:rPr>
          <w:rFonts w:hint="default" w:ascii="Times New Roman" w:hAnsi="Times New Roman" w:eastAsia="仿宋_GB2312" w:cs="Times New Roman"/>
          <w:b/>
          <w:bCs/>
          <w:spacing w:val="16"/>
          <w:sz w:val="31"/>
          <w:szCs w:val="31"/>
        </w:rPr>
        <w:t>）：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指事业单位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按照预算管理要求使用非财政拨款结余弥补收支差额的金</w:t>
      </w:r>
      <w:r>
        <w:rPr>
          <w:rFonts w:hint="default" w:ascii="Times New Roman" w:hAnsi="Times New Roman" w:eastAsia="仿宋_GB2312" w:cs="Times New Roman"/>
          <w:spacing w:val="1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额，以及使用专用结余安排支出的金额。</w:t>
      </w:r>
    </w:p>
    <w:p w14:paraId="1716D4EF">
      <w:pPr>
        <w:spacing w:before="249" w:line="220" w:lineRule="auto"/>
        <w:ind w:right="13"/>
        <w:jc w:val="right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八、年初结转和结余：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指单位以前年度尚未完成、结转</w:t>
      </w:r>
    </w:p>
    <w:p w14:paraId="6A0F6F44">
      <w:pPr>
        <w:spacing w:line="220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7" w:type="default"/>
          <w:pgSz w:w="11907" w:h="16839"/>
          <w:pgMar w:top="1431" w:right="1785" w:bottom="1153" w:left="1785" w:header="0" w:footer="965" w:gutter="0"/>
          <w:cols w:space="720" w:num="1"/>
        </w:sectPr>
      </w:pPr>
    </w:p>
    <w:p w14:paraId="5239904D">
      <w:pPr>
        <w:spacing w:before="160" w:line="357" w:lineRule="auto"/>
        <w:ind w:left="46" w:right="189" w:hanging="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到本年按有关规定用途继续使用的资金，或项目已完成等产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3"/>
          <w:sz w:val="31"/>
          <w:szCs w:val="31"/>
        </w:rPr>
        <w:t>生的结余资金。</w:t>
      </w:r>
    </w:p>
    <w:p w14:paraId="0C3108E1">
      <w:pPr>
        <w:spacing w:before="48" w:line="355" w:lineRule="auto"/>
        <w:ind w:left="32" w:right="155" w:firstLine="641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九、结余分配：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指事业单位按照会计制度规定缴纳的所</w:t>
      </w:r>
      <w:r>
        <w:rPr>
          <w:rFonts w:hint="default" w:ascii="Times New Roman" w:hAnsi="Times New Roman" w:eastAsia="仿宋_GB2312" w:cs="Times New Roman"/>
          <w:spacing w:val="1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得税、提取的专用结余以及转入非财政拨款结余的金额等。</w:t>
      </w:r>
    </w:p>
    <w:p w14:paraId="40B0AE54">
      <w:pPr>
        <w:spacing w:before="54" w:line="364" w:lineRule="auto"/>
        <w:ind w:left="29" w:right="153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十、年末结转和结余：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指单位按有关规定结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转到下年或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21"/>
          <w:sz w:val="31"/>
          <w:szCs w:val="31"/>
        </w:rPr>
        <w:t>以后年度继续使用的资金，或项目已完成等产生的结余资</w:t>
      </w:r>
      <w:r>
        <w:rPr>
          <w:rFonts w:hint="default" w:ascii="Times New Roman" w:hAnsi="Times New Roman" w:eastAsia="仿宋_GB2312" w:cs="Times New Roman"/>
          <w:spacing w:val="10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6"/>
          <w:sz w:val="31"/>
          <w:szCs w:val="31"/>
        </w:rPr>
        <w:t>金。</w:t>
      </w:r>
    </w:p>
    <w:p w14:paraId="4502AD38">
      <w:pPr>
        <w:spacing w:before="39" w:line="297" w:lineRule="auto"/>
        <w:ind w:left="30" w:right="153" w:firstLine="65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十一、基本支出：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指为保障机构正常运转、完成日常工</w:t>
      </w:r>
      <w:r>
        <w:rPr>
          <w:rFonts w:hint="default" w:ascii="Times New Roman" w:hAnsi="Times New Roman" w:eastAsia="仿宋_GB2312" w:cs="Times New Roman"/>
          <w:spacing w:val="1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作任务而发生的人员支出和公用支出。</w:t>
      </w:r>
    </w:p>
    <w:p w14:paraId="27FF0223">
      <w:pPr>
        <w:spacing w:before="250" w:line="298" w:lineRule="auto"/>
        <w:ind w:left="33" w:right="154" w:firstLine="65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十二、项目支出：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指在基本支出之外为完成特定行政任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4"/>
          <w:sz w:val="31"/>
          <w:szCs w:val="31"/>
        </w:rPr>
        <w:t>务或事业发展目标所发生的支出。</w:t>
      </w:r>
    </w:p>
    <w:p w14:paraId="5642DA13">
      <w:pPr>
        <w:spacing w:before="249" w:line="297" w:lineRule="auto"/>
        <w:ind w:left="44" w:right="155" w:firstLine="639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十三、经营支出：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指事业单位在专业业务活动及其辅助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活动之外开展非独立核算经营活动发生的支出。</w:t>
      </w:r>
    </w:p>
    <w:p w14:paraId="05D6F766">
      <w:pPr>
        <w:spacing w:before="249" w:line="297" w:lineRule="auto"/>
        <w:ind w:left="40" w:right="153" w:firstLine="64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十四、上缴上级支出：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指事业单位按照有关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规定上缴上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2"/>
          <w:sz w:val="31"/>
          <w:szCs w:val="31"/>
        </w:rPr>
        <w:t>级单位的支出。</w:t>
      </w:r>
    </w:p>
    <w:p w14:paraId="7212B475">
      <w:pPr>
        <w:spacing w:before="251" w:line="297" w:lineRule="auto"/>
        <w:ind w:left="29" w:right="152" w:firstLine="654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十五、对附属单位补助支出：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指事业单位用财政补助收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入之外的收入对附属单位补助发生的支出。</w:t>
      </w:r>
    </w:p>
    <w:p w14:paraId="008D74C4">
      <w:pPr>
        <w:spacing w:before="252" w:line="342" w:lineRule="auto"/>
        <w:ind w:left="25" w:firstLine="658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十六、“三公”经费：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纳入省级财政预决算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管理的“三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公”经费，是指省级部门用财政拨款安排的因公出国（境）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费、公务用车购置及运行维护费和公务接待费。是党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政机关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维持运转或完成特定工作任务所开支的相关支出，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是政府行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政开支的一部分。其中，</w:t>
      </w:r>
      <w:r>
        <w:rPr>
          <w:rFonts w:hint="default" w:ascii="Times New Roman" w:hAnsi="Times New Roman" w:eastAsia="仿宋_GB2312" w:cs="Times New Roman"/>
          <w:spacing w:val="-4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12"/>
          <w:sz w:val="31"/>
          <w:szCs w:val="31"/>
        </w:rPr>
        <w:t>因公出国（境）费反映公</w:t>
      </w:r>
      <w:r>
        <w:rPr>
          <w:rFonts w:hint="default" w:ascii="Times New Roman" w:hAnsi="Times New Roman" w:eastAsia="仿宋_GB2312" w:cs="Times New Roman"/>
          <w:spacing w:val="-13"/>
          <w:sz w:val="31"/>
          <w:szCs w:val="31"/>
        </w:rPr>
        <w:t>务出国（境）</w:t>
      </w:r>
    </w:p>
    <w:p w14:paraId="3B54DAD9">
      <w:pPr>
        <w:spacing w:line="342" w:lineRule="auto"/>
        <w:rPr>
          <w:rFonts w:hint="default" w:ascii="Times New Roman" w:hAnsi="Times New Roman" w:eastAsia="仿宋_GB2312" w:cs="Times New Roman"/>
          <w:sz w:val="31"/>
          <w:szCs w:val="31"/>
        </w:rPr>
        <w:sectPr>
          <w:footerReference r:id="rId18" w:type="default"/>
          <w:pgSz w:w="11907" w:h="16839"/>
          <w:pgMar w:top="1431" w:right="1646" w:bottom="1153" w:left="1785" w:header="0" w:footer="965" w:gutter="0"/>
          <w:cols w:space="720" w:num="1"/>
        </w:sectPr>
      </w:pPr>
    </w:p>
    <w:p w14:paraId="681B1B74">
      <w:pPr>
        <w:spacing w:before="155" w:line="366" w:lineRule="auto"/>
        <w:ind w:left="25" w:firstLine="28"/>
        <w:jc w:val="both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spacing w:val="-1"/>
          <w:sz w:val="31"/>
          <w:szCs w:val="31"/>
        </w:rPr>
        <w:t>的国际旅费、国外城市间交通费、住宿费、伙食费、培训费、</w:t>
      </w:r>
      <w:r>
        <w:rPr>
          <w:rFonts w:hint="default" w:ascii="Times New Roman" w:hAnsi="Times New Roman" w:eastAsia="仿宋_GB2312" w:cs="Times New Roman"/>
          <w:spacing w:val="16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公杂费等支出；公务用车购置及运行费反映单位公务用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车车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辆购置支出（含车辆购置税）及燃料费、维修费、过桥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过路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费、保险费、安全奖励费等支出；公务接待费反映单位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按规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定开支的各类公务接待（含外宾接待）支出。</w:t>
      </w:r>
    </w:p>
    <w:p w14:paraId="7E8FBD3D">
      <w:pPr>
        <w:spacing w:before="48" w:line="347" w:lineRule="auto"/>
        <w:ind w:left="26" w:right="93" w:firstLine="656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7"/>
          <w:sz w:val="31"/>
          <w:szCs w:val="31"/>
        </w:rPr>
        <w:t>十七、机关运行经费：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指为保障行政单位（包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括参照公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务员法管理的事业单位）运行用于购买货物和服务的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各项资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金，包括办公费、</w:t>
      </w:r>
      <w:r>
        <w:rPr>
          <w:rFonts w:hint="default" w:ascii="Times New Roman" w:hAnsi="Times New Roman" w:eastAsia="仿宋_GB2312" w:cs="Times New Roman"/>
          <w:spacing w:val="-82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印刷费、邮电费、差旅费、会议费、福利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费、日常维修费、专用材料及一般设备购置费、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办公用房水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9"/>
          <w:sz w:val="31"/>
          <w:szCs w:val="31"/>
        </w:rPr>
        <w:t>电费、办公用房取暖费、办公用房物业管理费、</w:t>
      </w:r>
      <w:r>
        <w:rPr>
          <w:rFonts w:hint="default" w:ascii="Times New Roman" w:hAnsi="Times New Roman" w:eastAsia="仿宋_GB2312" w:cs="Times New Roman"/>
          <w:spacing w:val="8"/>
          <w:sz w:val="31"/>
          <w:szCs w:val="31"/>
        </w:rPr>
        <w:t>公务用车运</w:t>
      </w:r>
      <w:r>
        <w:rPr>
          <w:rFonts w:hint="default" w:ascii="Times New Roman" w:hAnsi="Times New Roman" w:eastAsia="仿宋_GB2312" w:cs="Times New Roman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3"/>
          <w:sz w:val="31"/>
          <w:szCs w:val="31"/>
        </w:rPr>
        <w:t>行维护费以及其他费用。</w:t>
      </w:r>
    </w:p>
    <w:p w14:paraId="2B1AE1F4">
      <w:pPr>
        <w:spacing w:before="250" w:line="322" w:lineRule="auto"/>
        <w:ind w:left="43" w:right="93" w:firstLine="640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6"/>
          <w:sz w:val="31"/>
          <w:szCs w:val="31"/>
        </w:rPr>
        <w:t>十八、******</w:t>
      </w:r>
      <w:r>
        <w:rPr>
          <w:rFonts w:hint="default" w:ascii="Times New Roman" w:hAnsi="Times New Roman" w:eastAsia="仿宋_GB2312" w:cs="Times New Roman"/>
          <w:spacing w:val="6"/>
          <w:sz w:val="31"/>
          <w:szCs w:val="31"/>
        </w:rPr>
        <w:t>（对部门使用的所有“项”级政府收支分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7"/>
          <w:sz w:val="31"/>
          <w:szCs w:val="31"/>
        </w:rPr>
        <w:t>类科目，参照《2023年政府收支分类科目》中的科目说明和</w:t>
      </w:r>
      <w:r>
        <w:rPr>
          <w:rFonts w:hint="default" w:ascii="Times New Roman" w:hAnsi="Times New Roman" w:eastAsia="仿宋_GB2312" w:cs="Times New Roman"/>
          <w:spacing w:val="18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5"/>
          <w:sz w:val="31"/>
          <w:szCs w:val="31"/>
        </w:rPr>
        <w:t>中央部门决算公开内容进行说明</w:t>
      </w:r>
      <w:r>
        <w:rPr>
          <w:rFonts w:hint="default" w:ascii="Times New Roman" w:hAnsi="Times New Roman" w:eastAsia="仿宋_GB2312" w:cs="Times New Roman"/>
          <w:spacing w:val="19"/>
          <w:sz w:val="31"/>
          <w:szCs w:val="31"/>
        </w:rPr>
        <w:t>）：</w:t>
      </w:r>
    </w:p>
    <w:p w14:paraId="284A64D0">
      <w:pPr>
        <w:spacing w:before="250" w:line="224" w:lineRule="auto"/>
        <w:ind w:left="683"/>
        <w:rPr>
          <w:rFonts w:hint="default" w:ascii="Times New Roman" w:hAnsi="Times New Roman" w:eastAsia="仿宋_GB2312" w:cs="Times New Roman"/>
          <w:sz w:val="31"/>
          <w:szCs w:val="31"/>
        </w:rPr>
      </w:pPr>
      <w:r>
        <w:rPr>
          <w:rFonts w:hint="default" w:ascii="Times New Roman" w:hAnsi="Times New Roman" w:eastAsia="仿宋_GB2312" w:cs="Times New Roman"/>
          <w:b/>
          <w:bCs/>
          <w:spacing w:val="-8"/>
          <w:sz w:val="31"/>
          <w:szCs w:val="31"/>
        </w:rPr>
        <w:t>十九、</w:t>
      </w:r>
      <w:r>
        <w:rPr>
          <w:rFonts w:hint="default" w:ascii="Times New Roman" w:hAnsi="Times New Roman" w:eastAsia="仿宋_GB2312" w:cs="Times New Roman"/>
          <w:spacing w:val="-8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</w:t>
      </w:r>
      <w:r>
        <w:rPr>
          <w:rFonts w:hint="default" w:ascii="Times New Roman" w:hAnsi="Times New Roman" w:eastAsia="仿宋_GB2312" w:cs="Times New Roman"/>
          <w:spacing w:val="-103"/>
          <w:sz w:val="31"/>
          <w:szCs w:val="31"/>
        </w:rPr>
        <w:t xml:space="preserve"> </w:t>
      </w:r>
      <w:r>
        <w:rPr>
          <w:rFonts w:hint="default" w:ascii="Times New Roman" w:hAnsi="Times New Roman" w:eastAsia="仿宋_GB2312" w:cs="Times New Roman"/>
          <w:spacing w:val="-8"/>
          <w:sz w:val="31"/>
          <w:szCs w:val="31"/>
        </w:rPr>
        <w:t>…（同上）</w:t>
      </w:r>
    </w:p>
    <w:p w14:paraId="478B0486">
      <w:pPr>
        <w:spacing w:before="249" w:line="355" w:lineRule="auto"/>
        <w:ind w:left="26" w:right="98" w:firstLine="648"/>
        <w:rPr>
          <w:rFonts w:hint="default" w:ascii="Times New Roman" w:hAnsi="Times New Roman" w:eastAsia="仿宋_GB2312" w:cs="Times New Roman"/>
          <w:color w:val="FF0000"/>
          <w:spacing w:val="5"/>
          <w:sz w:val="31"/>
          <w:szCs w:val="31"/>
        </w:rPr>
      </w:pPr>
    </w:p>
    <w:sectPr>
      <w:footerReference r:id="rId19" w:type="default"/>
      <w:pgSz w:w="11907" w:h="16839"/>
      <w:pgMar w:top="1431" w:right="1705" w:bottom="1153" w:left="1785" w:header="0" w:footer="96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B63594">
    <w:pPr>
      <w:spacing w:line="177" w:lineRule="auto"/>
      <w:ind w:left="413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1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D1A091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16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EEEA8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18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BA1E55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EA695E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25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1E7866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26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02EFAA">
    <w:pPr>
      <w:spacing w:line="176" w:lineRule="auto"/>
      <w:ind w:left="406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1"/>
        <w:sz w:val="21"/>
        <w:szCs w:val="21"/>
      </w:rPr>
      <w:t>27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5B6B31">
    <w:pPr>
      <w:spacing w:line="177" w:lineRule="auto"/>
      <w:ind w:left="411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EB886">
    <w:pPr>
      <w:spacing w:line="176" w:lineRule="auto"/>
      <w:ind w:left="4122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3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F8142">
    <w:pPr>
      <w:spacing w:line="174" w:lineRule="auto"/>
      <w:ind w:left="4124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5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628834">
    <w:pPr>
      <w:spacing w:line="176" w:lineRule="auto"/>
      <w:ind w:left="4123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6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A8D3B">
    <w:pPr>
      <w:spacing w:line="176" w:lineRule="auto"/>
      <w:ind w:left="4127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z w:val="21"/>
        <w:szCs w:val="21"/>
      </w:rPr>
      <w:t>8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330AFC">
    <w:pPr>
      <w:spacing w:line="176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10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DCA50">
    <w:pPr>
      <w:spacing w:line="177" w:lineRule="auto"/>
      <w:ind w:left="4090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8"/>
        <w:sz w:val="21"/>
        <w:szCs w:val="21"/>
      </w:rPr>
      <w:t>11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8E6DD2">
    <w:pPr>
      <w:spacing w:line="177" w:lineRule="auto"/>
      <w:ind w:left="4088"/>
      <w:rPr>
        <w:rFonts w:ascii="Times New Roman" w:hAnsi="Times New Roman" w:eastAsia="Times New Roman" w:cs="Times New Roman"/>
        <w:sz w:val="21"/>
        <w:szCs w:val="21"/>
      </w:rPr>
    </w:pPr>
    <w:r>
      <w:rPr>
        <w:rFonts w:ascii="Times New Roman" w:hAnsi="Times New Roman" w:eastAsia="Times New Roman" w:cs="Times New Roman"/>
        <w:spacing w:val="-6"/>
        <w:sz w:val="21"/>
        <w:szCs w:val="21"/>
      </w:rPr>
      <w:t>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E4YTljZmExM2I0NDQyY2JmMTBlMDI0Njg2Zjc4MjAifQ=="/>
  </w:docVars>
  <w:rsids>
    <w:rsidRoot w:val="00000000"/>
    <w:rsid w:val="0C823D8D"/>
    <w:rsid w:val="16E22E2F"/>
    <w:rsid w:val="232418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link w:val="6"/>
    <w:qFormat/>
    <w:uiPriority w:val="0"/>
    <w:rPr>
      <w:rFonts w:eastAsia="宋体"/>
      <w:sz w:val="21"/>
      <w:szCs w:val="20"/>
    </w:rPr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 Char"/>
    <w:basedOn w:val="1"/>
    <w:link w:val="5"/>
    <w:qFormat/>
    <w:uiPriority w:val="0"/>
    <w:pPr>
      <w:widowControl/>
      <w:spacing w:after="160" w:line="240" w:lineRule="exact"/>
      <w:jc w:val="left"/>
    </w:pPr>
    <w:rPr>
      <w:rFonts w:eastAsia="宋体"/>
      <w:sz w:val="21"/>
      <w:szCs w:val="20"/>
    </w:rPr>
  </w:style>
  <w:style w:type="character" w:styleId="7">
    <w:name w:val="page number"/>
    <w:basedOn w:val="5"/>
    <w:uiPriority w:val="0"/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image" Target="media/image10.png"/><Relationship Id="rId3" Type="http://schemas.openxmlformats.org/officeDocument/2006/relationships/footnotes" Target="footnotes.xml"/><Relationship Id="rId29" Type="http://schemas.openxmlformats.org/officeDocument/2006/relationships/image" Target="media/image9.jpeg"/><Relationship Id="rId28" Type="http://schemas.openxmlformats.org/officeDocument/2006/relationships/image" Target="media/image8.png"/><Relationship Id="rId27" Type="http://schemas.openxmlformats.org/officeDocument/2006/relationships/image" Target="media/image7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22" Type="http://schemas.openxmlformats.org/officeDocument/2006/relationships/image" Target="media/image2.png"/><Relationship Id="rId21" Type="http://schemas.openxmlformats.org/officeDocument/2006/relationships/image" Target="media/image1.png"/><Relationship Id="rId20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6754</Words>
  <Characters>7030</Characters>
  <TotalTime>0</TotalTime>
  <ScaleCrop>false</ScaleCrop>
  <LinksUpToDate>false</LinksUpToDate>
  <CharactersWithSpaces>7737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2024-08-07T08:54:00Z</dcterms:created>
  <dc:creator>王志强</dc:creator>
  <cp:lastModifiedBy>Dell</cp:lastModifiedBy>
  <cp:lastPrinted>2024-08-26T08:47:00Z</cp:lastPrinted>
  <dcterms:modified xsi:type="dcterms:W3CDTF">2024-09-12T07:12:15Z</dcterms:modified>
  <dc:title>2015年度部门决算公开模板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2024-08-26T15:58:15Z</vt:filetime>
  </property>
  <property fmtid="{D5CDD505-2E9C-101B-9397-08002B2CF9AE}" pid="4" name="KSOProductBuildVer">
    <vt:lpwstr>2052-12.1.0.17140</vt:lpwstr>
  </property>
  <property fmtid="{D5CDD505-2E9C-101B-9397-08002B2CF9AE}" pid="5" name="ICV">
    <vt:lpwstr>86104F61977542F7951D4897FE0596D6_13</vt:lpwstr>
  </property>
</Properties>
</file>