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B09B7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 xml:space="preserve">附件 </w:t>
      </w:r>
      <w:r>
        <w:rPr>
          <w:rFonts w:hint="default" w:ascii="Times New Roman" w:hAnsi="Times New Roman" w:eastAsia="仿宋" w:cs="Times New Roman"/>
          <w:snapToGrid/>
          <w:kern w:val="2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>：</w:t>
      </w:r>
    </w:p>
    <w:p w14:paraId="7B32F8C2">
      <w:pPr>
        <w:pStyle w:val="2"/>
        <w:spacing w:line="251" w:lineRule="auto"/>
      </w:pPr>
    </w:p>
    <w:p w14:paraId="10CF7600">
      <w:pPr>
        <w:pStyle w:val="2"/>
        <w:spacing w:line="251" w:lineRule="auto"/>
      </w:pPr>
    </w:p>
    <w:p w14:paraId="289FA1AA">
      <w:pPr>
        <w:pStyle w:val="2"/>
        <w:spacing w:line="252" w:lineRule="auto"/>
      </w:pPr>
    </w:p>
    <w:p w14:paraId="3CB86E3F">
      <w:pPr>
        <w:pStyle w:val="2"/>
        <w:spacing w:line="252" w:lineRule="auto"/>
      </w:pPr>
    </w:p>
    <w:p w14:paraId="1A4FA978">
      <w:pPr>
        <w:pStyle w:val="2"/>
        <w:spacing w:line="252" w:lineRule="auto"/>
      </w:pPr>
    </w:p>
    <w:p w14:paraId="661153F6">
      <w:pPr>
        <w:pStyle w:val="2"/>
        <w:spacing w:line="252" w:lineRule="auto"/>
      </w:pPr>
    </w:p>
    <w:p w14:paraId="651D876D">
      <w:pPr>
        <w:pStyle w:val="2"/>
        <w:spacing w:line="252" w:lineRule="auto"/>
      </w:pPr>
    </w:p>
    <w:p w14:paraId="246808AE">
      <w:pPr>
        <w:pStyle w:val="2"/>
        <w:spacing w:line="252" w:lineRule="auto"/>
      </w:pPr>
    </w:p>
    <w:p w14:paraId="091A0854">
      <w:pPr>
        <w:pStyle w:val="2"/>
        <w:spacing w:line="252" w:lineRule="auto"/>
      </w:pPr>
    </w:p>
    <w:p w14:paraId="219D1436">
      <w:pPr>
        <w:pStyle w:val="2"/>
        <w:spacing w:line="252" w:lineRule="auto"/>
      </w:pPr>
    </w:p>
    <w:p w14:paraId="040E0970">
      <w:pPr>
        <w:pStyle w:val="2"/>
        <w:spacing w:line="252" w:lineRule="auto"/>
      </w:pPr>
    </w:p>
    <w:p w14:paraId="6F782881">
      <w:pPr>
        <w:pStyle w:val="2"/>
        <w:spacing w:line="252" w:lineRule="auto"/>
      </w:pPr>
    </w:p>
    <w:p w14:paraId="5D57C9EB">
      <w:pPr>
        <w:pStyle w:val="2"/>
        <w:spacing w:line="252" w:lineRule="auto"/>
      </w:pPr>
    </w:p>
    <w:p w14:paraId="08BA43F6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2023 年度</w:t>
      </w:r>
    </w:p>
    <w:p w14:paraId="6EB0F61C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</w:p>
    <w:p w14:paraId="306F8ED7">
      <w:pPr>
        <w:jc w:val="center"/>
        <w:rPr>
          <w:rFonts w:hint="eastAsia" w:ascii="Arial" w:hAnsi="Arial" w:eastAsia="方正小标宋简体" w:cs="Arial"/>
          <w:sz w:val="44"/>
          <w:szCs w:val="44"/>
          <w:lang w:val="en-US" w:eastAsia="zh-CN"/>
        </w:rPr>
      </w:pPr>
      <w:r>
        <w:rPr>
          <w:rFonts w:hint="eastAsia" w:ascii="Arial" w:hAnsi="Arial" w:eastAsia="方正小标宋简体" w:cs="Arial"/>
          <w:sz w:val="44"/>
          <w:szCs w:val="44"/>
          <w:lang w:val="en-US" w:eastAsia="zh-CN"/>
        </w:rPr>
        <w:t>长春经济技术开发区</w:t>
      </w:r>
      <w:r>
        <w:rPr>
          <w:rFonts w:hint="eastAsia" w:eastAsia="方正小标宋简体" w:cs="Arial"/>
          <w:sz w:val="44"/>
          <w:szCs w:val="44"/>
          <w:lang w:val="en-US" w:eastAsia="zh-CN"/>
        </w:rPr>
        <w:t>兴隆山镇中山小学</w:t>
      </w:r>
    </w:p>
    <w:p w14:paraId="48C1B025">
      <w:pPr>
        <w:jc w:val="center"/>
        <w:rPr>
          <w:rFonts w:ascii="Arial" w:hAnsi="Arial" w:eastAsia="方正小标宋简体" w:cs="Arial"/>
          <w:sz w:val="44"/>
          <w:szCs w:val="44"/>
        </w:rPr>
      </w:pPr>
      <w:r>
        <w:rPr>
          <w:rFonts w:ascii="Arial" w:hAnsi="Arial" w:eastAsia="方正小标宋简体" w:cs="Arial"/>
          <w:sz w:val="44"/>
          <w:szCs w:val="44"/>
        </w:rPr>
        <w:t>部门决算</w:t>
      </w:r>
    </w:p>
    <w:p w14:paraId="467F599A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</w:pPr>
    </w:p>
    <w:p w14:paraId="0C9C706B">
      <w:pPr>
        <w:pStyle w:val="2"/>
        <w:spacing w:line="242" w:lineRule="auto"/>
      </w:pPr>
    </w:p>
    <w:p w14:paraId="54BD604D">
      <w:pPr>
        <w:pStyle w:val="2"/>
        <w:spacing w:line="242" w:lineRule="auto"/>
      </w:pPr>
    </w:p>
    <w:p w14:paraId="73867E2B">
      <w:pPr>
        <w:pStyle w:val="2"/>
        <w:spacing w:line="242" w:lineRule="auto"/>
      </w:pPr>
    </w:p>
    <w:p w14:paraId="4A36EF66">
      <w:pPr>
        <w:pStyle w:val="2"/>
        <w:spacing w:line="242" w:lineRule="auto"/>
      </w:pPr>
    </w:p>
    <w:p w14:paraId="07C35338">
      <w:pPr>
        <w:pStyle w:val="2"/>
        <w:spacing w:line="242" w:lineRule="auto"/>
      </w:pPr>
    </w:p>
    <w:p w14:paraId="5D8D9E8B">
      <w:pPr>
        <w:pStyle w:val="2"/>
        <w:spacing w:line="242" w:lineRule="auto"/>
      </w:pPr>
    </w:p>
    <w:p w14:paraId="3FF51F1A">
      <w:pPr>
        <w:pStyle w:val="2"/>
        <w:spacing w:line="242" w:lineRule="auto"/>
      </w:pPr>
    </w:p>
    <w:p w14:paraId="3921B141">
      <w:pPr>
        <w:pStyle w:val="2"/>
        <w:spacing w:line="242" w:lineRule="auto"/>
      </w:pPr>
    </w:p>
    <w:p w14:paraId="744743F6">
      <w:pPr>
        <w:pStyle w:val="2"/>
        <w:spacing w:line="242" w:lineRule="auto"/>
      </w:pPr>
    </w:p>
    <w:p w14:paraId="57E1E76A">
      <w:pPr>
        <w:pStyle w:val="2"/>
        <w:spacing w:line="242" w:lineRule="auto"/>
      </w:pPr>
    </w:p>
    <w:p w14:paraId="6EC8366E">
      <w:pPr>
        <w:pStyle w:val="2"/>
        <w:spacing w:line="242" w:lineRule="auto"/>
      </w:pPr>
    </w:p>
    <w:p w14:paraId="7AFE4618">
      <w:pPr>
        <w:pStyle w:val="2"/>
        <w:spacing w:line="243" w:lineRule="auto"/>
      </w:pPr>
    </w:p>
    <w:p w14:paraId="08FB3A7B">
      <w:pPr>
        <w:pStyle w:val="2"/>
        <w:spacing w:line="243" w:lineRule="auto"/>
      </w:pPr>
    </w:p>
    <w:p w14:paraId="0A96D123">
      <w:pPr>
        <w:pStyle w:val="2"/>
        <w:spacing w:line="243" w:lineRule="auto"/>
      </w:pPr>
    </w:p>
    <w:p w14:paraId="4223BD56">
      <w:pPr>
        <w:pStyle w:val="2"/>
        <w:spacing w:line="243" w:lineRule="auto"/>
      </w:pPr>
    </w:p>
    <w:p w14:paraId="3F7C40CC">
      <w:pPr>
        <w:pStyle w:val="2"/>
        <w:spacing w:line="243" w:lineRule="auto"/>
      </w:pPr>
    </w:p>
    <w:p w14:paraId="00424F64">
      <w:pPr>
        <w:pStyle w:val="2"/>
        <w:spacing w:line="243" w:lineRule="auto"/>
      </w:pPr>
    </w:p>
    <w:p w14:paraId="1023D39F">
      <w:pPr>
        <w:pStyle w:val="2"/>
        <w:spacing w:line="243" w:lineRule="auto"/>
      </w:pPr>
    </w:p>
    <w:p w14:paraId="44492AA7">
      <w:pPr>
        <w:pStyle w:val="2"/>
        <w:spacing w:line="243" w:lineRule="auto"/>
      </w:pPr>
    </w:p>
    <w:p w14:paraId="123210A6">
      <w:pPr>
        <w:pStyle w:val="2"/>
        <w:spacing w:line="243" w:lineRule="auto"/>
      </w:pPr>
    </w:p>
    <w:p w14:paraId="6985EB8B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 xml:space="preserve">2024 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日</w:t>
      </w:r>
    </w:p>
    <w:p w14:paraId="0150004A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787EE678">
      <w:pPr>
        <w:pStyle w:val="2"/>
        <w:spacing w:line="289" w:lineRule="auto"/>
      </w:pPr>
    </w:p>
    <w:p w14:paraId="66C2A959">
      <w:pPr>
        <w:pStyle w:val="2"/>
        <w:spacing w:line="290" w:lineRule="auto"/>
      </w:pPr>
    </w:p>
    <w:p w14:paraId="63B4AD09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Times New Roman"/>
          <w:snapToGrid/>
          <w:kern w:val="2"/>
          <w:sz w:val="44"/>
          <w:szCs w:val="22"/>
          <w:lang w:eastAsia="zh-CN"/>
        </w:rPr>
        <w:t>目   录</w:t>
      </w:r>
    </w:p>
    <w:p w14:paraId="178083FD">
      <w:pPr>
        <w:pStyle w:val="2"/>
        <w:spacing w:line="341" w:lineRule="auto"/>
      </w:pPr>
    </w:p>
    <w:p w14:paraId="57BD9926">
      <w:pPr>
        <w:pStyle w:val="2"/>
        <w:spacing w:line="342" w:lineRule="auto"/>
      </w:pPr>
    </w:p>
    <w:p w14:paraId="3D6C71E7">
      <w:pPr>
        <w:spacing w:before="101" w:line="223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第一部分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部门概况</w:t>
      </w:r>
    </w:p>
    <w:p w14:paraId="41A09A73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一、部门职责</w:t>
      </w:r>
    </w:p>
    <w:p w14:paraId="69910308">
      <w:pPr>
        <w:spacing w:before="250" w:line="222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二、机构设置及部门决算单位构成</w:t>
      </w:r>
    </w:p>
    <w:p w14:paraId="4E25B316">
      <w:pPr>
        <w:spacing w:before="250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第二部分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年度部门决算表</w:t>
      </w:r>
    </w:p>
    <w:p w14:paraId="695A8CC4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一、收入支出决算总表</w:t>
      </w:r>
    </w:p>
    <w:p w14:paraId="627608E9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二、收入决算表</w:t>
      </w:r>
    </w:p>
    <w:p w14:paraId="0A035400">
      <w:pPr>
        <w:spacing w:before="249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三、支出决算表</w:t>
      </w:r>
    </w:p>
    <w:p w14:paraId="08013087">
      <w:pPr>
        <w:spacing w:before="250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四、财政拨款收入支出决算总表</w:t>
      </w:r>
    </w:p>
    <w:p w14:paraId="0C27B930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五、一般公共预算财政拨款支出决算表</w:t>
      </w:r>
    </w:p>
    <w:p w14:paraId="7499DFE8">
      <w:pPr>
        <w:spacing w:before="250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六、一般公共预算财政拨款基本支出决算明细表</w:t>
      </w:r>
    </w:p>
    <w:p w14:paraId="5F91EE61">
      <w:pPr>
        <w:spacing w:before="251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七、政府性基金预算财政拨款收入支出决算表</w:t>
      </w:r>
    </w:p>
    <w:p w14:paraId="51BD5BEB">
      <w:pPr>
        <w:spacing w:before="252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国有资本经营预算财政拨款支出决算表</w:t>
      </w:r>
    </w:p>
    <w:p w14:paraId="2E6BD274">
      <w:pPr>
        <w:spacing w:before="249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九、财政拨款“三公”经费支出决算表</w:t>
      </w:r>
    </w:p>
    <w:p w14:paraId="34A13496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十、部门预算项目支出绩效自评表</w:t>
      </w:r>
    </w:p>
    <w:p w14:paraId="496CFF7A">
      <w:pPr>
        <w:spacing w:before="249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第三部分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年度部门决算情况说明</w:t>
      </w:r>
    </w:p>
    <w:p w14:paraId="317A1C52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一、收入支出决算总体情况说明</w:t>
      </w:r>
    </w:p>
    <w:p w14:paraId="3434F955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二、收入决算情况说明</w:t>
      </w:r>
    </w:p>
    <w:p w14:paraId="09FAC4ED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三、支出决算情况说明</w:t>
      </w:r>
    </w:p>
    <w:p w14:paraId="2B177559">
      <w:pPr>
        <w:spacing w:before="249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四、财政拨款收入支出决算总体情况说明</w:t>
      </w:r>
    </w:p>
    <w:p w14:paraId="0D7A9726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FB94885">
      <w:pPr>
        <w:spacing w:before="15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60E8B56D">
      <w:pPr>
        <w:spacing w:before="249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0AC16D5C">
      <w:pPr>
        <w:spacing w:before="250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七、政府性基金预算财政拨款收入支出决算情况说明</w:t>
      </w:r>
    </w:p>
    <w:p w14:paraId="2A2ADA77">
      <w:pPr>
        <w:spacing w:before="251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国有资本经营预算财政拨款支出决算情况说明</w:t>
      </w:r>
    </w:p>
    <w:p w14:paraId="640EC2A9">
      <w:pPr>
        <w:spacing w:before="250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401E7274">
      <w:pPr>
        <w:spacing w:before="249" w:line="224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十、绩效评价情况说明</w:t>
      </w:r>
    </w:p>
    <w:p w14:paraId="16A4E064">
      <w:pPr>
        <w:spacing w:before="248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十一、其他重要事项情况说明</w:t>
      </w:r>
    </w:p>
    <w:p w14:paraId="2F547F38">
      <w:pPr>
        <w:spacing w:before="250" w:line="224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第四部分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名词解释</w:t>
      </w:r>
    </w:p>
    <w:p w14:paraId="408DDC6C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7F4D773">
      <w:pPr>
        <w:pStyle w:val="2"/>
        <w:spacing w:line="328" w:lineRule="auto"/>
      </w:pPr>
    </w:p>
    <w:p w14:paraId="7FB3548F">
      <w:pPr>
        <w:pStyle w:val="2"/>
        <w:spacing w:line="328" w:lineRule="auto"/>
      </w:pPr>
    </w:p>
    <w:p w14:paraId="3D0D645F">
      <w:pPr>
        <w:spacing w:before="189" w:line="443" w:lineRule="exact"/>
        <w:ind w:left="2215"/>
        <w:outlineLvl w:val="0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第一部分</w:t>
      </w:r>
      <w:r>
        <w:rPr>
          <w:rFonts w:hint="default" w:ascii="Times New Roman" w:hAnsi="Times New Roman" w:eastAsia="仿宋_GB2312" w:cs="Times New Roman"/>
          <w:b/>
          <w:bCs/>
          <w:spacing w:val="1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部门概况</w:t>
      </w:r>
    </w:p>
    <w:p w14:paraId="23265339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7929DABB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55E7FE4A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402A7A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751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8"/>
          <w:szCs w:val="28"/>
        </w:rPr>
        <w:t>一、部门主要职责</w:t>
      </w:r>
    </w:p>
    <w:p w14:paraId="342827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长春经济技术开发区兴隆山镇中山小学为全民所有制公办小学，学制六年。实施小学义务教育 促进基础教育发展。小学学历教育。我单位为全额拨款事业单位，全面贯彻党和国家的教育方针，以素质教育为核心，把学校办成“环境优美、师资精良、质量上乘、特色突出、能让学生健康、快乐、全面发展的现代学校</w:t>
      </w:r>
    </w:p>
    <w:p w14:paraId="7BB48F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360" w:lineRule="auto"/>
        <w:ind w:left="672"/>
        <w:textAlignment w:val="baseline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二、机构设置及部门决算单位构成</w:t>
      </w:r>
    </w:p>
    <w:p w14:paraId="7251CC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Style w:val="9"/>
          <w:rFonts w:hint="eastAsia" w:ascii="仿宋" w:hAnsi="仿宋" w:eastAsia="仿宋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我单位现有小学在职教师98人，编制为89人，退休教师88人。小学共有33个教学班，在校学生近1300余人。幼儿园共有9个班级，学生约有200余人。学校校长1人，主持学校全面工作。党支部副书记1人，负责党务工作。副校长4人，分管德育工作，教学工作，后勤工作，幼儿园工作。工会主席1人，负责工会工作。教导主任5人，分别负责各年段教学工作、学籍管理、继续教育等工作。德育主任1人，分管德育工作，安全主任一人，分管校园安全工作，长春经济技术开发区兴隆山镇中山小学无内设机构。</w:t>
      </w:r>
    </w:p>
    <w:p w14:paraId="6BF9F0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5666B7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071F84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634683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0462C1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71DBF1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5F9A86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6C6C50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30A38F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1004A8BD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7B4E693B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第二部分</w:t>
      </w:r>
      <w:r>
        <w:rPr>
          <w:rFonts w:hint="default" w:ascii="Times New Roman" w:hAnsi="Times New Roman" w:eastAsia="仿宋_GB2312" w:cs="Times New Roman"/>
          <w:b/>
          <w:bCs/>
          <w:spacing w:val="111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3"/>
          <w:szCs w:val="43"/>
        </w:rPr>
        <w:t>2023</w:t>
      </w:r>
      <w:r>
        <w:rPr>
          <w:rFonts w:hint="default" w:ascii="Times New Roman" w:hAnsi="Times New Roman" w:eastAsia="仿宋_GB2312" w:cs="Times New Roman"/>
          <w:b/>
          <w:bCs/>
          <w:spacing w:val="-103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年度部门决算表</w:t>
      </w:r>
    </w:p>
    <w:p w14:paraId="05BCBCC8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576770F4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5ED32FE1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2E0CEDE7">
      <w:pPr>
        <w:numPr>
          <w:ilvl w:val="0"/>
          <w:numId w:val="1"/>
        </w:numPr>
        <w:spacing w:before="100" w:line="224" w:lineRule="auto"/>
        <w:ind w:left="672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收入支出决算总表</w:t>
      </w:r>
    </w:p>
    <w:p w14:paraId="76ECEAD8">
      <w:pPr>
        <w:pStyle w:val="2"/>
        <w:spacing w:line="337" w:lineRule="auto"/>
        <w:rPr>
          <w:rFonts w:hint="default" w:ascii="Times New Roman" w:hAnsi="Times New Roman" w:eastAsia="仿宋_GB2312" w:cs="Times New Roman"/>
        </w:rPr>
      </w:pPr>
    </w:p>
    <w:p w14:paraId="215046AB">
      <w:pPr>
        <w:pStyle w:val="2"/>
        <w:spacing w:line="338" w:lineRule="auto"/>
        <w:rPr>
          <w:rFonts w:hint="default" w:ascii="Times New Roman" w:hAnsi="Times New Roman" w:eastAsia="仿宋_GB2312" w:cs="Times New Roman"/>
        </w:rPr>
      </w:pPr>
    </w:p>
    <w:p w14:paraId="5E01EE9C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8" w:type="default"/>
          <w:pgSz w:w="11907" w:h="16839"/>
          <w:pgMar w:top="1431" w:right="1785" w:bottom="1150" w:left="1785" w:header="0" w:footer="965" w:gutter="0"/>
          <w:cols w:space="720" w:num="1"/>
        </w:sectPr>
      </w:pPr>
      <w:r>
        <w:drawing>
          <wp:inline distT="0" distB="0" distL="114300" distR="114300">
            <wp:extent cx="5293995" cy="4180840"/>
            <wp:effectExtent l="0" t="0" r="1905" b="10160"/>
            <wp:docPr id="2" name="图片 2" descr="C:/Users/lenovo/Desktop/2023年决算/收入支出决算01.png收入支出决算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2023年决算/收入支出决算01.png收入支出决算01"/>
                    <pic:cNvPicPr>
                      <a:picLocks noChangeAspect="1"/>
                    </pic:cNvPicPr>
                  </pic:nvPicPr>
                  <pic:blipFill>
                    <a:blip r:embed="rId17"/>
                    <a:srcRect l="395" r="395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D53D7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1F58EC46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0A36B83">
      <w:pPr>
        <w:spacing w:before="101" w:line="224" w:lineRule="auto"/>
        <w:ind w:left="672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二、收入决算表</w:t>
      </w:r>
      <w:r>
        <w:drawing>
          <wp:inline distT="0" distB="0" distL="114300" distR="114300">
            <wp:extent cx="5287010" cy="2950845"/>
            <wp:effectExtent l="0" t="0" r="8890" b="1905"/>
            <wp:docPr id="3" name="图片 3" descr="C:/Users/lenovo/Desktop/2023年决算/收入决算批复表02.png收入决算批复表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2023年决算/收入决算批复表02.png收入决算批复表02"/>
                    <pic:cNvPicPr>
                      <a:picLocks noChangeAspect="1"/>
                    </pic:cNvPicPr>
                  </pic:nvPicPr>
                  <pic:blipFill>
                    <a:blip r:embed="rId18"/>
                    <a:srcRect l="8393" r="8393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15D26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555F00C9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3AB0ABB6">
      <w:pPr>
        <w:pStyle w:val="2"/>
        <w:spacing w:line="262" w:lineRule="auto"/>
        <w:rPr>
          <w:rFonts w:hint="default" w:ascii="Times New Roman" w:hAnsi="Times New Roman" w:eastAsia="仿宋_GB2312" w:cs="Times New Roman"/>
        </w:rPr>
      </w:pPr>
    </w:p>
    <w:p w14:paraId="2D26E44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5FB6F302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7B1E98F">
      <w:pPr>
        <w:spacing w:before="101" w:line="224" w:lineRule="auto"/>
        <w:ind w:left="674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三、支出决算表</w:t>
      </w:r>
      <w:r>
        <w:drawing>
          <wp:inline distT="0" distB="0" distL="114300" distR="114300">
            <wp:extent cx="5285740" cy="3053715"/>
            <wp:effectExtent l="0" t="0" r="10160" b="13335"/>
            <wp:docPr id="4" name="图片 4" descr="C:/Users/lenovo/Desktop/2023年决算/支出决算批复表03.png支出决算批复表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2023年决算/支出决算批复表03.png支出决算批复表03"/>
                    <pic:cNvPicPr>
                      <a:picLocks noChangeAspect="1"/>
                    </pic:cNvPicPr>
                  </pic:nvPicPr>
                  <pic:blipFill>
                    <a:blip r:embed="rId19"/>
                    <a:srcRect l="5583" r="5583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A0782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72D063F6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243310D1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2C8E6868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497AF15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0E644E38">
      <w:pPr>
        <w:spacing w:before="101" w:line="224" w:lineRule="auto"/>
        <w:ind w:left="68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四、财政拨款收入支出决算总表</w:t>
      </w:r>
      <w:r>
        <w:drawing>
          <wp:inline distT="0" distB="0" distL="114300" distR="114300">
            <wp:extent cx="5290185" cy="3837305"/>
            <wp:effectExtent l="0" t="0" r="5715" b="10795"/>
            <wp:docPr id="6" name="图片 6" descr="C:/Users/lenovo/Desktop/2023年决算/财政拨款收入支出批复表04.png财政拨款收入支出批复表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2023年决算/财政拨款收入支出批复表04.png财政拨款收入支出批复表04"/>
                    <pic:cNvPicPr>
                      <a:picLocks noChangeAspect="1"/>
                    </pic:cNvPicPr>
                  </pic:nvPicPr>
                  <pic:blipFill>
                    <a:blip r:embed="rId20"/>
                    <a:srcRect l="116" r="116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A2154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22415182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0EEC6B7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413A35B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5A1EB8F0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66116A80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4ECE3236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4B249FF1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1F7E59D5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0BD2BDA6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1F32CD2D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2A1237FD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1DBF3CBE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0C5DF007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7F16A3BB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5BDE8588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379362B5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594EBDDE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793EF797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6E75F36B">
      <w:pPr>
        <w:spacing w:before="100" w:line="224" w:lineRule="auto"/>
        <w:ind w:left="67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五、一般公共预算财政拨款支出决算表</w:t>
      </w:r>
    </w:p>
    <w:p w14:paraId="3E697E1C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555975D1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6F285477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091E51FC">
      <w:pPr>
        <w:pStyle w:val="2"/>
        <w:spacing w:line="339" w:lineRule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334000" cy="4139565"/>
            <wp:effectExtent l="0" t="0" r="0" b="13335"/>
            <wp:docPr id="1" name="图片 1" descr="一般公共预算财政拨款支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般公共预算财政拨款支出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D4D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5D50927">
      <w:pPr>
        <w:spacing w:before="100" w:line="224" w:lineRule="auto"/>
        <w:ind w:left="677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六、一般公共预算财政拨款基本支出决算明细表</w:t>
      </w:r>
    </w:p>
    <w:p w14:paraId="1BC6054E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2285FF18">
      <w:pPr>
        <w:pStyle w:val="2"/>
        <w:spacing w:line="270" w:lineRule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335270" cy="3034030"/>
            <wp:effectExtent l="0" t="0" r="17780" b="13970"/>
            <wp:docPr id="5" name="图片 5" descr="一般公共预算财政拨款基本支出决算明细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一般公共预算财政拨款基本支出决算明细0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4815A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686500E3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4FD699A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1E2C85B5">
      <w:pPr>
        <w:spacing w:before="101" w:line="224" w:lineRule="auto"/>
        <w:ind w:left="66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七、政府性基金预算财政拨款收入支出决算表</w:t>
      </w:r>
    </w:p>
    <w:p w14:paraId="2137C17C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6BC0D073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143510</wp:posOffset>
            </wp:positionV>
            <wp:extent cx="6473825" cy="2124075"/>
            <wp:effectExtent l="0" t="0" r="3175" b="9525"/>
            <wp:wrapSquare wrapText="bothSides"/>
            <wp:docPr id="7" name="图片 7" descr="政府性基金预算财政拨款收入支出决算批复表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政府性基金预算财政拨款收入支出决算批复表0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9C2F6">
      <w:pPr>
        <w:pStyle w:val="2"/>
        <w:spacing w:line="271" w:lineRule="auto"/>
        <w:rPr>
          <w:rFonts w:hint="eastAsia" w:ascii="Times New Roman" w:hAnsi="Times New Roman" w:eastAsia="仿宋_GB2312" w:cs="Times New Roman"/>
          <w:lang w:eastAsia="zh-CN"/>
        </w:rPr>
      </w:pPr>
    </w:p>
    <w:p w14:paraId="2C7AD39E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52DB40E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FA75BEB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EEBF53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4E2B4F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549D5E96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E063958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1A29E230">
      <w:pPr>
        <w:spacing w:before="101" w:line="224" w:lineRule="auto"/>
        <w:ind w:left="667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八、国有资本经营预算财政拨款支出决算表</w:t>
      </w:r>
    </w:p>
    <w:p w14:paraId="633CCC02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04C0D50B">
      <w:pPr>
        <w:pStyle w:val="2"/>
        <w:spacing w:line="253" w:lineRule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9525</wp:posOffset>
            </wp:positionV>
            <wp:extent cx="6557645" cy="1687195"/>
            <wp:effectExtent l="0" t="0" r="14605" b="8255"/>
            <wp:wrapSquare wrapText="bothSides"/>
            <wp:docPr id="8" name="图片 8" descr="国有资本经营预算财政拨款收入支出决算批复表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国有资本经营预算财政拨款收入支出决算批复表0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5764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E3D96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08802D43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80FADE1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015CE1F0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九、财政拨款“三公”经费支出决算表</w:t>
      </w:r>
      <w:r>
        <w:drawing>
          <wp:inline distT="0" distB="0" distL="114300" distR="114300">
            <wp:extent cx="5271135" cy="1858010"/>
            <wp:effectExtent l="0" t="0" r="5715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D831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211DE515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A8FE6C8">
      <w:pPr>
        <w:numPr>
          <w:ilvl w:val="0"/>
          <w:numId w:val="2"/>
        </w:numPr>
        <w:spacing w:before="100" w:line="224" w:lineRule="auto"/>
        <w:ind w:left="30" w:firstLine="654" w:firstLineChars="200"/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部门预算项目支出绩效自评表</w:t>
      </w:r>
    </w:p>
    <w:p w14:paraId="54E60673">
      <w:pPr>
        <w:numPr>
          <w:ilvl w:val="0"/>
          <w:numId w:val="0"/>
        </w:numPr>
        <w:spacing w:before="100" w:line="224" w:lineRule="auto"/>
        <w:ind w:leftChars="200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333365" cy="5405120"/>
            <wp:effectExtent l="0" t="0" r="635" b="5080"/>
            <wp:docPr id="11" name="图片 11" descr="绩效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绩效目标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540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335270" cy="6602095"/>
            <wp:effectExtent l="0" t="0" r="17780" b="8255"/>
            <wp:docPr id="10" name="图片 10" descr="整体支出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整体支出评价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660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337175" cy="5434965"/>
            <wp:effectExtent l="0" t="0" r="15875" b="13335"/>
            <wp:docPr id="9" name="图片 9" descr="部门整体支出绩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部门整体支出绩效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4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BBB19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39146CBA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50E81A6C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60BEA888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7B0DAD5C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12C179DA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4A00F9A4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44C1DC89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070CEBA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4709A0BA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64EC4C98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1EF66476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5EEE50CA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AC16BDC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461E283">
      <w:pPr>
        <w:spacing w:before="225" w:line="443" w:lineRule="exact"/>
        <w:ind w:left="482"/>
        <w:outlineLvl w:val="0"/>
        <w:rPr>
          <w:rFonts w:hint="default" w:ascii="Times New Roman" w:hAnsi="Times New Roman" w:eastAsia="仿宋_GB2312" w:cs="Times New Roman"/>
          <w:b/>
          <w:bCs/>
          <w:sz w:val="43"/>
          <w:szCs w:val="43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第三部分</w:t>
      </w:r>
      <w:r>
        <w:rPr>
          <w:rFonts w:hint="default" w:ascii="Times New Roman" w:hAnsi="Times New Roman" w:eastAsia="仿宋_GB2312" w:cs="Times New Roman"/>
          <w:b/>
          <w:bCs/>
          <w:spacing w:val="103"/>
          <w:position w:val="-2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2023年度部门决算情况说明</w:t>
      </w:r>
    </w:p>
    <w:p w14:paraId="57B20686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0668CD0A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199E0F7B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207D47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一、</w:t>
      </w:r>
      <w:r>
        <w:rPr>
          <w:rFonts w:hint="eastAsia" w:ascii="仿宋" w:hAnsi="仿宋" w:eastAsia="仿宋"/>
          <w:sz w:val="32"/>
          <w:szCs w:val="30"/>
        </w:rPr>
        <w:t>收入支出决算总体情况说明</w:t>
      </w:r>
    </w:p>
    <w:p w14:paraId="07893D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年度收、支总计各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2548.52</w:t>
      </w:r>
      <w:r>
        <w:rPr>
          <w:rFonts w:hint="eastAsia" w:ascii="仿宋" w:hAnsi="仿宋" w:eastAsia="仿宋"/>
          <w:sz w:val="32"/>
          <w:szCs w:val="30"/>
        </w:rPr>
        <w:t>万元。与202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0"/>
        </w:rPr>
        <w:t>年相比，收、支总计各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减少2972.78</w:t>
      </w:r>
      <w:r>
        <w:rPr>
          <w:rFonts w:hint="eastAsia" w:ascii="仿宋" w:hAnsi="仿宋" w:eastAsia="仿宋"/>
          <w:sz w:val="32"/>
          <w:szCs w:val="30"/>
        </w:rPr>
        <w:t>万元，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减少53.84</w:t>
      </w:r>
      <w:r>
        <w:rPr>
          <w:rFonts w:hint="eastAsia" w:ascii="仿宋" w:hAnsi="仿宋" w:eastAsia="仿宋"/>
          <w:sz w:val="32"/>
          <w:szCs w:val="30"/>
        </w:rPr>
        <w:t>%。主要原因：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2022年度因疫情原因和新建幼儿园，支出增加，2023年度恢复正常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79EDF9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二、</w:t>
      </w:r>
      <w:r>
        <w:rPr>
          <w:rFonts w:hint="eastAsia" w:ascii="仿宋" w:hAnsi="仿宋" w:eastAsia="仿宋"/>
          <w:sz w:val="32"/>
          <w:szCs w:val="30"/>
        </w:rPr>
        <w:t>收入决算情况说明</w:t>
      </w:r>
    </w:p>
    <w:p w14:paraId="2CAC56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本年收入合计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2548.52</w:t>
      </w:r>
      <w:r>
        <w:rPr>
          <w:rFonts w:hint="eastAsia" w:ascii="仿宋" w:hAnsi="仿宋" w:eastAsia="仿宋"/>
          <w:sz w:val="32"/>
        </w:rPr>
        <w:t>万元，其中：财政拨款收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2548.52</w:t>
      </w:r>
      <w:r>
        <w:rPr>
          <w:rFonts w:hint="eastAsia" w:ascii="仿宋" w:hAnsi="仿宋" w:eastAsia="仿宋"/>
          <w:sz w:val="32"/>
        </w:rPr>
        <w:t>万元，占</w:t>
      </w:r>
      <w:r>
        <w:rPr>
          <w:rFonts w:hint="eastAsia" w:ascii="仿宋" w:hAnsi="仿宋" w:eastAsia="仿宋"/>
          <w:sz w:val="32"/>
          <w:lang w:val="en-US" w:eastAsia="zh-CN"/>
        </w:rPr>
        <w:t>100</w:t>
      </w:r>
      <w:r>
        <w:rPr>
          <w:rFonts w:hint="eastAsia" w:ascii="仿宋" w:hAnsi="仿宋" w:eastAsia="仿宋"/>
          <w:sz w:val="32"/>
        </w:rPr>
        <w:t>%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4404A7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三、</w:t>
      </w:r>
      <w:r>
        <w:rPr>
          <w:rFonts w:hint="eastAsia" w:ascii="仿宋" w:hAnsi="仿宋" w:eastAsia="仿宋"/>
          <w:sz w:val="32"/>
          <w:szCs w:val="30"/>
        </w:rPr>
        <w:t>支出决算情况说明</w:t>
      </w:r>
    </w:p>
    <w:p w14:paraId="20F159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本年支出合计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2548.52</w:t>
      </w:r>
      <w:r>
        <w:rPr>
          <w:rFonts w:hint="eastAsia" w:ascii="仿宋" w:hAnsi="仿宋" w:eastAsia="仿宋"/>
          <w:sz w:val="32"/>
        </w:rPr>
        <w:t>万元，其中：基本支出</w:t>
      </w:r>
      <w:r>
        <w:rPr>
          <w:rFonts w:hint="eastAsia" w:ascii="仿宋" w:hAnsi="仿宋" w:eastAsia="仿宋"/>
          <w:sz w:val="32"/>
          <w:lang w:val="en-US" w:eastAsia="zh-CN"/>
        </w:rPr>
        <w:t>1978.41</w:t>
      </w:r>
      <w:r>
        <w:rPr>
          <w:rFonts w:hint="eastAsia" w:ascii="仿宋" w:hAnsi="仿宋" w:eastAsia="仿宋"/>
          <w:sz w:val="32"/>
        </w:rPr>
        <w:t>万元，占</w:t>
      </w:r>
      <w:r>
        <w:rPr>
          <w:rFonts w:hint="eastAsia" w:ascii="仿宋" w:hAnsi="仿宋" w:eastAsia="仿宋"/>
          <w:sz w:val="32"/>
          <w:lang w:val="en-US" w:eastAsia="zh-CN"/>
        </w:rPr>
        <w:t>77.51</w:t>
      </w:r>
      <w:r>
        <w:rPr>
          <w:rFonts w:hint="eastAsia" w:ascii="仿宋" w:hAnsi="仿宋" w:eastAsia="仿宋"/>
          <w:sz w:val="32"/>
        </w:rPr>
        <w:t>%；项目支出</w:t>
      </w:r>
      <w:r>
        <w:rPr>
          <w:rFonts w:hint="eastAsia" w:ascii="仿宋" w:hAnsi="仿宋" w:eastAsia="仿宋"/>
          <w:sz w:val="32"/>
          <w:lang w:val="en-US" w:eastAsia="zh-CN"/>
        </w:rPr>
        <w:t>151.53</w:t>
      </w:r>
      <w:r>
        <w:rPr>
          <w:rFonts w:hint="eastAsia" w:ascii="仿宋" w:hAnsi="仿宋" w:eastAsia="仿宋"/>
          <w:sz w:val="32"/>
        </w:rPr>
        <w:t>万元，占</w:t>
      </w:r>
      <w:r>
        <w:rPr>
          <w:rFonts w:hint="eastAsia" w:ascii="仿宋" w:hAnsi="仿宋" w:eastAsia="仿宋"/>
          <w:sz w:val="32"/>
          <w:lang w:val="en-US" w:eastAsia="zh-CN"/>
        </w:rPr>
        <w:t>22.48</w:t>
      </w:r>
      <w:r>
        <w:rPr>
          <w:rFonts w:hint="eastAsia" w:ascii="仿宋" w:hAnsi="仿宋" w:eastAsia="仿宋"/>
          <w:sz w:val="32"/>
        </w:rPr>
        <w:t>%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652157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四、</w:t>
      </w:r>
      <w:r>
        <w:rPr>
          <w:rFonts w:hint="eastAsia" w:ascii="仿宋" w:hAnsi="仿宋" w:eastAsia="仿宋"/>
          <w:sz w:val="32"/>
          <w:szCs w:val="30"/>
        </w:rPr>
        <w:t>财政拨款收入支出决算总体情况说明</w:t>
      </w:r>
    </w:p>
    <w:p w14:paraId="0F7EC9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</w:rPr>
        <w:t xml:space="preserve">   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szCs w:val="30"/>
        </w:rPr>
        <w:t>度财政拨款收、支总计各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2548.52</w:t>
      </w:r>
      <w:r>
        <w:rPr>
          <w:rFonts w:hint="eastAsia" w:ascii="仿宋" w:hAnsi="仿宋" w:eastAsia="仿宋"/>
          <w:sz w:val="32"/>
          <w:szCs w:val="30"/>
        </w:rPr>
        <w:t>万元，与202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0"/>
        </w:rPr>
        <w:t>年相比，财政拨款收、支总计各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减少2972.78</w:t>
      </w:r>
      <w:r>
        <w:rPr>
          <w:rFonts w:hint="eastAsia" w:ascii="仿宋" w:hAnsi="仿宋" w:eastAsia="仿宋"/>
          <w:sz w:val="32"/>
          <w:szCs w:val="30"/>
        </w:rPr>
        <w:t>万元，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减少53.84</w:t>
      </w:r>
      <w:r>
        <w:rPr>
          <w:rFonts w:hint="eastAsia" w:ascii="仿宋" w:hAnsi="仿宋" w:eastAsia="仿宋"/>
          <w:sz w:val="32"/>
          <w:szCs w:val="30"/>
        </w:rPr>
        <w:t>%。主要原因：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2022年度因疫情原因和新建幼儿园，支出增加，2023年度恢复正常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5E107C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五、</w:t>
      </w:r>
      <w:r>
        <w:rPr>
          <w:rFonts w:hint="eastAsia" w:ascii="仿宋" w:hAnsi="仿宋" w:eastAsia="仿宋"/>
          <w:sz w:val="32"/>
          <w:szCs w:val="30"/>
        </w:rPr>
        <w:t>一般公共预算财政拨款支出决算情况说明</w:t>
      </w:r>
    </w:p>
    <w:p w14:paraId="7E0B68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textAlignment w:val="baseline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（一）一般公共</w:t>
      </w:r>
      <w:r>
        <w:rPr>
          <w:rFonts w:ascii="仿宋" w:hAnsi="仿宋" w:eastAsia="仿宋"/>
          <w:b/>
          <w:bCs/>
          <w:sz w:val="32"/>
        </w:rPr>
        <w:t>预算</w:t>
      </w:r>
      <w:r>
        <w:rPr>
          <w:rFonts w:hint="eastAsia" w:ascii="仿宋" w:hAnsi="仿宋" w:eastAsia="仿宋"/>
          <w:b/>
          <w:bCs/>
          <w:sz w:val="32"/>
        </w:rPr>
        <w:t>财政拨款支出决算总体情况</w:t>
      </w:r>
    </w:p>
    <w:p w14:paraId="2A0196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szCs w:val="30"/>
        </w:rPr>
        <w:t>度一般</w:t>
      </w:r>
      <w:r>
        <w:rPr>
          <w:rFonts w:ascii="仿宋" w:hAnsi="仿宋" w:eastAsia="仿宋"/>
          <w:sz w:val="32"/>
          <w:szCs w:val="30"/>
        </w:rPr>
        <w:t>公共预算</w:t>
      </w:r>
      <w:r>
        <w:rPr>
          <w:rFonts w:hint="eastAsia" w:ascii="仿宋" w:hAnsi="仿宋" w:eastAsia="仿宋"/>
          <w:sz w:val="32"/>
          <w:szCs w:val="30"/>
        </w:rPr>
        <w:t>财政拨款支出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2548.52</w:t>
      </w:r>
      <w:r>
        <w:rPr>
          <w:rFonts w:hint="eastAsia" w:ascii="仿宋" w:hAnsi="仿宋" w:eastAsia="仿宋"/>
          <w:sz w:val="32"/>
          <w:szCs w:val="30"/>
        </w:rPr>
        <w:t>万元，占本年支出合计的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0"/>
        </w:rPr>
        <w:t>%。与202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0"/>
        </w:rPr>
        <w:t>年相比，一般</w:t>
      </w:r>
      <w:r>
        <w:rPr>
          <w:rFonts w:ascii="仿宋" w:hAnsi="仿宋" w:eastAsia="仿宋"/>
          <w:sz w:val="32"/>
          <w:szCs w:val="30"/>
        </w:rPr>
        <w:t>公共预算</w:t>
      </w:r>
      <w:r>
        <w:rPr>
          <w:rFonts w:hint="eastAsia" w:ascii="仿宋" w:hAnsi="仿宋" w:eastAsia="仿宋"/>
          <w:sz w:val="32"/>
          <w:szCs w:val="30"/>
        </w:rPr>
        <w:t>财政拨款支出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减少2972.78</w:t>
      </w:r>
      <w:r>
        <w:rPr>
          <w:rFonts w:hint="eastAsia" w:ascii="仿宋" w:hAnsi="仿宋" w:eastAsia="仿宋"/>
          <w:sz w:val="32"/>
          <w:szCs w:val="30"/>
        </w:rPr>
        <w:t>万元，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减少53.84</w:t>
      </w:r>
      <w:r>
        <w:rPr>
          <w:rFonts w:hint="eastAsia" w:ascii="仿宋" w:hAnsi="仿宋" w:eastAsia="仿宋"/>
          <w:sz w:val="32"/>
          <w:szCs w:val="30"/>
        </w:rPr>
        <w:t>%。主要原因：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2022年度因疫情原因和新建幼儿园，支出增加，2023年度恢复正常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70F09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</w:rPr>
        <w:t>（二）一般公共</w:t>
      </w:r>
      <w:r>
        <w:rPr>
          <w:rFonts w:ascii="仿宋" w:hAnsi="仿宋" w:eastAsia="仿宋"/>
          <w:b/>
          <w:bCs/>
          <w:sz w:val="32"/>
        </w:rPr>
        <w:t>预算</w:t>
      </w:r>
      <w:r>
        <w:rPr>
          <w:rFonts w:hint="eastAsia" w:ascii="仿宋" w:hAnsi="仿宋" w:eastAsia="仿宋"/>
          <w:b/>
          <w:bCs/>
          <w:sz w:val="32"/>
        </w:rPr>
        <w:t>财政拨款支出决算结构情况</w:t>
      </w:r>
    </w:p>
    <w:p w14:paraId="390D7A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textAlignment w:val="baseline"/>
        <w:rPr>
          <w:rFonts w:hint="default" w:ascii="仿宋" w:hAnsi="仿宋" w:eastAsia="仿宋"/>
          <w:sz w:val="32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0"/>
        </w:rPr>
        <w:t>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0"/>
        </w:rPr>
        <w:t>年度一般</w:t>
      </w:r>
      <w:r>
        <w:rPr>
          <w:rFonts w:ascii="仿宋" w:hAnsi="仿宋" w:eastAsia="仿宋"/>
          <w:sz w:val="32"/>
          <w:szCs w:val="30"/>
        </w:rPr>
        <w:t>公共预算</w:t>
      </w:r>
      <w:r>
        <w:rPr>
          <w:rFonts w:hint="eastAsia" w:ascii="仿宋" w:hAnsi="仿宋" w:eastAsia="仿宋"/>
          <w:sz w:val="32"/>
          <w:szCs w:val="30"/>
        </w:rPr>
        <w:t>财政拨款支出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2548.52</w:t>
      </w:r>
      <w:r>
        <w:rPr>
          <w:rFonts w:hint="eastAsia" w:ascii="仿宋" w:hAnsi="仿宋" w:eastAsia="仿宋"/>
          <w:sz w:val="32"/>
          <w:szCs w:val="30"/>
        </w:rPr>
        <w:t>万元，主要用于以下方面：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教育</w:t>
      </w:r>
      <w:r>
        <w:rPr>
          <w:rFonts w:hint="eastAsia" w:ascii="仿宋" w:hAnsi="仿宋" w:eastAsia="仿宋"/>
          <w:sz w:val="32"/>
          <w:szCs w:val="30"/>
        </w:rPr>
        <w:t>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1818.65</w:t>
      </w:r>
      <w:r>
        <w:rPr>
          <w:rFonts w:hint="eastAsia" w:ascii="仿宋" w:hAnsi="仿宋" w:eastAsia="仿宋"/>
          <w:sz w:val="32"/>
          <w:szCs w:val="30"/>
        </w:rPr>
        <w:t>万元，占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71.36</w:t>
      </w:r>
      <w:r>
        <w:rPr>
          <w:rFonts w:hint="eastAsia" w:ascii="仿宋" w:hAnsi="仿宋" w:eastAsia="仿宋"/>
          <w:sz w:val="32"/>
          <w:szCs w:val="30"/>
        </w:rPr>
        <w:t>%；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社会保障和就业支出506.14万元，占19.86%；卫生健康支出97.12</w:t>
      </w:r>
      <w:r>
        <w:rPr>
          <w:rFonts w:hint="eastAsia" w:ascii="仿宋" w:hAnsi="仿宋" w:eastAsia="仿宋"/>
          <w:sz w:val="32"/>
          <w:szCs w:val="30"/>
        </w:rPr>
        <w:t>万元，占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3.81</w:t>
      </w:r>
      <w:r>
        <w:rPr>
          <w:rFonts w:hint="eastAsia" w:ascii="仿宋" w:hAnsi="仿宋" w:eastAsia="仿宋"/>
          <w:sz w:val="32"/>
          <w:szCs w:val="30"/>
        </w:rPr>
        <w:t>%</w:t>
      </w:r>
      <w:r>
        <w:rPr>
          <w:rFonts w:hint="eastAsia" w:ascii="仿宋" w:hAnsi="仿宋" w:eastAsia="仿宋"/>
          <w:sz w:val="32"/>
          <w:szCs w:val="30"/>
          <w:lang w:eastAsia="zh-CN"/>
        </w:rPr>
        <w:t>；住房保障支出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126.61万元，占4.97%。</w:t>
      </w:r>
    </w:p>
    <w:p w14:paraId="1FB550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（三）一般</w:t>
      </w:r>
      <w:r>
        <w:rPr>
          <w:rFonts w:ascii="仿宋" w:hAnsi="仿宋" w:eastAsia="仿宋"/>
          <w:b/>
          <w:bCs/>
          <w:sz w:val="32"/>
        </w:rPr>
        <w:t>公共预算</w:t>
      </w:r>
      <w:r>
        <w:rPr>
          <w:rFonts w:hint="eastAsia" w:ascii="仿宋" w:hAnsi="仿宋" w:eastAsia="仿宋"/>
          <w:b/>
          <w:bCs/>
          <w:sz w:val="32"/>
        </w:rPr>
        <w:t>财政拨款支出决算具体情况</w:t>
      </w:r>
    </w:p>
    <w:p w14:paraId="26C288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ascii="仿宋" w:hAnsi="仿宋" w:eastAsia="仿宋"/>
          <w:sz w:val="32"/>
          <w:szCs w:val="30"/>
        </w:rPr>
      </w:pPr>
      <w:r>
        <w:rPr>
          <w:rStyle w:val="9"/>
          <w:rFonts w:ascii="仿宋" w:hAnsi="仿宋" w:eastAsia="仿宋"/>
          <w:sz w:val="32"/>
          <w:szCs w:val="30"/>
        </w:rPr>
        <w:t>20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23</w:t>
      </w:r>
      <w:r>
        <w:rPr>
          <w:rStyle w:val="9"/>
          <w:rFonts w:ascii="仿宋" w:hAnsi="仿宋" w:eastAsia="仿宋"/>
          <w:sz w:val="32"/>
          <w:szCs w:val="30"/>
        </w:rPr>
        <w:t>年度财政拨款支出年初预算为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3235.62</w:t>
      </w:r>
      <w:r>
        <w:rPr>
          <w:rStyle w:val="9"/>
          <w:rFonts w:ascii="仿宋" w:hAnsi="仿宋" w:eastAsia="仿宋"/>
          <w:sz w:val="32"/>
          <w:szCs w:val="30"/>
        </w:rPr>
        <w:t>万元，支出决算为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2548.52</w:t>
      </w:r>
      <w:r>
        <w:rPr>
          <w:rStyle w:val="9"/>
          <w:rFonts w:ascii="仿宋" w:hAnsi="仿宋" w:eastAsia="仿宋"/>
          <w:sz w:val="32"/>
          <w:szCs w:val="30"/>
        </w:rPr>
        <w:t xml:space="preserve"> 万元，完成年初预算的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78.76%</w:t>
      </w:r>
      <w:r>
        <w:rPr>
          <w:rStyle w:val="9"/>
          <w:rFonts w:ascii="仿宋" w:hAnsi="仿宋" w:eastAsia="仿宋"/>
          <w:sz w:val="32"/>
          <w:szCs w:val="30"/>
        </w:rPr>
        <w:t>。其中：</w:t>
      </w:r>
    </w:p>
    <w:p w14:paraId="04974E99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hint="eastAsia" w:ascii="仿宋" w:hAnsi="仿宋" w:eastAsia="黑体"/>
          <w:sz w:val="32"/>
          <w:lang w:eastAsia="zh-CN"/>
        </w:rPr>
      </w:pPr>
      <w:r>
        <w:rPr>
          <w:rStyle w:val="9"/>
          <w:rFonts w:ascii="仿宋" w:hAnsi="仿宋" w:eastAsia="仿宋"/>
          <w:sz w:val="32"/>
          <w:szCs w:val="30"/>
        </w:rPr>
        <w:t>教育支出年初预算为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1992.17</w:t>
      </w:r>
      <w:r>
        <w:rPr>
          <w:rStyle w:val="9"/>
          <w:rFonts w:ascii="仿宋" w:hAnsi="仿宋" w:eastAsia="仿宋"/>
          <w:sz w:val="32"/>
          <w:szCs w:val="30"/>
        </w:rPr>
        <w:t>万元，支出决算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1818.65</w:t>
      </w:r>
      <w:r>
        <w:rPr>
          <w:rStyle w:val="9"/>
          <w:rFonts w:ascii="仿宋" w:hAnsi="仿宋" w:eastAsia="仿宋"/>
          <w:sz w:val="32"/>
          <w:szCs w:val="30"/>
        </w:rPr>
        <w:t>万元，完成年初预算的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91.29</w:t>
      </w:r>
      <w:r>
        <w:rPr>
          <w:rStyle w:val="9"/>
          <w:rFonts w:ascii="仿宋" w:hAnsi="仿宋" w:eastAsia="仿宋"/>
          <w:sz w:val="32"/>
          <w:szCs w:val="30"/>
        </w:rPr>
        <w:t xml:space="preserve"> %。</w:t>
      </w:r>
    </w:p>
    <w:p w14:paraId="56F7B475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hint="eastAsia" w:ascii="仿宋" w:hAnsi="仿宋" w:eastAsia="黑体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社会保障和就业支</w:t>
      </w:r>
      <w:r>
        <w:rPr>
          <w:rFonts w:hint="eastAsia" w:eastAsia="宋体"/>
          <w:color w:val="000000"/>
          <w:kern w:val="0"/>
          <w:sz w:val="32"/>
          <w:szCs w:val="32"/>
        </w:rPr>
        <w:t>出</w:t>
      </w:r>
      <w:r>
        <w:rPr>
          <w:rStyle w:val="9"/>
          <w:rFonts w:ascii="仿宋" w:hAnsi="仿宋" w:eastAsia="仿宋"/>
          <w:sz w:val="32"/>
          <w:szCs w:val="30"/>
        </w:rPr>
        <w:t>年初预算为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921.83</w:t>
      </w:r>
      <w:r>
        <w:rPr>
          <w:rStyle w:val="9"/>
          <w:rFonts w:ascii="仿宋" w:hAnsi="仿宋" w:eastAsia="仿宋"/>
          <w:sz w:val="32"/>
          <w:szCs w:val="30"/>
        </w:rPr>
        <w:t>万元，支出决算为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506.14</w:t>
      </w:r>
      <w:r>
        <w:rPr>
          <w:rStyle w:val="9"/>
          <w:rFonts w:ascii="仿宋" w:hAnsi="仿宋" w:eastAsia="仿宋"/>
          <w:sz w:val="32"/>
          <w:szCs w:val="30"/>
        </w:rPr>
        <w:t>万元，完成年初预算的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54.91</w:t>
      </w:r>
      <w:r>
        <w:rPr>
          <w:rStyle w:val="9"/>
          <w:rFonts w:ascii="仿宋" w:hAnsi="仿宋" w:eastAsia="仿宋"/>
          <w:sz w:val="32"/>
          <w:szCs w:val="30"/>
        </w:rPr>
        <w:t xml:space="preserve"> %</w:t>
      </w:r>
      <w:r>
        <w:rPr>
          <w:rStyle w:val="9"/>
          <w:rFonts w:hint="eastAsia" w:ascii="仿宋" w:hAnsi="仿宋" w:eastAsia="仿宋"/>
          <w:sz w:val="32"/>
          <w:szCs w:val="30"/>
          <w:lang w:eastAsia="zh-CN"/>
        </w:rPr>
        <w:t>。</w:t>
      </w:r>
    </w:p>
    <w:p w14:paraId="5632499E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hint="eastAsia" w:ascii="仿宋" w:hAnsi="仿宋" w:eastAsia="黑体"/>
          <w:sz w:val="32"/>
          <w:lang w:eastAsia="zh-CN"/>
        </w:rPr>
      </w:pP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卫生健康支出</w:t>
      </w:r>
      <w:r>
        <w:rPr>
          <w:rStyle w:val="9"/>
          <w:rFonts w:ascii="仿宋" w:hAnsi="仿宋" w:eastAsia="仿宋"/>
          <w:sz w:val="32"/>
          <w:szCs w:val="30"/>
        </w:rPr>
        <w:t>年初预算为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138.60</w:t>
      </w:r>
      <w:r>
        <w:rPr>
          <w:rStyle w:val="9"/>
          <w:rFonts w:ascii="仿宋" w:hAnsi="仿宋" w:eastAsia="仿宋"/>
          <w:sz w:val="32"/>
          <w:szCs w:val="30"/>
        </w:rPr>
        <w:t>万元，支出决算为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97.12</w:t>
      </w:r>
      <w:r>
        <w:rPr>
          <w:rStyle w:val="9"/>
          <w:rFonts w:ascii="仿宋" w:hAnsi="仿宋" w:eastAsia="仿宋"/>
          <w:sz w:val="32"/>
          <w:szCs w:val="30"/>
        </w:rPr>
        <w:t>万元，完成年初预算的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70.07</w:t>
      </w:r>
      <w:r>
        <w:rPr>
          <w:rStyle w:val="9"/>
          <w:rFonts w:ascii="仿宋" w:hAnsi="仿宋" w:eastAsia="仿宋"/>
          <w:sz w:val="32"/>
          <w:szCs w:val="30"/>
        </w:rPr>
        <w:t xml:space="preserve"> %</w:t>
      </w:r>
      <w:r>
        <w:rPr>
          <w:rStyle w:val="9"/>
          <w:rFonts w:hint="eastAsia" w:ascii="仿宋" w:hAnsi="仿宋" w:eastAsia="仿宋"/>
          <w:sz w:val="32"/>
          <w:szCs w:val="30"/>
          <w:lang w:eastAsia="zh-CN"/>
        </w:rPr>
        <w:t>。</w:t>
      </w:r>
    </w:p>
    <w:p w14:paraId="20D3FED7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hint="eastAsia" w:ascii="仿宋" w:hAnsi="仿宋" w:eastAsia="黑体"/>
          <w:sz w:val="32"/>
          <w:lang w:eastAsia="zh-CN"/>
        </w:rPr>
      </w:pPr>
      <w:r>
        <w:rPr>
          <w:rFonts w:hint="eastAsia" w:ascii="仿宋" w:hAnsi="仿宋" w:eastAsia="仿宋"/>
          <w:sz w:val="32"/>
          <w:szCs w:val="30"/>
          <w:lang w:eastAsia="zh-CN"/>
        </w:rPr>
        <w:t>住房保障支出</w:t>
      </w:r>
      <w:r>
        <w:rPr>
          <w:rStyle w:val="9"/>
          <w:rFonts w:ascii="仿宋" w:hAnsi="仿宋" w:eastAsia="仿宋"/>
          <w:sz w:val="32"/>
          <w:szCs w:val="30"/>
        </w:rPr>
        <w:t>年初预算为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183.07万元</w:t>
      </w:r>
      <w:r>
        <w:rPr>
          <w:rStyle w:val="9"/>
          <w:rFonts w:ascii="仿宋" w:hAnsi="仿宋" w:eastAsia="仿宋"/>
          <w:sz w:val="32"/>
          <w:szCs w:val="30"/>
        </w:rPr>
        <w:t>，支出决算为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126.61</w:t>
      </w:r>
      <w:r>
        <w:rPr>
          <w:rStyle w:val="9"/>
          <w:rFonts w:ascii="仿宋" w:hAnsi="仿宋" w:eastAsia="仿宋"/>
          <w:sz w:val="32"/>
          <w:szCs w:val="30"/>
        </w:rPr>
        <w:t>万元完成年初预算的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69.16</w:t>
      </w:r>
      <w:r>
        <w:rPr>
          <w:rStyle w:val="9"/>
          <w:rFonts w:ascii="仿宋" w:hAnsi="仿宋" w:eastAsia="仿宋"/>
          <w:sz w:val="32"/>
          <w:szCs w:val="30"/>
        </w:rPr>
        <w:t xml:space="preserve"> %。</w:t>
      </w:r>
    </w:p>
    <w:p w14:paraId="02A9B2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</w:rPr>
        <w:t>六、</w:t>
      </w:r>
      <w:r>
        <w:rPr>
          <w:rFonts w:hint="eastAsia" w:ascii="仿宋" w:hAnsi="仿宋" w:eastAsia="仿宋"/>
          <w:b/>
          <w:bCs/>
          <w:sz w:val="32"/>
          <w:szCs w:val="30"/>
        </w:rPr>
        <w:t>一般公共预算财政拨款基本支出决算情况说明</w:t>
      </w:r>
    </w:p>
    <w:p w14:paraId="064D60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hint="eastAsia" w:ascii="仿宋" w:hAnsi="仿宋" w:eastAsia="仿宋"/>
          <w:sz w:val="32"/>
          <w:szCs w:val="30"/>
          <w:lang w:eastAsia="zh-CN"/>
        </w:rPr>
      </w:pPr>
      <w:r>
        <w:rPr>
          <w:rFonts w:hint="eastAsia" w:ascii="仿宋" w:hAnsi="仿宋" w:eastAsia="仿宋"/>
          <w:sz w:val="32"/>
          <w:szCs w:val="30"/>
        </w:rPr>
        <w:t>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0"/>
        </w:rPr>
        <w:t>年度一般</w:t>
      </w:r>
      <w:r>
        <w:rPr>
          <w:rFonts w:ascii="仿宋" w:hAnsi="仿宋" w:eastAsia="仿宋"/>
          <w:sz w:val="32"/>
          <w:szCs w:val="30"/>
        </w:rPr>
        <w:t>公共预算</w:t>
      </w:r>
      <w:r>
        <w:rPr>
          <w:rFonts w:hint="eastAsia" w:ascii="仿宋" w:hAnsi="仿宋" w:eastAsia="仿宋"/>
          <w:sz w:val="32"/>
          <w:szCs w:val="30"/>
        </w:rPr>
        <w:t>财政拨款基本支出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1975.41</w:t>
      </w:r>
      <w:r>
        <w:rPr>
          <w:rFonts w:hint="eastAsia" w:ascii="仿宋" w:hAnsi="仿宋" w:eastAsia="仿宋"/>
          <w:sz w:val="32"/>
          <w:szCs w:val="30"/>
        </w:rPr>
        <w:t>万元，</w:t>
      </w:r>
      <w:r>
        <w:rPr>
          <w:rStyle w:val="9"/>
          <w:rFonts w:ascii="仿宋" w:hAnsi="仿宋" w:eastAsia="仿宋"/>
          <w:sz w:val="32"/>
          <w:szCs w:val="30"/>
        </w:rPr>
        <w:t>其中：人员经费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1968.53</w:t>
      </w:r>
      <w:r>
        <w:rPr>
          <w:rStyle w:val="9"/>
          <w:rFonts w:ascii="仿宋" w:hAnsi="仿宋" w:eastAsia="仿宋"/>
          <w:sz w:val="32"/>
          <w:szCs w:val="30"/>
        </w:rPr>
        <w:t>万元，主要包括：基本工资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435.50</w:t>
      </w:r>
      <w:r>
        <w:rPr>
          <w:rStyle w:val="9"/>
          <w:rFonts w:ascii="仿宋" w:hAnsi="仿宋" w:eastAsia="仿宋"/>
          <w:sz w:val="32"/>
          <w:szCs w:val="30"/>
        </w:rPr>
        <w:t>万元、津贴补贴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77.49</w:t>
      </w:r>
      <w:r>
        <w:rPr>
          <w:rStyle w:val="9"/>
          <w:rFonts w:ascii="仿宋" w:hAnsi="仿宋" w:eastAsia="仿宋"/>
          <w:sz w:val="32"/>
          <w:szCs w:val="30"/>
        </w:rPr>
        <w:t>万元、奖金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44.01</w:t>
      </w:r>
      <w:r>
        <w:rPr>
          <w:rStyle w:val="9"/>
          <w:rFonts w:ascii="仿宋" w:hAnsi="仿宋" w:eastAsia="仿宋"/>
          <w:sz w:val="32"/>
          <w:szCs w:val="30"/>
        </w:rPr>
        <w:t>万元、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伙食补助费16.56万元、</w:t>
      </w:r>
      <w:r>
        <w:rPr>
          <w:rStyle w:val="9"/>
          <w:rFonts w:ascii="仿宋" w:hAnsi="仿宋" w:eastAsia="仿宋"/>
          <w:sz w:val="32"/>
          <w:szCs w:val="30"/>
        </w:rPr>
        <w:t>绩效工资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558.92</w:t>
      </w:r>
      <w:r>
        <w:rPr>
          <w:rStyle w:val="9"/>
          <w:rFonts w:ascii="仿宋" w:hAnsi="仿宋" w:eastAsia="仿宋"/>
          <w:sz w:val="32"/>
          <w:szCs w:val="30"/>
        </w:rPr>
        <w:t>万元、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机关事业单位基本养老保险缴费28.46万元、</w:t>
      </w:r>
      <w:r>
        <w:rPr>
          <w:rStyle w:val="9"/>
          <w:rFonts w:ascii="仿宋" w:hAnsi="仿宋" w:eastAsia="仿宋"/>
          <w:sz w:val="32"/>
          <w:szCs w:val="30"/>
        </w:rPr>
        <w:t>职工基本医疗保险缴费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57.69</w:t>
      </w:r>
      <w:r>
        <w:rPr>
          <w:rStyle w:val="9"/>
          <w:rFonts w:ascii="仿宋" w:hAnsi="仿宋" w:eastAsia="仿宋"/>
          <w:sz w:val="32"/>
          <w:szCs w:val="30"/>
        </w:rPr>
        <w:t>万元、公务员医疗补助缴费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39.43</w:t>
      </w:r>
      <w:r>
        <w:rPr>
          <w:rStyle w:val="9"/>
          <w:rFonts w:ascii="仿宋" w:hAnsi="仿宋" w:eastAsia="仿宋"/>
          <w:sz w:val="32"/>
          <w:szCs w:val="30"/>
        </w:rPr>
        <w:t>万元、其他社会保障缴费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2.83</w:t>
      </w:r>
      <w:r>
        <w:rPr>
          <w:rStyle w:val="9"/>
          <w:rFonts w:ascii="仿宋" w:hAnsi="仿宋" w:eastAsia="仿宋"/>
          <w:sz w:val="32"/>
          <w:szCs w:val="30"/>
        </w:rPr>
        <w:t>万元、住房公积金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126.61</w:t>
      </w:r>
      <w:r>
        <w:rPr>
          <w:rStyle w:val="9"/>
          <w:rFonts w:ascii="仿宋" w:hAnsi="仿宋" w:eastAsia="仿宋"/>
          <w:sz w:val="32"/>
          <w:szCs w:val="30"/>
        </w:rPr>
        <w:t>万元、</w:t>
      </w:r>
      <w:r>
        <w:rPr>
          <w:rStyle w:val="9"/>
          <w:rFonts w:hint="eastAsia" w:ascii="仿宋" w:hAnsi="仿宋" w:eastAsia="仿宋"/>
          <w:sz w:val="32"/>
          <w:szCs w:val="30"/>
        </w:rPr>
        <w:t>医疗费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13.00</w:t>
      </w:r>
      <w:r>
        <w:rPr>
          <w:rStyle w:val="9"/>
          <w:rFonts w:hint="eastAsia" w:ascii="仿宋" w:hAnsi="仿宋" w:eastAsia="仿宋"/>
          <w:sz w:val="32"/>
          <w:szCs w:val="30"/>
          <w:lang w:eastAsia="zh-CN"/>
        </w:rPr>
        <w:t>、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其他工资福利支出90.35万元、</w:t>
      </w:r>
      <w:r>
        <w:rPr>
          <w:rStyle w:val="9"/>
          <w:rFonts w:ascii="仿宋" w:hAnsi="仿宋" w:eastAsia="仿宋"/>
          <w:sz w:val="32"/>
          <w:szCs w:val="30"/>
        </w:rPr>
        <w:t>退休费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468.88</w:t>
      </w:r>
      <w:r>
        <w:rPr>
          <w:rStyle w:val="9"/>
          <w:rFonts w:ascii="仿宋" w:hAnsi="仿宋" w:eastAsia="仿宋"/>
          <w:sz w:val="32"/>
          <w:szCs w:val="30"/>
        </w:rPr>
        <w:t>万元</w:t>
      </w:r>
      <w:r>
        <w:rPr>
          <w:rStyle w:val="9"/>
          <w:rFonts w:hint="eastAsia" w:ascii="仿宋" w:hAnsi="仿宋" w:eastAsia="仿宋"/>
          <w:sz w:val="32"/>
          <w:szCs w:val="30"/>
          <w:lang w:eastAsia="zh-CN"/>
        </w:rPr>
        <w:t>、医疗费补助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8.80万元</w:t>
      </w:r>
      <w:r>
        <w:rPr>
          <w:rStyle w:val="9"/>
          <w:rFonts w:hint="eastAsia" w:ascii="仿宋" w:hAnsi="仿宋" w:eastAsia="仿宋"/>
          <w:sz w:val="32"/>
          <w:szCs w:val="30"/>
          <w:lang w:eastAsia="zh-CN"/>
        </w:rPr>
        <w:t>。</w:t>
      </w:r>
    </w:p>
    <w:p w14:paraId="55DB35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hint="default" w:ascii="仿宋" w:hAnsi="仿宋" w:eastAsia="仿宋"/>
          <w:sz w:val="32"/>
          <w:szCs w:val="30"/>
          <w:lang w:val="en-US" w:eastAsia="zh-CN"/>
        </w:rPr>
      </w:pP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项目支出6.88万元，其中：主要包括：商品和服务支出143.52万元（电费0.8、工会经费6.08）。</w:t>
      </w:r>
    </w:p>
    <w:p w14:paraId="2FCB591B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656" w:firstLineChars="200"/>
        <w:textAlignment w:val="baseline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政府性基金预算财政拨款收入支出决算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情况说明</w:t>
      </w:r>
    </w:p>
    <w:p w14:paraId="752F85B4">
      <w:pPr>
        <w:autoSpaceDE w:val="0"/>
        <w:spacing w:line="360" w:lineRule="auto"/>
        <w:ind w:firstLine="65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2023年度政府性基金预算财政拨款年初结转和结余0万元；本年收入0万元；本年支出0万元，年末结转和结余 0万元。</w:t>
      </w:r>
    </w:p>
    <w:p w14:paraId="2E48F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360" w:lineRule="auto"/>
        <w:ind w:firstLine="648" w:firstLineChars="200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八、国有资本经营预算财政拨款支出决算情况说明</w:t>
      </w:r>
    </w:p>
    <w:p w14:paraId="3F9345E7">
      <w:pPr>
        <w:autoSpaceDE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023年度国有资本经营预算年初结转和结余 0  万元；本年收入 0万元；本年支出 0万元，年末结转和结余 0万元。</w:t>
      </w:r>
    </w:p>
    <w:p w14:paraId="020895BA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5C5789FB">
      <w:pPr>
        <w:spacing w:before="249" w:line="223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一）“三公”经费财政拨款支出决算总体情况说明</w:t>
      </w:r>
    </w:p>
    <w:p w14:paraId="5E0A179F">
      <w:pPr>
        <w:spacing w:before="249" w:line="223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4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年度“三公”经费财政拨款支出预算为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万元，支</w:t>
      </w:r>
    </w:p>
    <w:p w14:paraId="1E804D7C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9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660E77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360" w:lineRule="auto"/>
        <w:ind w:left="41" w:firstLine="26"/>
        <w:jc w:val="both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出决算为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%；较</w:t>
      </w:r>
      <w:r>
        <w:rPr>
          <w:rFonts w:hint="default" w:ascii="Times New Roman" w:hAnsi="Times New Roman" w:eastAsia="仿宋_GB2312" w:cs="Times New Roman"/>
          <w:spacing w:val="-2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年度增加（减少）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万元，增长（下降）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%，主要原因是</w:t>
      </w:r>
      <w:r>
        <w:rPr>
          <w:rFonts w:hint="eastAsia" w:ascii="Times New Roman" w:hAnsi="Times New Roman" w:eastAsia="仿宋_GB2312" w:cs="Times New Roman"/>
          <w:spacing w:val="-91"/>
          <w:sz w:val="31"/>
          <w:szCs w:val="31"/>
          <w:lang w:val="en-US" w:eastAsia="zh-CN"/>
        </w:rPr>
        <w:t>我单位无“三公经费”支出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0D1C31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360" w:lineRule="auto"/>
        <w:ind w:left="659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（二）“三公”经费财政拨款支出决算具体情况说明</w:t>
      </w:r>
    </w:p>
    <w:p w14:paraId="0E17E4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360" w:lineRule="auto"/>
        <w:ind w:left="34" w:right="155" w:firstLine="640"/>
        <w:jc w:val="both"/>
        <w:textAlignment w:val="baseline"/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1.因公出国（境）费预算为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万元,支出决算为</w:t>
      </w:r>
      <w:r>
        <w:rPr>
          <w:rFonts w:hint="eastAsia" w:ascii="Times New Roman" w:hAnsi="Times New Roman" w:eastAsia="仿宋_GB2312" w:cs="Times New Roman"/>
          <w:spacing w:val="2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完成预算的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%；支出决算较</w:t>
      </w:r>
      <w:r>
        <w:rPr>
          <w:rFonts w:hint="default" w:ascii="Times New Roman" w:hAnsi="Times New Roman" w:eastAsia="仿宋_GB2312" w:cs="Times New Roman"/>
          <w:spacing w:val="-5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年度增加（减少）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3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万元，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增长（下降）</w:t>
      </w:r>
      <w:r>
        <w:rPr>
          <w:rFonts w:hint="eastAsia" w:ascii="Times New Roman" w:hAnsi="Times New Roman" w:eastAsia="仿宋_GB2312" w:cs="Times New Roman"/>
          <w:spacing w:val="7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无三公经费支出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。全年共有因公出国（境）</w:t>
      </w:r>
      <w:r>
        <w:rPr>
          <w:rFonts w:hint="default" w:ascii="Times New Roman" w:hAnsi="Times New Roman" w:eastAsia="仿宋_GB2312" w:cs="Times New Roman"/>
          <w:spacing w:val="-8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团组 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个，</w:t>
      </w:r>
      <w:r>
        <w:rPr>
          <w:rFonts w:hint="default" w:ascii="Times New Roman" w:hAnsi="Times New Roman" w:eastAsia="仿宋_GB2312" w:cs="Times New Roman"/>
          <w:spacing w:val="-9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因公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出国（境）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人次。</w:t>
      </w:r>
    </w:p>
    <w:p w14:paraId="11B9AA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60" w:lineRule="auto"/>
        <w:ind w:left="23" w:right="156" w:firstLine="648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2.公务用车购置及运行费预算为</w:t>
      </w:r>
      <w:r>
        <w:rPr>
          <w:rFonts w:hint="eastAsia" w:ascii="Times New Roman" w:hAnsi="Times New Roman" w:eastAsia="仿宋_GB2312" w:cs="Times New Roman"/>
          <w:spacing w:val="2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，支出决算为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%；较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年度增加（减少）</w:t>
      </w:r>
      <w:r>
        <w:rPr>
          <w:rFonts w:hint="eastAsia" w:ascii="Times New Roman" w:hAnsi="Times New Roman" w:eastAsia="仿宋_GB2312" w:cs="Times New Roman"/>
          <w:spacing w:val="7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增长（下降）</w:t>
      </w:r>
      <w:r>
        <w:rPr>
          <w:rFonts w:hint="eastAsia" w:ascii="Times New Roman" w:hAnsi="Times New Roman" w:eastAsia="仿宋_GB2312" w:cs="Times New Roman"/>
          <w:spacing w:val="7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我单位无公务用车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。</w:t>
      </w:r>
    </w:p>
    <w:p w14:paraId="56FEB1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360" w:lineRule="auto"/>
        <w:ind w:left="666"/>
        <w:textAlignment w:val="baseline"/>
        <w:rPr>
          <w:rFonts w:hint="default" w:ascii="Times New Roman" w:hAnsi="Times New Roman" w:eastAsia="仿宋_GB2312" w:cs="Times New Roman"/>
          <w:spacing w:val="4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公务用车购置费支出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万元。主要是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我单位无公务用车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；</w:t>
      </w:r>
    </w:p>
    <w:p w14:paraId="695477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360" w:lineRule="auto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截至 2023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年 12 月 31 日，公务用车保有量为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辆,公务用车购置数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为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辆。</w:t>
      </w:r>
    </w:p>
    <w:p w14:paraId="1706A7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360" w:lineRule="auto"/>
        <w:ind w:left="666"/>
        <w:textAlignment w:val="baseline"/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公务用车运行维护费支出 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万元，主要是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我单位无公务用</w:t>
      </w:r>
    </w:p>
    <w:p w14:paraId="762546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360" w:lineRule="auto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车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。</w:t>
      </w:r>
    </w:p>
    <w:p w14:paraId="00A8B6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0" w:type="default"/>
          <w:pgSz w:w="11907" w:h="16839"/>
          <w:pgMar w:top="1431" w:right="1642" w:bottom="1153" w:left="1785" w:header="0" w:footer="965" w:gutter="0"/>
          <w:cols w:space="720" w:num="1"/>
        </w:sectPr>
      </w:pPr>
    </w:p>
    <w:p w14:paraId="6FD6F271">
      <w:pPr>
        <w:spacing w:before="160" w:line="364" w:lineRule="auto"/>
        <w:ind w:left="21" w:right="3" w:firstLine="644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公务接待费预算为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2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万元，完成预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算的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 xml:space="preserve"> %；较</w:t>
      </w:r>
      <w:r>
        <w:rPr>
          <w:rFonts w:hint="default" w:ascii="Times New Roman" w:hAnsi="Times New Roman" w:eastAsia="仿宋_GB2312" w:cs="Times New Roman"/>
          <w:spacing w:val="-5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年度增加（减少）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万元，增长（下降）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主要原因是</w:t>
      </w:r>
      <w:r>
        <w:rPr>
          <w:rFonts w:hint="eastAsia" w:ascii="Times New Roman" w:hAnsi="Times New Roman" w:eastAsia="仿宋_GB2312" w:cs="Times New Roman"/>
          <w:spacing w:val="-69"/>
          <w:sz w:val="31"/>
          <w:szCs w:val="31"/>
          <w:lang w:val="en-US" w:eastAsia="zh-CN"/>
        </w:rPr>
        <w:t>我单位无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公务接待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。</w:t>
      </w:r>
    </w:p>
    <w:p w14:paraId="20B53C00">
      <w:pPr>
        <w:spacing w:before="52" w:line="361" w:lineRule="auto"/>
        <w:ind w:left="33" w:firstLine="649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外事接待费支出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万元。全年共接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待外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事来访团组数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个、来访外宾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人次（不包括陪同人员）。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</w:p>
    <w:p w14:paraId="3088E254">
      <w:pPr>
        <w:spacing w:before="53" w:line="362" w:lineRule="auto"/>
        <w:ind w:left="26" w:right="90" w:firstLine="64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其他国内公务接待支出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万元。全年共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接待国内来访团组</w:t>
      </w:r>
      <w:r>
        <w:rPr>
          <w:rFonts w:hint="eastAsia" w:ascii="Times New Roman" w:hAnsi="Times New Roman" w:eastAsia="仿宋_GB2312" w:cs="Times New Roman"/>
          <w:spacing w:val="3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个、来宾</w:t>
      </w:r>
      <w:r>
        <w:rPr>
          <w:rFonts w:hint="eastAsia" w:ascii="Times New Roman" w:hAnsi="Times New Roman" w:eastAsia="仿宋_GB2312" w:cs="Times New Roman"/>
          <w:spacing w:val="3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人次（不包括陪同人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员） 。</w:t>
      </w:r>
    </w:p>
    <w:p w14:paraId="6D6D1186">
      <w:pPr>
        <w:pStyle w:val="2"/>
        <w:spacing w:line="287" w:lineRule="auto"/>
        <w:rPr>
          <w:rFonts w:hint="default" w:ascii="Times New Roman" w:hAnsi="Times New Roman" w:eastAsia="仿宋_GB2312" w:cs="Times New Roman"/>
          <w:color w:val="auto"/>
        </w:rPr>
      </w:pPr>
    </w:p>
    <w:p w14:paraId="375E2FC1">
      <w:pPr>
        <w:spacing w:before="101" w:line="224" w:lineRule="auto"/>
        <w:ind w:left="750"/>
        <w:outlineLvl w:val="3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pacing w:val="6"/>
          <w:sz w:val="31"/>
          <w:szCs w:val="31"/>
        </w:rPr>
        <w:t>十、关于</w:t>
      </w:r>
      <w:r>
        <w:rPr>
          <w:rFonts w:hint="default" w:ascii="Times New Roman" w:hAnsi="Times New Roman" w:eastAsia="仿宋_GB2312" w:cs="Times New Roman"/>
          <w:color w:val="auto"/>
          <w:spacing w:val="-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color w:val="auto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1"/>
          <w:szCs w:val="31"/>
        </w:rPr>
        <w:t>年度绩效评价情况说明</w:t>
      </w:r>
    </w:p>
    <w:p w14:paraId="603F65EF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5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5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1"/>
          <w:szCs w:val="31"/>
        </w:rPr>
        <w:t>一）绩效评价工作开展情况。</w:t>
      </w:r>
    </w:p>
    <w:p w14:paraId="741565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长春经济技术开发区兴隆山镇中山小学</w:t>
      </w:r>
      <w:r>
        <w:rPr>
          <w:rFonts w:eastAsia="仿宋_GB2312"/>
          <w:color w:val="auto"/>
          <w:sz w:val="32"/>
          <w:szCs w:val="32"/>
        </w:rPr>
        <w:t>组织对</w:t>
      </w:r>
      <w:r>
        <w:rPr>
          <w:rFonts w:hint="eastAsia"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年度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物业费、保安费、教师体检费、退休教师体检费、学生体检费、校责险共计6个</w:t>
      </w:r>
      <w:r>
        <w:rPr>
          <w:rFonts w:hint="eastAsia" w:eastAsia="仿宋_GB2312"/>
          <w:color w:val="auto"/>
          <w:sz w:val="32"/>
          <w:szCs w:val="32"/>
        </w:rPr>
        <w:t>一级</w:t>
      </w:r>
      <w:r>
        <w:rPr>
          <w:rFonts w:eastAsia="仿宋_GB2312"/>
          <w:color w:val="auto"/>
          <w:sz w:val="32"/>
          <w:szCs w:val="32"/>
        </w:rPr>
        <w:t>项目进行了绩效自评，共涉及资金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120.03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</w:rPr>
        <w:t>绩效自评率为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eastAsia="仿宋_GB2312"/>
          <w:color w:val="auto"/>
          <w:sz w:val="32"/>
          <w:szCs w:val="32"/>
        </w:rPr>
        <w:t>%</w:t>
      </w:r>
      <w:r>
        <w:rPr>
          <w:rFonts w:hint="eastAsia" w:eastAsia="仿宋_GB2312"/>
          <w:color w:val="auto"/>
          <w:sz w:val="32"/>
          <w:szCs w:val="32"/>
        </w:rPr>
        <w:t>；</w:t>
      </w:r>
      <w:r>
        <w:rPr>
          <w:rFonts w:eastAsia="仿宋_GB2312"/>
          <w:color w:val="auto"/>
          <w:sz w:val="32"/>
          <w:szCs w:val="32"/>
        </w:rPr>
        <w:t>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物业费、保安费、教师体检费、学生体检费、校责险六</w:t>
      </w:r>
      <w:r>
        <w:rPr>
          <w:rFonts w:eastAsia="仿宋_GB2312"/>
          <w:color w:val="auto"/>
          <w:sz w:val="32"/>
          <w:szCs w:val="32"/>
        </w:rPr>
        <w:t>个</w:t>
      </w:r>
      <w:r>
        <w:rPr>
          <w:rFonts w:hint="eastAsia" w:eastAsia="仿宋_GB2312"/>
          <w:color w:val="auto"/>
          <w:sz w:val="32"/>
          <w:szCs w:val="32"/>
        </w:rPr>
        <w:t>二级</w:t>
      </w:r>
      <w:r>
        <w:rPr>
          <w:rFonts w:eastAsia="仿宋_GB2312"/>
          <w:color w:val="auto"/>
          <w:sz w:val="32"/>
          <w:szCs w:val="32"/>
        </w:rPr>
        <w:t>项目进行了绩效自评，共涉及资金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120.03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hint="eastAsia" w:eastAsia="仿宋_GB2312"/>
          <w:color w:val="auto"/>
          <w:sz w:val="32"/>
          <w:szCs w:val="32"/>
        </w:rPr>
        <w:t>绩效自评率为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eastAsia="仿宋_GB2312"/>
          <w:color w:val="auto"/>
          <w:sz w:val="32"/>
          <w:szCs w:val="32"/>
        </w:rPr>
        <w:t>%</w:t>
      </w:r>
      <w:r>
        <w:rPr>
          <w:rFonts w:hint="eastAsia" w:eastAsia="仿宋_GB2312"/>
          <w:color w:val="auto"/>
          <w:sz w:val="32"/>
          <w:szCs w:val="32"/>
        </w:rPr>
        <w:t>。（绩效自评率=已开展绩效自评的项目个数/项目总个数）</w:t>
      </w:r>
    </w:p>
    <w:p w14:paraId="72EAC62D">
      <w:pPr>
        <w:keepNext w:val="0"/>
        <w:keepLines w:val="0"/>
        <w:pageBreakBefore w:val="0"/>
        <w:widowControl/>
        <w:numPr>
          <w:ilvl w:val="0"/>
          <w:numId w:val="5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textAlignment w:val="baseline"/>
        <w:rPr>
          <w:rFonts w:hint="default" w:ascii="Times New Roman" w:hAnsi="Times New Roman" w:eastAsia="仿宋_GB2312" w:cs="Times New Roman"/>
          <w:color w:val="auto"/>
          <w:spacing w:val="-4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pacing w:val="-4"/>
          <w:sz w:val="31"/>
          <w:szCs w:val="31"/>
        </w:rPr>
        <w:t>项目绩效自评结果。</w:t>
      </w:r>
    </w:p>
    <w:p w14:paraId="16DB801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长春经济技术开发区兴隆山镇中山小学</w:t>
      </w:r>
      <w:r>
        <w:rPr>
          <w:rFonts w:eastAsia="仿宋_GB2312"/>
          <w:color w:val="auto"/>
          <w:sz w:val="32"/>
          <w:szCs w:val="32"/>
        </w:rPr>
        <w:t>绩效</w:t>
      </w:r>
      <w:r>
        <w:rPr>
          <w:rFonts w:hint="eastAsia" w:eastAsia="仿宋_GB2312"/>
          <w:color w:val="auto"/>
          <w:sz w:val="32"/>
          <w:szCs w:val="32"/>
        </w:rPr>
        <w:t>评价</w:t>
      </w:r>
      <w:r>
        <w:rPr>
          <w:rFonts w:eastAsia="仿宋_GB2312"/>
          <w:color w:val="auto"/>
          <w:sz w:val="32"/>
          <w:szCs w:val="32"/>
        </w:rPr>
        <w:t>结果</w:t>
      </w:r>
      <w:r>
        <w:rPr>
          <w:rFonts w:hint="eastAsia" w:eastAsia="仿宋_GB2312"/>
          <w:color w:val="auto"/>
          <w:sz w:val="32"/>
          <w:szCs w:val="32"/>
        </w:rPr>
        <w:t>应用情况</w:t>
      </w:r>
      <w:r>
        <w:rPr>
          <w:rFonts w:eastAsia="仿宋_GB2312"/>
          <w:color w:val="auto"/>
          <w:sz w:val="32"/>
          <w:szCs w:val="32"/>
        </w:rPr>
        <w:t>如下：</w:t>
      </w:r>
      <w:r>
        <w:rPr>
          <w:rFonts w:hint="eastAsia"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年度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物业费、保安费、教师体检费、退休教师体检费、学生体检费、校责险共计6个</w:t>
      </w:r>
      <w:r>
        <w:rPr>
          <w:rFonts w:hint="eastAsia" w:eastAsia="仿宋_GB2312"/>
          <w:color w:val="auto"/>
          <w:sz w:val="32"/>
          <w:szCs w:val="32"/>
        </w:rPr>
        <w:t>一级</w:t>
      </w:r>
      <w:r>
        <w:rPr>
          <w:rFonts w:eastAsia="仿宋_GB2312"/>
          <w:color w:val="auto"/>
          <w:sz w:val="32"/>
          <w:szCs w:val="32"/>
        </w:rPr>
        <w:t>项目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，已经展开并完成</w:t>
      </w:r>
      <w:r>
        <w:rPr>
          <w:rFonts w:hint="eastAsia" w:eastAsia="仿宋_GB2312"/>
          <w:color w:val="auto"/>
          <w:sz w:val="32"/>
          <w:szCs w:val="32"/>
        </w:rPr>
        <w:t>单位自评、部门评价、转移支付绩效自评等评价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24B5AE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360" w:lineRule="auto"/>
        <w:ind w:left="663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5350AF41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1" w:type="default"/>
          <w:pgSz w:w="11907" w:h="16839"/>
          <w:pgMar w:top="1431" w:right="1694" w:bottom="1153" w:left="1785" w:header="0" w:footer="965" w:gutter="0"/>
          <w:cols w:space="720" w:num="1"/>
        </w:sectPr>
      </w:pPr>
    </w:p>
    <w:p w14:paraId="4B103271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0DB9A32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22096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60" w:lineRule="auto"/>
        <w:ind w:left="671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十一、其他重要事项情况说明</w:t>
      </w:r>
    </w:p>
    <w:p w14:paraId="19C126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360" w:lineRule="auto"/>
        <w:ind w:left="659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一）机关运行经费执行情况说明</w:t>
      </w:r>
    </w:p>
    <w:p w14:paraId="52A96A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8" w:firstLineChars="200"/>
        <w:jc w:val="left"/>
        <w:textAlignment w:val="baseline"/>
        <w:rPr>
          <w:rFonts w:hint="eastAsia" w:ascii="仿宋" w:hAnsi="仿宋" w:eastAsia="仿宋"/>
          <w:sz w:val="32"/>
          <w:szCs w:val="30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</w:t>
      </w:r>
      <w:r>
        <w:rPr>
          <w:rFonts w:hint="eastAsia" w:ascii="仿宋" w:hAnsi="仿宋" w:eastAsia="仿宋"/>
          <w:sz w:val="32"/>
        </w:rPr>
        <w:t xml:space="preserve">年度，机关运行经费支出 </w:t>
      </w:r>
      <w:r>
        <w:rPr>
          <w:rFonts w:hint="eastAsia" w:ascii="仿宋" w:hAnsi="仿宋" w:eastAsia="仿宋"/>
          <w:sz w:val="32"/>
          <w:lang w:val="en-US" w:eastAsia="zh-CN"/>
        </w:rPr>
        <w:t>0</w:t>
      </w:r>
      <w:r>
        <w:rPr>
          <w:rFonts w:hint="eastAsia" w:ascii="仿宋" w:hAnsi="仿宋" w:eastAsia="仿宋"/>
          <w:sz w:val="32"/>
        </w:rPr>
        <w:t>万元，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比年初预算数增加（减少</w:t>
      </w:r>
      <w:r>
        <w:rPr>
          <w:rFonts w:asci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万元，增长（降低</w:t>
      </w:r>
      <w:r>
        <w:rPr>
          <w:rFonts w:asci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%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11985836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（二）政府采购支出情况说明</w:t>
      </w:r>
    </w:p>
    <w:p w14:paraId="42F970AE">
      <w:pPr>
        <w:spacing w:before="249" w:line="368" w:lineRule="auto"/>
        <w:ind w:left="29" w:right="24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2023 年度政府采购支出总额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其中：政府采购货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物支出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万元、政府采购工程支出</w:t>
      </w:r>
      <w:r>
        <w:rPr>
          <w:rFonts w:hint="eastAsia" w:ascii="Times New Roman" w:hAnsi="Times New Roman" w:eastAsia="仿宋_GB2312" w:cs="Times New Roman"/>
          <w:spacing w:val="2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万元、政府采购服务支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万元。授予中小企业合同金额</w:t>
      </w:r>
      <w:r>
        <w:rPr>
          <w:rFonts w:hint="eastAsia" w:ascii="Times New Roman" w:hAnsi="Times New Roman" w:eastAsia="仿宋_GB2312" w:cs="Times New Roman"/>
          <w:spacing w:val="2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占政府采购支出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总额的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%，其中：授予小微企业合同金额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占授予中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小企业合同金额的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 xml:space="preserve"> %；货物采购授予中小企业合同金额占货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物支出金额的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 xml:space="preserve"> %，工程采购授予中小企业合同金额占工程支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出金额的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 xml:space="preserve"> %，服务采购授予中小企业合同金额占服务支出金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额的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%。</w:t>
      </w:r>
    </w:p>
    <w:p w14:paraId="70537881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（三）国有资产占用情况说明</w:t>
      </w:r>
    </w:p>
    <w:p w14:paraId="11B8D779">
      <w:pPr>
        <w:spacing w:before="286" w:line="340" w:lineRule="auto"/>
        <w:ind w:left="21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截至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 12 月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31 日，</w:t>
      </w:r>
      <w:r>
        <w:rPr>
          <w:rFonts w:hint="eastAsia" w:ascii="仿宋" w:hAnsi="仿宋" w:eastAsia="仿宋" w:cs="Times New Roman"/>
          <w:sz w:val="32"/>
          <w:lang w:val="en-US" w:eastAsia="zh-CN"/>
        </w:rPr>
        <w:t>长春经济技术开发区兴隆山镇中山小学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共有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车辆 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辆，其中，副部（省）级及以上领导用车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辆、主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要负责人用车</w:t>
      </w:r>
      <w:r>
        <w:rPr>
          <w:rFonts w:hint="default" w:ascii="Times New Roman" w:hAnsi="Times New Roman" w:eastAsia="仿宋_GB2312" w:cs="Times New Roman"/>
          <w:spacing w:val="-56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辆、机要通信用车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辆、应急保障用车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辆、执法执勤用车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辆、特种专业技术用车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</w:t>
      </w:r>
      <w:r>
        <w:rPr>
          <w:rFonts w:hint="default" w:ascii="Times New Roman" w:hAnsi="Times New Roman" w:eastAsia="仿宋_GB2312" w:cs="Times New Roman"/>
          <w:spacing w:val="11"/>
          <w:sz w:val="31"/>
          <w:szCs w:val="31"/>
        </w:rPr>
        <w:t>、离退休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干部用车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辆、其他用车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辆；单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位价值</w:t>
      </w:r>
      <w:r>
        <w:rPr>
          <w:rFonts w:hint="default" w:ascii="Times New Roman" w:hAnsi="Times New Roman" w:eastAsia="仿宋_GB2312" w:cs="Times New Roman"/>
          <w:spacing w:val="-2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100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万元（含）以上设备（不含车辆）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台（套）。</w:t>
      </w:r>
    </w:p>
    <w:p w14:paraId="62E6C230">
      <w:pPr>
        <w:spacing w:line="34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2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p w14:paraId="63665052">
      <w:pPr>
        <w:spacing w:before="225" w:line="443" w:lineRule="exact"/>
        <w:ind w:left="2186"/>
        <w:outlineLvl w:val="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第四部分</w:t>
      </w:r>
      <w:r>
        <w:rPr>
          <w:rFonts w:hint="default" w:ascii="Times New Roman" w:hAnsi="Times New Roman" w:eastAsia="仿宋_GB2312" w:cs="Times New Roman"/>
          <w:spacing w:val="2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名词解释</w:t>
      </w:r>
    </w:p>
    <w:p w14:paraId="7E8D1F78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027BDBD3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3FC13081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67DEE27B">
      <w:pPr>
        <w:spacing w:before="100" w:line="297" w:lineRule="auto"/>
        <w:ind w:left="39" w:right="13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一、财政拨款收入：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指单位从同级财政部门取得的财政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预算资金。</w:t>
      </w:r>
    </w:p>
    <w:p w14:paraId="1D436FA4">
      <w:pPr>
        <w:spacing w:before="250" w:line="297" w:lineRule="auto"/>
        <w:ind w:left="30" w:right="1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二、上级补助收入：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指从主管部门和上级单位取得的非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财政补助收入。</w:t>
      </w:r>
    </w:p>
    <w:p w14:paraId="1B2432C7">
      <w:pPr>
        <w:spacing w:before="249" w:line="298" w:lineRule="auto"/>
        <w:ind w:left="44" w:right="18" w:firstLine="649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1"/>
          <w:szCs w:val="31"/>
        </w:rPr>
        <w:t>动取得的收入。</w:t>
      </w:r>
    </w:p>
    <w:p w14:paraId="1060FE4C">
      <w:pPr>
        <w:spacing w:before="249" w:line="297" w:lineRule="auto"/>
        <w:ind w:left="44" w:right="16" w:firstLine="66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四、经营收入：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指事业单位在专业业务活动及其辅助活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动之外开展非独立核算经营活动取得的收入。</w:t>
      </w:r>
    </w:p>
    <w:p w14:paraId="4D4125C9">
      <w:pPr>
        <w:spacing w:before="249" w:line="298" w:lineRule="auto"/>
        <w:ind w:left="28" w:right="1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五、附属单位上缴收入：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指事业单位附属独立核算单位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按照有关规定上缴的收入。</w:t>
      </w:r>
    </w:p>
    <w:p w14:paraId="209E622D">
      <w:pPr>
        <w:spacing w:before="246" w:line="347" w:lineRule="auto"/>
        <w:ind w:left="29" w:right="14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六、其他收入：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指除上述收入以外的各项收入。包括未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纳入财政预算或财政专户管理的投资收益、银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行存款利息收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入、租金收入、捐赠收入，现金盘盈收入、存货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盘盈收入、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收回已核销应收及预付款项、无法偿付的应付及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预收款项，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从省财政以外的同级单位取得的经费、从非省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财政取得的经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费，以及行政单位收到的财政专户管理资金等。</w:t>
      </w:r>
    </w:p>
    <w:p w14:paraId="7509D181">
      <w:pPr>
        <w:spacing w:before="252" w:line="322" w:lineRule="auto"/>
        <w:ind w:left="28" w:right="10" w:firstLine="6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hint="default" w:ascii="Times New Roman" w:hAnsi="Times New Roman" w:eastAsia="仿宋_GB2312" w:cs="Times New Roman"/>
          <w:b/>
          <w:bCs/>
          <w:spacing w:val="16"/>
          <w:sz w:val="31"/>
          <w:szCs w:val="31"/>
        </w:rPr>
        <w:t>）：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指事业单位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按照预算管理要求使用非财政拨款结余弥补收支差额的金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额，以及使用专用结余安排支出的金额。</w:t>
      </w:r>
    </w:p>
    <w:p w14:paraId="04A2890A">
      <w:pPr>
        <w:spacing w:before="249" w:line="220" w:lineRule="auto"/>
        <w:ind w:right="13"/>
        <w:jc w:val="righ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八、年初结转和结余：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指单位以前年度尚未完成、结转</w:t>
      </w:r>
    </w:p>
    <w:p w14:paraId="54D6D5DE">
      <w:pPr>
        <w:spacing w:line="22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23FFCC0">
      <w:pPr>
        <w:spacing w:before="160" w:line="357" w:lineRule="auto"/>
        <w:ind w:left="46" w:right="189" w:hanging="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到本年按有关规定用途继续使用的资金，或项目已完成等产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生的结余资金。</w:t>
      </w:r>
    </w:p>
    <w:p w14:paraId="7AA05D09">
      <w:pPr>
        <w:spacing w:before="48" w:line="355" w:lineRule="auto"/>
        <w:ind w:left="32" w:right="155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九、结余分配：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指事业单位按照会计制度规定缴纳的所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得税、提取的专用结余以及转入非财政拨款结余的金额等。</w:t>
      </w:r>
    </w:p>
    <w:p w14:paraId="3FD63147">
      <w:pPr>
        <w:spacing w:before="54" w:line="364" w:lineRule="auto"/>
        <w:ind w:left="29" w:right="153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十、年末结转和结余：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指单位按有关规定结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转到下年或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以后年度继续使用的资金，或项目已完成等产生的结余资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6"/>
          <w:sz w:val="31"/>
          <w:szCs w:val="31"/>
        </w:rPr>
        <w:t>金。</w:t>
      </w:r>
    </w:p>
    <w:p w14:paraId="2ADE90A8">
      <w:pPr>
        <w:spacing w:before="39" w:line="297" w:lineRule="auto"/>
        <w:ind w:left="30" w:right="15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十一、基本支出：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指为保障机构正常运转、完成日常工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作任务而发生的人员支出和公用支出。</w:t>
      </w:r>
    </w:p>
    <w:p w14:paraId="6BC0C147">
      <w:pPr>
        <w:spacing w:before="250" w:line="298" w:lineRule="auto"/>
        <w:ind w:left="33" w:right="154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十二、项目支出：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指在基本支出之外为完成特定行政任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务或事业发展目标所发生的支出。</w:t>
      </w:r>
    </w:p>
    <w:p w14:paraId="1B84CFE9">
      <w:pPr>
        <w:spacing w:before="249" w:line="297" w:lineRule="auto"/>
        <w:ind w:left="44" w:right="155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十三、经营支出：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指事业单位在专业业务活动及其辅助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活动之外开展非独立核算经营活动发生的支出。</w:t>
      </w:r>
    </w:p>
    <w:p w14:paraId="73E7A65E">
      <w:pPr>
        <w:spacing w:before="249" w:line="297" w:lineRule="auto"/>
        <w:ind w:left="40" w:right="153" w:firstLine="64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十四、上缴上级支出：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指事业单位按照有关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规定上缴上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级单位的支出。</w:t>
      </w:r>
    </w:p>
    <w:p w14:paraId="22BB63B8">
      <w:pPr>
        <w:spacing w:before="251" w:line="297" w:lineRule="auto"/>
        <w:ind w:left="29" w:right="152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十五、对附属单位补助支出：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指事业单位用财政补助收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入之外的收入对附属单位补助发生的支出。</w:t>
      </w:r>
    </w:p>
    <w:p w14:paraId="5EAD03F6">
      <w:pPr>
        <w:spacing w:before="252" w:line="342" w:lineRule="auto"/>
        <w:ind w:left="25" w:firstLine="65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十六、“三公”经费：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纳入省级财政预决算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管理的“三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公”经费，是指省级部门用财政拨款安排的因公出国（境）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费、公务用车购置及运行维护费和公务接待费。是党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政机关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维持运转或完成特定工作任务所开支的相关支出，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是政府行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政开支的一部分。其中，</w:t>
      </w:r>
      <w:r>
        <w:rPr>
          <w:rFonts w:hint="default" w:ascii="Times New Roman" w:hAnsi="Times New Roman" w:eastAsia="仿宋_GB2312" w:cs="Times New Roman"/>
          <w:spacing w:val="-4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因公出国（境）费反映公</w:t>
      </w:r>
      <w:r>
        <w:rPr>
          <w:rFonts w:hint="default" w:ascii="Times New Roman" w:hAnsi="Times New Roman" w:eastAsia="仿宋_GB2312" w:cs="Times New Roman"/>
          <w:spacing w:val="-13"/>
          <w:sz w:val="31"/>
          <w:szCs w:val="31"/>
        </w:rPr>
        <w:t>务出国（境）</w:t>
      </w:r>
    </w:p>
    <w:p w14:paraId="2A8B14FF">
      <w:pPr>
        <w:spacing w:line="342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4" w:type="default"/>
          <w:pgSz w:w="11907" w:h="16839"/>
          <w:pgMar w:top="1431" w:right="1646" w:bottom="1153" w:left="1785" w:header="0" w:footer="965" w:gutter="0"/>
          <w:cols w:space="720" w:num="1"/>
        </w:sectPr>
      </w:pPr>
    </w:p>
    <w:p w14:paraId="31F1201A">
      <w:pPr>
        <w:spacing w:before="155" w:line="366" w:lineRule="auto"/>
        <w:ind w:left="25" w:firstLine="2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的国际旅费、国外城市间交通费、住宿费、伙食费、培训费、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公杂费等支出；公务用车购置及运行费反映单位公务用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车车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辆购置支出（含车辆购置税）及燃料费、维修费、过桥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过路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费、保险费、安全奖励费等支出；公务接待费反映单位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按规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定开支的各类公务接待（含外宾接待）支出。</w:t>
      </w:r>
    </w:p>
    <w:p w14:paraId="0151EB15">
      <w:pPr>
        <w:spacing w:before="48" w:line="347" w:lineRule="auto"/>
        <w:ind w:left="26" w:right="9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十七、机关运行经费：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指为保障行政单位（包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括参照公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务员法管理的事业单位）运行用于购买货物和服务的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各项资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金，包括办公费、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印刷费、邮电费、差旅费、会议费、福利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费、日常维修费、专用材料及一般设备购置费、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办公用房水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电费、办公用房取暖费、办公用房物业管理费、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公务用车运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行维护费以及其他费用。</w:t>
      </w:r>
    </w:p>
    <w:p w14:paraId="2B29E8D9">
      <w:pPr>
        <w:spacing w:before="250" w:line="322" w:lineRule="auto"/>
        <w:ind w:left="43" w:right="93" w:firstLine="6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十八、******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（对部门使用的所有“项”级政府收支分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类科目，参照《2023年政府收支分类科目》中的科目说明和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中央部门决算公开内容进行说明</w:t>
      </w:r>
      <w:r>
        <w:rPr>
          <w:rFonts w:hint="default" w:ascii="Times New Roman" w:hAnsi="Times New Roman" w:eastAsia="仿宋_GB2312" w:cs="Times New Roman"/>
          <w:spacing w:val="19"/>
          <w:sz w:val="31"/>
          <w:szCs w:val="31"/>
        </w:rPr>
        <w:t>）：</w:t>
      </w:r>
    </w:p>
    <w:p w14:paraId="61314C30">
      <w:pPr>
        <w:spacing w:before="250" w:line="224" w:lineRule="auto"/>
        <w:ind w:left="68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8"/>
          <w:sz w:val="31"/>
          <w:szCs w:val="31"/>
        </w:rPr>
        <w:t>十九、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…（同上）</w:t>
      </w:r>
    </w:p>
    <w:p w14:paraId="55728680">
      <w:pPr>
        <w:spacing w:before="249" w:line="355" w:lineRule="auto"/>
        <w:ind w:left="26" w:right="98" w:firstLine="648"/>
        <w:rPr>
          <w:rFonts w:hint="default" w:ascii="Times New Roman" w:hAnsi="Times New Roman" w:eastAsia="仿宋_GB2312" w:cs="Times New Roman"/>
          <w:color w:val="FF0000"/>
          <w:spacing w:val="5"/>
          <w:sz w:val="31"/>
          <w:szCs w:val="31"/>
        </w:rPr>
      </w:pPr>
    </w:p>
    <w:sectPr>
      <w:footerReference r:id="rId15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0BF91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573D3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26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93B68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A5F12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B8FFE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27B66"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E7B2A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AF01C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AB5FD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23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4746B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05936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26E4C"/>
    <w:multiLevelType w:val="singleLevel"/>
    <w:tmpl w:val="80426E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2A3AE1E"/>
    <w:multiLevelType w:val="singleLevel"/>
    <w:tmpl w:val="82A3AE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6431CE"/>
    <w:multiLevelType w:val="singleLevel"/>
    <w:tmpl w:val="2F6431CE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3">
    <w:nsid w:val="2FFE3648"/>
    <w:multiLevelType w:val="singleLevel"/>
    <w:tmpl w:val="2FFE3648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902F74"/>
    <w:multiLevelType w:val="singleLevel"/>
    <w:tmpl w:val="59902F7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RjMmI5ZDViOTY2ZDY0ZTBhZDA0NzI4ZjdiYzBkNWYifQ=="/>
  </w:docVars>
  <w:rsids>
    <w:rsidRoot w:val="00000000"/>
    <w:rsid w:val="0A2A19D8"/>
    <w:rsid w:val="108856CC"/>
    <w:rsid w:val="16E22E2F"/>
    <w:rsid w:val="1BA5686E"/>
    <w:rsid w:val="2324183F"/>
    <w:rsid w:val="277F2F2D"/>
    <w:rsid w:val="286363AA"/>
    <w:rsid w:val="2F860BD0"/>
    <w:rsid w:val="3D223452"/>
    <w:rsid w:val="4177586D"/>
    <w:rsid w:val="41E100D1"/>
    <w:rsid w:val="42450C89"/>
    <w:rsid w:val="4DE44FE8"/>
    <w:rsid w:val="611046CB"/>
    <w:rsid w:val="6F817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link w:val="6"/>
    <w:qFormat/>
    <w:uiPriority w:val="0"/>
    <w:rPr>
      <w:rFonts w:eastAsia="宋体"/>
      <w:sz w:val="21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page number"/>
    <w:basedOn w:val="5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NormalCharacter"/>
    <w:link w:val="10"/>
    <w:qFormat/>
    <w:uiPriority w:val="0"/>
  </w:style>
  <w:style w:type="paragraph" w:customStyle="1" w:styleId="10">
    <w:name w:val="UserStyle_89"/>
    <w:basedOn w:val="1"/>
    <w:link w:val="9"/>
    <w:qFormat/>
    <w:uiPriority w:val="0"/>
    <w:pPr>
      <w:spacing w:after="160" w:line="240" w:lineRule="exact"/>
      <w:jc w:val="left"/>
    </w:pPr>
  </w:style>
  <w:style w:type="character" w:customStyle="1" w:styleId="11">
    <w:name w:val="UserStyle_88"/>
    <w:basedOn w:val="9"/>
    <w:qFormat/>
    <w:uiPriority w:val="0"/>
    <w:rPr>
      <w:rFonts w:ascii="Times New Roman" w:hAnsi="Times New Roman" w:eastAsia="楷体_GB2312"/>
      <w:sz w:val="28"/>
      <w:szCs w:val="24"/>
    </w:rPr>
  </w:style>
  <w:style w:type="character" w:customStyle="1" w:styleId="12">
    <w:name w:val="font71"/>
    <w:basedOn w:val="5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image" Target="media/image12.png"/><Relationship Id="rId27" Type="http://schemas.openxmlformats.org/officeDocument/2006/relationships/image" Target="media/image11.png"/><Relationship Id="rId26" Type="http://schemas.openxmlformats.org/officeDocument/2006/relationships/image" Target="media/image10.png"/><Relationship Id="rId25" Type="http://schemas.openxmlformats.org/officeDocument/2006/relationships/image" Target="media/image9.png"/><Relationship Id="rId24" Type="http://schemas.openxmlformats.org/officeDocument/2006/relationships/image" Target="media/image8.png"/><Relationship Id="rId23" Type="http://schemas.openxmlformats.org/officeDocument/2006/relationships/image" Target="media/image7.png"/><Relationship Id="rId22" Type="http://schemas.openxmlformats.org/officeDocument/2006/relationships/image" Target="media/image6.png"/><Relationship Id="rId21" Type="http://schemas.openxmlformats.org/officeDocument/2006/relationships/image" Target="media/image5.png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4554</Words>
  <Characters>5002</Characters>
  <TotalTime>3</TotalTime>
  <ScaleCrop>false</ScaleCrop>
  <LinksUpToDate>false</LinksUpToDate>
  <CharactersWithSpaces>5207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2024-08-07T08:54:00Z</dcterms:created>
  <dc:creator>王志强</dc:creator>
  <cp:lastModifiedBy> 小跳娃</cp:lastModifiedBy>
  <cp:lastPrinted>2024-08-26T08:47:00Z</cp:lastPrinted>
  <dcterms:modified xsi:type="dcterms:W3CDTF">2024-09-29T02:08:23Z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2024-08-26T15:58:15Z</vt:filetime>
  </property>
  <property fmtid="{D5CDD505-2E9C-101B-9397-08002B2CF9AE}" pid="4" name="KSOProductBuildVer">
    <vt:lpwstr>2052-12.1.0.18276</vt:lpwstr>
  </property>
  <property fmtid="{D5CDD505-2E9C-101B-9397-08002B2CF9AE}" pid="5" name="ICV">
    <vt:lpwstr>D0DC9EA9196C405BBA374072DF104D3D_13</vt:lpwstr>
  </property>
</Properties>
</file>