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32FE5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75C05BE9">
      <w:pPr>
        <w:pStyle w:val="2"/>
        <w:spacing w:line="251" w:lineRule="auto"/>
      </w:pPr>
    </w:p>
    <w:p w14:paraId="7E686CE5">
      <w:pPr>
        <w:pStyle w:val="2"/>
        <w:spacing w:line="251" w:lineRule="auto"/>
      </w:pPr>
    </w:p>
    <w:p w14:paraId="6AB3952E">
      <w:pPr>
        <w:pStyle w:val="2"/>
        <w:spacing w:line="252" w:lineRule="auto"/>
      </w:pPr>
    </w:p>
    <w:p w14:paraId="7196D992">
      <w:pPr>
        <w:pStyle w:val="2"/>
        <w:spacing w:line="252" w:lineRule="auto"/>
      </w:pPr>
    </w:p>
    <w:p w14:paraId="6F572779">
      <w:pPr>
        <w:pStyle w:val="2"/>
        <w:spacing w:line="252" w:lineRule="auto"/>
      </w:pPr>
    </w:p>
    <w:p w14:paraId="676A03B3">
      <w:pPr>
        <w:pStyle w:val="2"/>
        <w:spacing w:line="252" w:lineRule="auto"/>
      </w:pPr>
    </w:p>
    <w:p w14:paraId="0E1FAC4E">
      <w:pPr>
        <w:pStyle w:val="2"/>
        <w:spacing w:line="252" w:lineRule="auto"/>
      </w:pPr>
    </w:p>
    <w:p w14:paraId="11991895">
      <w:pPr>
        <w:pStyle w:val="2"/>
        <w:spacing w:line="252" w:lineRule="auto"/>
      </w:pPr>
    </w:p>
    <w:p w14:paraId="4A5C3F12">
      <w:pPr>
        <w:pStyle w:val="2"/>
        <w:spacing w:line="252" w:lineRule="auto"/>
      </w:pPr>
    </w:p>
    <w:p w14:paraId="791211BC">
      <w:pPr>
        <w:pStyle w:val="2"/>
        <w:spacing w:line="252" w:lineRule="auto"/>
      </w:pPr>
    </w:p>
    <w:p w14:paraId="239AB859">
      <w:pPr>
        <w:pStyle w:val="2"/>
        <w:spacing w:line="252" w:lineRule="auto"/>
      </w:pPr>
    </w:p>
    <w:p w14:paraId="345168FB">
      <w:pPr>
        <w:pStyle w:val="2"/>
        <w:spacing w:line="252" w:lineRule="auto"/>
      </w:pPr>
    </w:p>
    <w:p w14:paraId="17EA2D50">
      <w:pPr>
        <w:pStyle w:val="2"/>
        <w:spacing w:line="252" w:lineRule="auto"/>
      </w:pPr>
    </w:p>
    <w:p w14:paraId="722784E2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07754A3D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57509B33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长春经济技术开发区仁和学校</w:t>
      </w:r>
    </w:p>
    <w:p w14:paraId="22BCBBF4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4CBF1D97">
      <w:pPr>
        <w:pStyle w:val="2"/>
        <w:spacing w:line="242" w:lineRule="auto"/>
      </w:pPr>
    </w:p>
    <w:p w14:paraId="1A741C4C">
      <w:pPr>
        <w:pStyle w:val="2"/>
        <w:spacing w:line="242" w:lineRule="auto"/>
      </w:pPr>
    </w:p>
    <w:p w14:paraId="52F871C4">
      <w:pPr>
        <w:pStyle w:val="2"/>
        <w:spacing w:line="242" w:lineRule="auto"/>
      </w:pPr>
    </w:p>
    <w:p w14:paraId="3E69C86C">
      <w:pPr>
        <w:pStyle w:val="2"/>
        <w:spacing w:line="242" w:lineRule="auto"/>
      </w:pPr>
    </w:p>
    <w:p w14:paraId="64C416E8">
      <w:pPr>
        <w:pStyle w:val="2"/>
        <w:spacing w:line="242" w:lineRule="auto"/>
      </w:pPr>
    </w:p>
    <w:p w14:paraId="1BE60410">
      <w:pPr>
        <w:pStyle w:val="2"/>
        <w:spacing w:line="242" w:lineRule="auto"/>
      </w:pPr>
    </w:p>
    <w:p w14:paraId="05CE25EB">
      <w:pPr>
        <w:pStyle w:val="2"/>
        <w:spacing w:line="242" w:lineRule="auto"/>
      </w:pPr>
    </w:p>
    <w:p w14:paraId="2AC48136">
      <w:pPr>
        <w:pStyle w:val="2"/>
        <w:spacing w:line="242" w:lineRule="auto"/>
      </w:pPr>
    </w:p>
    <w:p w14:paraId="13AF64CA">
      <w:pPr>
        <w:pStyle w:val="2"/>
        <w:spacing w:line="242" w:lineRule="auto"/>
      </w:pPr>
    </w:p>
    <w:p w14:paraId="0BB480B2">
      <w:pPr>
        <w:pStyle w:val="2"/>
        <w:spacing w:line="242" w:lineRule="auto"/>
      </w:pPr>
    </w:p>
    <w:p w14:paraId="788AE01D">
      <w:pPr>
        <w:pStyle w:val="2"/>
        <w:spacing w:line="242" w:lineRule="auto"/>
      </w:pPr>
    </w:p>
    <w:p w14:paraId="3AA23FFC">
      <w:pPr>
        <w:pStyle w:val="2"/>
        <w:spacing w:line="243" w:lineRule="auto"/>
      </w:pPr>
    </w:p>
    <w:p w14:paraId="33E864CB">
      <w:pPr>
        <w:pStyle w:val="2"/>
        <w:spacing w:line="243" w:lineRule="auto"/>
      </w:pPr>
    </w:p>
    <w:p w14:paraId="0D0C95D1">
      <w:pPr>
        <w:pStyle w:val="2"/>
        <w:spacing w:line="243" w:lineRule="auto"/>
      </w:pPr>
    </w:p>
    <w:p w14:paraId="36C69A62">
      <w:pPr>
        <w:pStyle w:val="2"/>
        <w:spacing w:line="243" w:lineRule="auto"/>
      </w:pPr>
    </w:p>
    <w:p w14:paraId="5233F9A1">
      <w:pPr>
        <w:pStyle w:val="2"/>
        <w:spacing w:line="243" w:lineRule="auto"/>
      </w:pPr>
    </w:p>
    <w:p w14:paraId="63888392">
      <w:pPr>
        <w:pStyle w:val="2"/>
        <w:spacing w:line="243" w:lineRule="auto"/>
      </w:pPr>
    </w:p>
    <w:p w14:paraId="2137FE38">
      <w:pPr>
        <w:pStyle w:val="2"/>
        <w:spacing w:line="243" w:lineRule="auto"/>
      </w:pPr>
    </w:p>
    <w:p w14:paraId="7E2520E9">
      <w:pPr>
        <w:pStyle w:val="2"/>
        <w:spacing w:line="243" w:lineRule="auto"/>
      </w:pPr>
    </w:p>
    <w:p w14:paraId="1C840F52">
      <w:pPr>
        <w:pStyle w:val="2"/>
        <w:spacing w:line="243" w:lineRule="auto"/>
      </w:pPr>
    </w:p>
    <w:p w14:paraId="40DFBF55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10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3FB3A6CE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4F7328B6">
      <w:pPr>
        <w:pStyle w:val="2"/>
        <w:spacing w:line="289" w:lineRule="auto"/>
      </w:pPr>
    </w:p>
    <w:p w14:paraId="4AB61596">
      <w:pPr>
        <w:pStyle w:val="2"/>
        <w:spacing w:line="290" w:lineRule="auto"/>
      </w:pPr>
    </w:p>
    <w:p w14:paraId="10038087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386750F7">
      <w:pPr>
        <w:pStyle w:val="2"/>
        <w:spacing w:line="341" w:lineRule="auto"/>
      </w:pPr>
    </w:p>
    <w:p w14:paraId="403E1EDF">
      <w:pPr>
        <w:pStyle w:val="2"/>
        <w:spacing w:line="342" w:lineRule="auto"/>
      </w:pPr>
    </w:p>
    <w:p w14:paraId="3D615EF7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4D45C96A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640638DC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68B56200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11A40A4B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1C5BCCFB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3CA95F16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08543CE1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4EB63848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4C04E795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35EBE4B8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15DAFFC7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341C4F9F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4CF75C30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3DCFAF7B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031C4768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2DD6BC2A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29D7507B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55B3D7C4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3A716E15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26A7C3B7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224B17F6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44FE1C95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2CEF7F7A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533A1858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429A8991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73EADD1E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62E8EF26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26B953C0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1B92213">
      <w:pPr>
        <w:pStyle w:val="2"/>
        <w:spacing w:line="328" w:lineRule="auto"/>
      </w:pPr>
    </w:p>
    <w:p w14:paraId="41053DBA">
      <w:pPr>
        <w:pStyle w:val="2"/>
        <w:spacing w:line="328" w:lineRule="auto"/>
      </w:pPr>
    </w:p>
    <w:p w14:paraId="4240DF36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16CAD4C5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445A0120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73C264C0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7CCC6C5">
      <w:pPr>
        <w:spacing w:before="101" w:line="224" w:lineRule="auto"/>
        <w:ind w:left="75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5AF92B03">
      <w:pPr>
        <w:ind w:firstLine="640" w:firstLineChars="200"/>
        <w:rPr>
          <w:rFonts w:hint="default" w:ascii="仿宋_GB2312" w:hAnsi="宋体" w:eastAsia="仿宋_GB2312" w:cs="宋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cs="宋体"/>
          <w:color w:val="000000"/>
          <w:sz w:val="32"/>
          <w:szCs w:val="32"/>
          <w:shd w:val="clear" w:color="auto" w:fill="FFFFFF"/>
          <w:lang w:val="en-US" w:eastAsia="zh-CN"/>
        </w:rPr>
        <w:t>仁和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学校位于长春</w:t>
      </w:r>
      <w:r>
        <w:rPr>
          <w:rFonts w:hint="eastAsia" w:ascii="仿宋_GB2312" w:hAnsi="宋体" w:cs="宋体"/>
          <w:color w:val="000000"/>
          <w:sz w:val="32"/>
          <w:szCs w:val="32"/>
          <w:shd w:val="clear" w:color="auto" w:fill="FFFFFF"/>
          <w:lang w:val="en-US" w:eastAsia="zh-CN"/>
        </w:rPr>
        <w:t>市二道区吉港陆与浙港街交汇处</w:t>
      </w:r>
      <w:r>
        <w:rPr>
          <w:rFonts w:hint="eastAsia" w:ascii="仿宋_GB2312" w:hAnsi="宋体" w:eastAsia="仿宋_GB2312" w:cs="宋体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cs="宋体"/>
          <w:color w:val="000000"/>
          <w:sz w:val="32"/>
          <w:szCs w:val="32"/>
          <w:shd w:val="clear" w:color="auto" w:fill="FFFFFF"/>
          <w:lang w:val="en-US" w:eastAsia="zh-CN"/>
        </w:rPr>
        <w:t>目前尚在建设中。</w:t>
      </w:r>
    </w:p>
    <w:p w14:paraId="508C1BD5">
      <w:pPr>
        <w:spacing w:before="25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1D72C481">
      <w:pPr>
        <w:pStyle w:val="9"/>
        <w:ind w:firstLine="640" w:firstLineChars="200"/>
        <w:rPr>
          <w:rFonts w:hint="default" w:hAnsi="楷体" w:eastAsia="仿宋"/>
          <w:lang w:val="en-US" w:eastAsia="zh-CN"/>
        </w:rPr>
      </w:pPr>
      <w:r>
        <w:rPr>
          <w:rFonts w:hint="eastAsia" w:ascii="仿宋" w:hAnsi="仿宋" w:eastAsia="仿宋"/>
          <w:sz w:val="32"/>
        </w:rPr>
        <w:t>本单位为事业单位、一般公共预算财政补助事业单位，</w:t>
      </w:r>
      <w:r>
        <w:rPr>
          <w:rFonts w:hint="eastAsia" w:ascii="仿宋" w:hAnsi="仿宋" w:eastAsia="仿宋"/>
          <w:sz w:val="32"/>
          <w:lang w:val="en-US" w:eastAsia="zh-CN"/>
        </w:rPr>
        <w:t>目前尚在建设中，有校长1名，负责学校的整体工作，教师6名。</w:t>
      </w:r>
    </w:p>
    <w:p w14:paraId="6F9B424B">
      <w:pPr>
        <w:ind w:firstLine="640" w:firstLineChars="200"/>
        <w:rPr>
          <w:rFonts w:hint="eastAsia" w:ascii="仿宋_GB2312" w:hAnsi="仿宋" w:eastAsia="仿宋_GB2312"/>
          <w:sz w:val="32"/>
        </w:rPr>
      </w:pPr>
    </w:p>
    <w:p w14:paraId="0B76988B">
      <w:pPr>
        <w:spacing w:line="355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4B6B404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795A28E3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0E6DA4F8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0D996A4A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170EF5A2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7E3E0CC2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FB68740">
      <w:pPr>
        <w:spacing w:before="100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43B4F694">
      <w:pPr>
        <w:spacing w:before="101" w:line="5918" w:lineRule="exact"/>
        <w:ind w:firstLine="19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-1443990</wp:posOffset>
            </wp:positionV>
            <wp:extent cx="5285740" cy="4509135"/>
            <wp:effectExtent l="0" t="0" r="10160" b="5715"/>
            <wp:wrapTopAndBottom/>
            <wp:docPr id="3" name="图片 3" descr="ca47e2a4537ee0f74f46d01925d42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47e2a4537ee0f74f46d01925d420d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4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A3E44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68EE6C68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1BFA8D7F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7D0CFDB7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5634FEB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2EFBDCCE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 w14:paraId="6F5BDAA0">
      <w:pPr>
        <w:spacing w:before="209" w:line="5702" w:lineRule="exact"/>
        <w:ind w:firstLine="32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8915" cy="2266950"/>
            <wp:effectExtent l="0" t="0" r="6985" b="0"/>
            <wp:docPr id="4" name="图片 4" descr="633f220710fd9e253f0f53288958f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33f220710fd9e253f0f53288958fa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DB578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05CB8D7E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743FF46">
      <w:pPr>
        <w:pStyle w:val="2"/>
        <w:spacing w:line="262" w:lineRule="auto"/>
        <w:rPr>
          <w:rFonts w:hint="default" w:ascii="Times New Roman" w:hAnsi="Times New Roman" w:eastAsia="仿宋_GB2312" w:cs="Times New Roman"/>
        </w:rPr>
      </w:pPr>
    </w:p>
    <w:p w14:paraId="6F95EFF2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472B34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4CE3B43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B78FA09">
      <w:pPr>
        <w:spacing w:before="101" w:line="224" w:lineRule="auto"/>
        <w:ind w:left="674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三、支出决算表</w:t>
      </w:r>
    </w:p>
    <w:p w14:paraId="13784C88">
      <w:pPr>
        <w:spacing w:before="151" w:line="5818" w:lineRule="exact"/>
        <w:ind w:firstLine="2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5740" cy="2524125"/>
            <wp:effectExtent l="0" t="0" r="10160" b="9525"/>
            <wp:docPr id="5" name="图片 5" descr="85de44edf8cbaa68a720dee64ea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5de44edf8cbaa68a720dee64ea3776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9E63D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20D3CCD9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0322DCC5">
      <w:pPr>
        <w:pStyle w:val="2"/>
        <w:spacing w:line="242" w:lineRule="auto"/>
        <w:rPr>
          <w:rFonts w:hint="default" w:ascii="Times New Roman" w:hAnsi="Times New Roman" w:eastAsia="仿宋_GB2312" w:cs="Times New Roman"/>
        </w:rPr>
      </w:pPr>
    </w:p>
    <w:p w14:paraId="0E3B3F9B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23B9C86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1A9D4B8D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1E400847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7A37A58A">
      <w:pPr>
        <w:pStyle w:val="2"/>
        <w:spacing w:line="245" w:lineRule="auto"/>
        <w:rPr>
          <w:rFonts w:hint="default" w:ascii="Times New Roman" w:hAnsi="Times New Roman" w:eastAsia="仿宋_GB2312" w:cs="Times New Roman"/>
        </w:rPr>
      </w:pPr>
    </w:p>
    <w:p w14:paraId="535F0468">
      <w:pPr>
        <w:spacing w:line="4378" w:lineRule="exact"/>
        <w:ind w:firstLine="14"/>
        <w:rPr>
          <w:rFonts w:hint="default" w:ascii="Times New Roman" w:hAnsi="Times New Roman" w:eastAsia="仿宋_GB2312" w:cs="Times New Roman"/>
        </w:rPr>
      </w:pPr>
    </w:p>
    <w:p w14:paraId="2C8CEDD7">
      <w:pPr>
        <w:pStyle w:val="2"/>
        <w:spacing w:line="273" w:lineRule="auto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93360" cy="4021455"/>
            <wp:effectExtent l="0" t="0" r="2540" b="17145"/>
            <wp:docPr id="6" name="图片 6" descr="2cbc4b1f12aa026e166e10194fca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cbc4b1f12aa026e166e10194fca1ae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CBA4A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4F58EFFD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7EC60962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629106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25DB8F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7B25734">
      <w:pPr>
        <w:spacing w:before="100" w:line="224" w:lineRule="auto"/>
        <w:ind w:left="67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五、一般公共预算财政拨款支出决算表</w:t>
      </w:r>
    </w:p>
    <w:p w14:paraId="5B8FD31E">
      <w:pPr>
        <w:spacing w:before="229" w:line="4102" w:lineRule="exact"/>
        <w:ind w:firstLine="14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0660" cy="1510030"/>
            <wp:effectExtent l="0" t="0" r="15240" b="13970"/>
            <wp:docPr id="7" name="图片 7" descr="6a63375c5f90ae47c34a9d440e5ae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a63375c5f90ae47c34a9d440e5aea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8726E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5568232D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0EA9F6A4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232F62D5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6457369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908997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73009A2D">
      <w:pPr>
        <w:spacing w:before="100" w:line="224" w:lineRule="auto"/>
        <w:ind w:left="67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</w:p>
    <w:p w14:paraId="38C4E18E">
      <w:pPr>
        <w:spacing w:before="234" w:line="5964" w:lineRule="exact"/>
        <w:ind w:firstLine="237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8280" cy="3183255"/>
            <wp:effectExtent l="0" t="0" r="7620" b="17145"/>
            <wp:docPr id="8" name="图片 8" descr="c729f3fb8e377519197ef7fdb50a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729f3fb8e377519197ef7fdb50a65a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E070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5D5A25F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1D68958F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6EEAFC3A">
      <w:pPr>
        <w:spacing w:line="36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89B6BC6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6EAAFEB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E8D47EE">
      <w:pPr>
        <w:spacing w:before="101" w:line="224" w:lineRule="auto"/>
        <w:ind w:left="666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</w:p>
    <w:p w14:paraId="333B73A5">
      <w:pPr>
        <w:spacing w:before="235" w:line="4714" w:lineRule="exact"/>
        <w:ind w:firstLine="240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3835" cy="1120775"/>
            <wp:effectExtent l="0" t="0" r="12065" b="3175"/>
            <wp:docPr id="9" name="图片 9" descr="9ae4a028db9c4a0185f33bfc7b03d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ae4a028db9c4a0185f33bfc7b03db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CC0C4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AFD84DB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04A4F70F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79F79233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363A30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289AD3C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8A5F855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1021FD11">
      <w:pPr>
        <w:spacing w:before="182" w:line="4817" w:lineRule="exact"/>
        <w:ind w:firstLine="28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drawing>
          <wp:inline distT="0" distB="0" distL="114300" distR="114300">
            <wp:extent cx="5283835" cy="1626235"/>
            <wp:effectExtent l="0" t="0" r="12065" b="12065"/>
            <wp:docPr id="10" name="图片 10" descr="ca0445946f4e0afcffdf0495f1c4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a0445946f4e0afcffdf0495f1c499c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EACCA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2B34EB64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098B3AB7">
      <w:pPr>
        <w:pStyle w:val="2"/>
        <w:spacing w:line="253" w:lineRule="auto"/>
        <w:rPr>
          <w:rFonts w:hint="default" w:ascii="Times New Roman" w:hAnsi="Times New Roman" w:eastAsia="仿宋_GB2312" w:cs="Times New Roman"/>
        </w:rPr>
      </w:pPr>
    </w:p>
    <w:p w14:paraId="3122A84C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065452D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7411C75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4466C9A8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4DB213FA">
      <w:pPr>
        <w:spacing w:before="96" w:line="5302" w:lineRule="exact"/>
        <w:ind w:firstLine="237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71135" cy="18580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4AA9D">
      <w:pPr>
        <w:spacing w:before="154" w:line="362" w:lineRule="auto"/>
        <w:ind w:left="32" w:right="12" w:firstLine="643"/>
        <w:jc w:val="both"/>
        <w:rPr>
          <w:rFonts w:hint="eastAsia" w:ascii="Times New Roman" w:hAnsi="Times New Roman" w:eastAsia="仿宋_GB2312" w:cs="Times New Roman"/>
          <w:color w:val="000000" w:themeColor="text1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default" w:ascii="Times New Roman" w:hAnsi="Times New Roman" w:eastAsia="仿宋_GB2312" w:cs="Times New Roman"/>
          <w:color w:val="000000" w:themeColor="text1"/>
          <w:spacing w:val="5"/>
          <w:sz w:val="31"/>
          <w:szCs w:val="31"/>
          <w14:textFill>
            <w14:solidFill>
              <w14:schemeClr w14:val="tx1"/>
            </w14:solidFill>
          </w14:textFill>
        </w:rPr>
        <w:t>本单位没有财政拨款</w:t>
      </w:r>
      <w:r>
        <w:rPr>
          <w:rFonts w:hint="eastAsia" w:ascii="Times New Roman" w:hAnsi="Times New Roman" w:eastAsia="仿宋_GB2312" w:cs="Times New Roman"/>
          <w:color w:val="000000" w:themeColor="text1"/>
          <w:spacing w:val="5"/>
          <w:sz w:val="31"/>
          <w:szCs w:val="3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0E4AFCF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48D33E5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D9BCED6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68C13A7E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7D17E61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7CF5CAFF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2D791A91">
      <w:pPr>
        <w:spacing w:line="9847" w:lineRule="exact"/>
        <w:ind w:firstLine="297"/>
        <w:rPr>
          <w:rFonts w:hint="eastAsia" w:ascii="Times New Roman" w:hAnsi="Times New Roman" w:eastAsia="仿宋_GB2312" w:cs="Times New Roman"/>
          <w:lang w:eastAsia="zh-CN"/>
        </w:rPr>
      </w:pPr>
    </w:p>
    <w:p w14:paraId="72DBE500">
      <w:pPr>
        <w:spacing w:line="9847" w:lineRule="exact"/>
        <w:rPr>
          <w:rFonts w:hint="default" w:ascii="Times New Roman" w:hAnsi="Times New Roman" w:eastAsia="仿宋_GB2312" w:cs="Times New Roman"/>
        </w:rPr>
        <w:sectPr>
          <w:footerReference r:id="rId18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F4E4E6A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49E8072E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E3A1CA3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4110CAF9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6103A31F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23CE7382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增加500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增长100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</w:t>
      </w:r>
      <w:r>
        <w:rPr>
          <w:rFonts w:hint="default" w:ascii="Times New Roman" w:hAnsi="Times New Roman" w:eastAsia="仿宋_GB2312" w:cs="Times New Roman"/>
          <w:spacing w:val="-68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新建校</w:t>
      </w:r>
      <w:r>
        <w:rPr>
          <w:rFonts w:hint="eastAsia" w:ascii="仿宋" w:hAnsi="仿宋" w:eastAsia="仿宋"/>
          <w:sz w:val="32"/>
          <w:szCs w:val="30"/>
          <w:lang w:val="en-US" w:eastAsia="zh-CN"/>
        </w:rPr>
        <w:t>。</w:t>
      </w:r>
    </w:p>
    <w:p w14:paraId="157B4EDF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3559507E">
      <w:pPr>
        <w:spacing w:before="253" w:line="368" w:lineRule="auto"/>
        <w:ind w:left="2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本年收入合计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万元，其中：财政拨款收入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上年增加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%，主要是</w:t>
      </w:r>
      <w:r>
        <w:rPr>
          <w:rFonts w:hint="eastAsia" w:ascii="Times New Roman" w:hAnsi="Times New Roman" w:eastAsia="仿宋_GB2312" w:cs="Times New Roman"/>
          <w:spacing w:val="-94"/>
          <w:sz w:val="31"/>
          <w:szCs w:val="31"/>
          <w:lang w:val="en-US" w:eastAsia="zh-CN"/>
        </w:rPr>
        <w:t>新建校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级补助收入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……；事业收入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……；经营收入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上年增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……；附属单位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上缴收入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……；其他收入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9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……。</w:t>
      </w:r>
    </w:p>
    <w:p w14:paraId="71D78074">
      <w:pPr>
        <w:spacing w:line="356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9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733A312B">
      <w:pPr>
        <w:spacing w:before="158" w:line="224" w:lineRule="auto"/>
        <w:ind w:left="6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3C3C390D">
      <w:pPr>
        <w:spacing w:before="251" w:line="368" w:lineRule="auto"/>
        <w:ind w:left="21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本年支出合计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万元，其中：基本支出</w:t>
      </w:r>
      <w:r>
        <w:rPr>
          <w:rFonts w:hint="eastAsia" w:ascii="Times New Roman" w:hAnsi="Times New Roman" w:eastAsia="仿宋_GB2312" w:cs="Times New Roman"/>
          <w:spacing w:val="24"/>
          <w:sz w:val="31"/>
          <w:szCs w:val="31"/>
          <w:lang w:val="en-US" w:eastAsia="zh-CN"/>
        </w:rPr>
        <w:t>54.32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比上年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增加54.32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万元，下降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新建校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；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项目支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7"/>
          <w:sz w:val="31"/>
          <w:szCs w:val="31"/>
          <w:lang w:val="en-US" w:eastAsia="zh-CN"/>
        </w:rPr>
        <w:t>445.68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445.68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要是</w:t>
      </w:r>
      <w:r>
        <w:rPr>
          <w:rFonts w:hint="default" w:ascii="Times New Roman" w:hAnsi="Times New Roman" w:eastAsia="仿宋_GB2312" w:cs="Times New Roman"/>
          <w:spacing w:val="-86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新建校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；上缴上级支出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；经营支出</w:t>
      </w:r>
      <w:r>
        <w:rPr>
          <w:rFonts w:hint="eastAsia" w:ascii="Times New Roman" w:hAnsi="Times New Roman" w:eastAsia="仿宋_GB2312" w:cs="Times New Roman"/>
          <w:spacing w:val="4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%，主要是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；对附属单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位补助支出</w:t>
      </w:r>
      <w:r>
        <w:rPr>
          <w:rFonts w:hint="default" w:ascii="Times New Roman" w:hAnsi="Times New Roman" w:eastAsia="仿宋_GB2312" w:cs="Times New Roman"/>
          <w:spacing w:val="45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5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10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……。</w:t>
      </w:r>
    </w:p>
    <w:p w14:paraId="1AA0B844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54DB3B66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16B81005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4CC21936">
      <w:pPr>
        <w:spacing w:before="248" w:line="362" w:lineRule="auto"/>
        <w:ind w:left="23" w:right="86" w:firstLine="64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年度财政拨款收、支总计均为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相比，财政拨款收、支总计各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增加500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增长100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。主要原因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: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新建校。</w:t>
      </w:r>
    </w:p>
    <w:p w14:paraId="5227292C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09DF2BD8">
      <w:pPr>
        <w:pStyle w:val="2"/>
        <w:spacing w:line="286" w:lineRule="auto"/>
        <w:rPr>
          <w:rFonts w:hint="default" w:ascii="Times New Roman" w:hAnsi="Times New Roman" w:eastAsia="仿宋_GB2312" w:cs="Times New Roman"/>
        </w:rPr>
      </w:pPr>
    </w:p>
    <w:p w14:paraId="4757B6F2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4D628E36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337C1FF3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万元，占本年支</w:t>
      </w:r>
    </w:p>
    <w:p w14:paraId="14E49422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0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36BDE817">
      <w:pPr>
        <w:spacing w:before="160" w:line="357" w:lineRule="auto"/>
        <w:ind w:left="68" w:right="9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出合计的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%。与 2022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年度相比，一般公共预算财政拨款支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增加500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%。主要原因：</w:t>
      </w:r>
      <w:r>
        <w:rPr>
          <w:rFonts w:hint="eastAsia" w:ascii="Times New Roman" w:hAnsi="Times New Roman" w:eastAsia="仿宋_GB2312" w:cs="Times New Roman"/>
          <w:spacing w:val="-68"/>
          <w:sz w:val="31"/>
          <w:szCs w:val="31"/>
          <w:lang w:val="en-US" w:eastAsia="zh-CN"/>
        </w:rPr>
        <w:t>新建校。</w:t>
      </w:r>
    </w:p>
    <w:p w14:paraId="0A8BB415">
      <w:pPr>
        <w:spacing w:before="51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一般公共预算财政拨款支出决算结构情况</w:t>
      </w:r>
    </w:p>
    <w:p w14:paraId="0AC0CA86">
      <w:pPr>
        <w:spacing w:before="251" w:line="364" w:lineRule="auto"/>
        <w:ind w:left="68" w:right="7" w:firstLine="603"/>
        <w:jc w:val="both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万元，主要用于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以下方面：教育支出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490.88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-6"/>
          <w:sz w:val="31"/>
          <w:szCs w:val="31"/>
          <w:lang w:val="en-US" w:eastAsia="zh-CN"/>
        </w:rPr>
        <w:t>98.18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3.64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0.73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%；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住房保障支出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5.48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10"/>
          <w:sz w:val="31"/>
          <w:szCs w:val="31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eastAsia="zh-CN"/>
        </w:rPr>
        <w:t>。</w:t>
      </w:r>
    </w:p>
    <w:p w14:paraId="468A32CD">
      <w:pPr>
        <w:spacing w:before="49" w:line="356" w:lineRule="auto"/>
        <w:ind w:left="29" w:right="91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color w:val="FF0000"/>
          <w:spacing w:val="4"/>
          <w:sz w:val="31"/>
          <w:szCs w:val="31"/>
        </w:rPr>
        <w:t>。</w:t>
      </w:r>
    </w:p>
    <w:p w14:paraId="22E21590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38B874C6">
      <w:pPr>
        <w:spacing w:before="248" w:line="357" w:lineRule="auto"/>
        <w:ind w:left="38" w:right="86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 年度一般公共预算财政拨款支出年初预算为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元，支出决算为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%。其中：</w:t>
      </w:r>
    </w:p>
    <w:p w14:paraId="7D3A3654">
      <w:pPr>
        <w:numPr>
          <w:ilvl w:val="0"/>
          <w:numId w:val="1"/>
        </w:numPr>
        <w:spacing w:before="52" w:line="322" w:lineRule="auto"/>
        <w:ind w:left="34" w:right="98" w:firstLine="636"/>
        <w:rPr>
          <w:rFonts w:hint="default" w:ascii="Times New Roman" w:hAnsi="Times New Roman" w:eastAsia="仿宋_GB2312" w:cs="Times New Roman"/>
          <w:spacing w:val="-12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教育支出（类）普通教育（款）初中教育（项）。年初预算为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490.88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490.88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-12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%。</w:t>
      </w:r>
    </w:p>
    <w:p w14:paraId="26B01202">
      <w:pPr>
        <w:spacing w:line="297" w:lineRule="auto"/>
        <w:ind w:firstLine="620" w:firstLineChars="200"/>
        <w:rPr>
          <w:rFonts w:hint="default" w:ascii="Times New Roman" w:hAnsi="Times New Roman" w:eastAsia="仿宋_GB2312" w:cs="Times New Roman"/>
          <w:spacing w:val="1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1"/>
          <w:szCs w:val="31"/>
        </w:rPr>
        <w:t>. 卫生健康支出（类）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2.46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2.46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6542EA8E">
      <w:pPr>
        <w:spacing w:line="297" w:lineRule="auto"/>
        <w:ind w:firstLine="1008" w:firstLineChars="300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</w:pPr>
    </w:p>
    <w:p w14:paraId="5ABC2533">
      <w:pPr>
        <w:numPr>
          <w:numId w:val="0"/>
        </w:numPr>
        <w:spacing w:line="297" w:lineRule="auto"/>
        <w:ind w:firstLine="620" w:firstLineChars="200"/>
        <w:rPr>
          <w:rFonts w:hint="default" w:ascii="Times New Roman" w:hAnsi="Times New Roman" w:eastAsia="仿宋_GB2312" w:cs="Times New Roman"/>
          <w:spacing w:val="1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卫生健康支出（类）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行政事业单位医疗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公务员医疗补助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1.18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1.18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6DA8F84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97" w:lineRule="auto"/>
        <w:jc w:val="left"/>
        <w:textAlignment w:val="baseline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</w:pPr>
    </w:p>
    <w:p w14:paraId="1637E92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97" w:lineRule="auto"/>
        <w:ind w:firstLine="620" w:firstLineChars="200"/>
        <w:jc w:val="left"/>
        <w:textAlignment w:val="baseline"/>
        <w:rPr>
          <w:rFonts w:hint="default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sectPr>
          <w:footerReference r:id="rId21" w:type="default"/>
          <w:pgSz w:w="11907" w:h="16839"/>
          <w:pgMar w:top="1431" w:right="1708" w:bottom="1153" w:left="1785" w:header="0" w:footer="965" w:gutter="0"/>
          <w:cols w:space="720" w:num="1"/>
        </w:sect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住房保障支出（类）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住房改革支出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（款）</w:t>
      </w:r>
      <w:r>
        <w:rPr>
          <w:rFonts w:hint="default" w:ascii="Times New Roman" w:hAnsi="Times New Roman" w:eastAsia="仿宋_GB2312" w:cs="Times New Roman"/>
          <w:spacing w:val="-89"/>
          <w:sz w:val="31"/>
          <w:szCs w:val="31"/>
        </w:rPr>
        <w:t>住房公积金</w:t>
      </w:r>
      <w:r>
        <w:rPr>
          <w:rFonts w:hint="default" w:ascii="Times New Roman" w:hAnsi="Times New Roman" w:eastAsia="仿宋_GB2312" w:cs="Times New Roman"/>
          <w:sz w:val="31"/>
          <w:szCs w:val="31"/>
        </w:rPr>
        <w:t>（项）。年初预算为</w:t>
      </w:r>
      <w:r>
        <w:rPr>
          <w:rFonts w:hint="eastAsia" w:ascii="Times New Roman" w:hAnsi="Times New Roman" w:eastAsia="仿宋_GB2312" w:cs="Times New Roman"/>
          <w:spacing w:val="57"/>
          <w:sz w:val="31"/>
          <w:szCs w:val="31"/>
          <w:lang w:val="en-US" w:eastAsia="zh-CN"/>
        </w:rPr>
        <w:t>5.48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支出决算为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5.48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1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>%。</w:t>
      </w:r>
    </w:p>
    <w:p w14:paraId="7D3DF1D6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238A099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6C71337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77348CF8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30DE61E4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54.32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778104BB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53.7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，主要包括：基本工资、津贴补贴、奖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金、绩效工资、职工基本医疗保险缴费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、公务员医疗补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助缴费、其他社会保障缴费、住房公积金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。</w:t>
      </w:r>
    </w:p>
    <w:p w14:paraId="3B7C22BF">
      <w:pPr>
        <w:spacing w:before="254" w:line="367" w:lineRule="auto"/>
        <w:ind w:left="26" w:firstLine="641"/>
        <w:rPr>
          <w:rFonts w:hint="eastAsia" w:ascii="Times New Roman" w:hAnsi="Times New Roman" w:eastAsia="仿宋_GB2312" w:cs="Times New Roman"/>
          <w:sz w:val="31"/>
          <w:szCs w:val="31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公用经费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0.62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，主要包括：办公费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工会经费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eastAsia="zh-CN"/>
        </w:rPr>
        <w:t>。</w:t>
      </w:r>
    </w:p>
    <w:p w14:paraId="735B453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3E5D8466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701ACFC2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3B5BDDB">
      <w:pPr>
        <w:spacing w:before="101" w:line="224" w:lineRule="auto"/>
        <w:ind w:left="50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情况说明</w:t>
      </w:r>
    </w:p>
    <w:p w14:paraId="157ECBD3">
      <w:pPr>
        <w:spacing w:before="246" w:line="366" w:lineRule="auto"/>
        <w:ind w:left="38" w:firstLine="47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>2023 年度政府性基金预算财政拨款年初结转和结余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万元；本年收入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，增长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spacing w:val="-94"/>
          <w:sz w:val="31"/>
          <w:szCs w:val="31"/>
          <w:lang w:val="en-US" w:eastAsia="zh-CN"/>
        </w:rPr>
        <w:t>.......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；本年支出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%，主要是</w:t>
      </w:r>
      <w:r>
        <w:rPr>
          <w:rFonts w:hint="eastAsia" w:ascii="Times New Roman" w:hAnsi="Times New Roman" w:eastAsia="仿宋_GB2312" w:cs="Times New Roman"/>
          <w:spacing w:val="-98"/>
          <w:sz w:val="31"/>
          <w:szCs w:val="31"/>
          <w:lang w:val="en-US" w:eastAsia="zh-CN"/>
        </w:rPr>
        <w:t>...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；年末结转和结余</w:t>
      </w:r>
      <w:r>
        <w:rPr>
          <w:rFonts w:hint="eastAsia" w:ascii="Times New Roman" w:hAnsi="Times New Roman" w:eastAsia="仿宋_GB2312" w:cs="Times New Roman"/>
          <w:spacing w:val="4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元。</w:t>
      </w:r>
    </w:p>
    <w:p w14:paraId="1BEB51F6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2" w:type="default"/>
          <w:pgSz w:w="11907" w:h="16839"/>
          <w:pgMar w:top="1431" w:right="1641" w:bottom="1153" w:left="1785" w:header="0" w:footer="965" w:gutter="0"/>
          <w:cols w:space="720" w:num="1"/>
        </w:sectPr>
      </w:pPr>
    </w:p>
    <w:p w14:paraId="00E9C663">
      <w:pPr>
        <w:spacing w:before="158" w:line="224" w:lineRule="auto"/>
        <w:ind w:left="74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八、国有资本经营预算财政拨款支出决算情况说明</w:t>
      </w:r>
    </w:p>
    <w:p w14:paraId="13E059A6">
      <w:pPr>
        <w:spacing w:before="248" w:line="220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 年度国有资本经营预算年初结转和结余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万元；</w:t>
      </w:r>
    </w:p>
    <w:p w14:paraId="19E90B4B">
      <w:pPr>
        <w:spacing w:before="255" w:line="364" w:lineRule="auto"/>
        <w:ind w:left="23" w:firstLine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本年收入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万元，比上年增加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6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主要是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；本年支出</w:t>
      </w:r>
      <w:r>
        <w:rPr>
          <w:rFonts w:hint="eastAsia" w:ascii="Times New Roman" w:hAnsi="Times New Roman" w:eastAsia="仿宋_GB2312" w:cs="Times New Roman"/>
          <w:spacing w:val="49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比上年增加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9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9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……</w:t>
      </w:r>
      <w:r>
        <w:rPr>
          <w:rFonts w:hint="default" w:ascii="Times New Roman" w:hAnsi="Times New Roman" w:eastAsia="仿宋_GB2312" w:cs="Times New Roman"/>
          <w:spacing w:val="-1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；年末结转和结余</w:t>
      </w:r>
      <w:r>
        <w:rPr>
          <w:rFonts w:hint="eastAsia" w:ascii="Times New Roman" w:hAnsi="Times New Roman" w:eastAsia="仿宋_GB2312" w:cs="Times New Roman"/>
          <w:spacing w:val="4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</w:t>
      </w:r>
    </w:p>
    <w:p w14:paraId="7B442AF2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2E9B1DF9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41B4080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4F2B65B5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0237842A">
      <w:pPr>
        <w:spacing w:before="249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一）“三公”经费财政拨款支出决算总体情况说明</w:t>
      </w:r>
    </w:p>
    <w:p w14:paraId="1DE0F019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4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年度“三公”经费财政拨款支出预算为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万元，支</w:t>
      </w:r>
    </w:p>
    <w:p w14:paraId="4E0B63E2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3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7F4DB813">
      <w:pPr>
        <w:spacing w:before="156" w:line="362" w:lineRule="auto"/>
        <w:ind w:left="41" w:firstLine="26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出决算为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2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%，主要原因是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…。</w:t>
      </w:r>
    </w:p>
    <w:p w14:paraId="6BF4C413">
      <w:pPr>
        <w:spacing w:before="50" w:line="223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（二）“三公”经费财政拨款支出决算具体情况说明</w:t>
      </w:r>
    </w:p>
    <w:p w14:paraId="3BE4AA74">
      <w:pPr>
        <w:spacing w:before="248" w:line="366" w:lineRule="auto"/>
        <w:ind w:left="23" w:right="74" w:firstLine="66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1.因公出国（境）费预算为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万元,支出决算为</w:t>
      </w:r>
      <w:r>
        <w:rPr>
          <w:rFonts w:hint="eastAsia" w:ascii="Times New Roman" w:hAnsi="Times New Roman" w:eastAsia="仿宋_GB2312" w:cs="Times New Roman"/>
          <w:spacing w:val="20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>%；支出决算较</w:t>
      </w:r>
      <w:r>
        <w:rPr>
          <w:rFonts w:hint="default" w:ascii="Times New Roman" w:hAnsi="Times New Roman" w:eastAsia="仿宋_GB2312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万元，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全年共有因公出国（境）</w:t>
      </w:r>
      <w:r>
        <w:rPr>
          <w:rFonts w:hint="default" w:ascii="Times New Roman" w:hAnsi="Times New Roman" w:eastAsia="仿宋_GB2312" w:cs="Times New Roman"/>
          <w:spacing w:val="-8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团组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个，</w:t>
      </w:r>
      <w:r>
        <w:rPr>
          <w:rFonts w:hint="default" w:ascii="Times New Roman" w:hAnsi="Times New Roman" w:eastAsia="仿宋_GB2312" w:cs="Times New Roman"/>
          <w:spacing w:val="-9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因公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出国（境）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人次。主要包括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…。</w:t>
      </w:r>
    </w:p>
    <w:p w14:paraId="2D4111B2">
      <w:pPr>
        <w:spacing w:before="252" w:line="355" w:lineRule="auto"/>
        <w:ind w:left="41" w:right="157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2.公务用车购置及运行费预算为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20"/>
          <w:sz w:val="31"/>
          <w:szCs w:val="31"/>
        </w:rPr>
        <w:t>，支出决算为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%；较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增长</w:t>
      </w:r>
      <w:r>
        <w:rPr>
          <w:rFonts w:hint="eastAsia" w:ascii="Times New Roman" w:hAnsi="Times New Roman" w:eastAsia="仿宋_GB2312" w:cs="Times New Roman"/>
          <w:spacing w:val="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%，主要原因……。</w:t>
      </w:r>
    </w:p>
    <w:p w14:paraId="4E73F523">
      <w:pPr>
        <w:spacing w:before="54" w:line="221" w:lineRule="auto"/>
        <w:ind w:left="66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公务用车运行维护费支出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万元，主要是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…。</w:t>
      </w:r>
    </w:p>
    <w:p w14:paraId="280D6A46">
      <w:pPr>
        <w:spacing w:line="221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4" w:type="default"/>
          <w:pgSz w:w="11907" w:h="16839"/>
          <w:pgMar w:top="1431" w:right="1642" w:bottom="1153" w:left="1785" w:header="0" w:footer="965" w:gutter="0"/>
          <w:cols w:space="720" w:num="1"/>
        </w:sectPr>
      </w:pPr>
    </w:p>
    <w:p w14:paraId="2B53D845">
      <w:pPr>
        <w:spacing w:before="160" w:line="364" w:lineRule="auto"/>
        <w:ind w:left="21" w:right="3" w:firstLine="644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公务接待费预算为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2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万元，完成预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算的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%；较</w:t>
      </w:r>
      <w:r>
        <w:rPr>
          <w:rFonts w:hint="default" w:ascii="Times New Roman" w:hAnsi="Times New Roman" w:eastAsia="仿宋_GB2312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年度增加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7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7"/>
          <w:sz w:val="31"/>
          <w:szCs w:val="31"/>
        </w:rPr>
        <w:t>%，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主要原因是</w:t>
      </w:r>
      <w:r>
        <w:rPr>
          <w:rFonts w:hint="default" w:ascii="Times New Roman" w:hAnsi="Times New Roman" w:eastAsia="仿宋_GB2312" w:cs="Times New Roman"/>
          <w:spacing w:val="-6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7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5"/>
          <w:sz w:val="31"/>
          <w:szCs w:val="31"/>
        </w:rPr>
        <w:t>…。</w:t>
      </w:r>
    </w:p>
    <w:p w14:paraId="1C7BF674">
      <w:pPr>
        <w:spacing w:before="52" w:line="361" w:lineRule="auto"/>
        <w:ind w:left="33" w:firstLine="649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外事接待费支出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万元。主要用于……。全年共接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待外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事来访团组数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个、来访外宾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人次（不包括陪同人员）。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来访外宾主要包括</w:t>
      </w:r>
      <w:r>
        <w:rPr>
          <w:rFonts w:hint="default" w:ascii="Times New Roman" w:hAnsi="Times New Roman" w:eastAsia="仿宋_GB2312" w:cs="Times New Roman"/>
          <w:spacing w:val="-9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…。</w:t>
      </w:r>
    </w:p>
    <w:p w14:paraId="410B9AAC">
      <w:pPr>
        <w:spacing w:before="53" w:line="362" w:lineRule="auto"/>
        <w:ind w:left="26" w:right="90" w:firstLine="640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其他国内公务接待支出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万元。主要用于……。全年共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接待国内来访团组</w:t>
      </w:r>
      <w:r>
        <w:rPr>
          <w:rFonts w:hint="eastAsia" w:ascii="Times New Roman" w:hAnsi="Times New Roman" w:eastAsia="仿宋_GB2312" w:cs="Times New Roman"/>
          <w:spacing w:val="3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个、来宾</w:t>
      </w:r>
      <w:r>
        <w:rPr>
          <w:rFonts w:hint="eastAsia" w:ascii="Times New Roman" w:hAnsi="Times New Roman" w:eastAsia="仿宋_GB2312" w:cs="Times New Roman"/>
          <w:spacing w:val="3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2"/>
          <w:sz w:val="31"/>
          <w:szCs w:val="31"/>
        </w:rPr>
        <w:t>人次（不包括陪同人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员） 。</w:t>
      </w:r>
    </w:p>
    <w:p w14:paraId="6A40CFBD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00E8BA7F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18B121AC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7CF83847">
      <w:pPr>
        <w:spacing w:before="159" w:line="223" w:lineRule="auto"/>
        <w:ind w:firstLine="640" w:firstLineChars="200"/>
        <w:jc w:val="lef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5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一）绩效评价工作开展情况。绩效评价工作开展情况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说明为：根据预算绩效管理要求，本部门组织对 2023 年度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一般公共预算项目支出全面开展绩效自评，其中，一级项目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个，二级项目 </w:t>
      </w:r>
      <w:r>
        <w:rPr>
          <w:rFonts w:hint="eastAsia" w:ascii="Times New Roman" w:hAnsi="Times New Roman" w:eastAsia="仿宋_GB2312" w:cs="Times New Roman"/>
          <w:spacing w:val="1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个，共涉及资金</w:t>
      </w:r>
      <w:r>
        <w:rPr>
          <w:rFonts w:hint="default" w:ascii="Times New Roman" w:hAnsi="Times New Roman" w:eastAsia="仿宋_GB2312" w:cs="Times New Roman"/>
          <w:spacing w:val="-22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7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>占一般公共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预算项目支出总额的</w:t>
      </w:r>
      <w:r>
        <w:rPr>
          <w:rFonts w:hint="default" w:ascii="Times New Roman" w:hAnsi="Times New Roman" w:eastAsia="仿宋_GB2312" w:cs="Times New Roman"/>
          <w:spacing w:val="-60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%。</w:t>
      </w:r>
    </w:p>
    <w:p w14:paraId="52A0D2EC">
      <w:pPr>
        <w:spacing w:before="253" w:line="356" w:lineRule="auto"/>
        <w:ind w:left="36" w:right="22" w:firstLine="62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项目绩效自评结果（如有）。除涉密敏感内容外，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省级部门原则上应予以公开。按照如下格式说明</w:t>
      </w:r>
      <w:r>
        <w:rPr>
          <w:rFonts w:hint="default" w:ascii="Times New Roman" w:hAnsi="Times New Roman" w:eastAsia="仿宋_GB2312" w:cs="Times New Roman"/>
          <w:spacing w:val="-8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:</w:t>
      </w:r>
    </w:p>
    <w:p w14:paraId="7E6A8EBD">
      <w:pPr>
        <w:spacing w:before="49" w:line="224" w:lineRule="auto"/>
        <w:ind w:firstLine="930" w:firstLineChars="30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生均经费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项目绩效自评情况：根据年初设定的绩效目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标，项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目绩效自评得分为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分。项目全年预算数为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万元，执行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数为</w:t>
      </w:r>
      <w:r>
        <w:rPr>
          <w:rFonts w:hint="eastAsia" w:ascii="Times New Roman" w:hAnsi="Times New Roman" w:eastAsia="仿宋_GB2312" w:cs="Times New Roman"/>
          <w:spacing w:val="-6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</w:t>
      </w:r>
    </w:p>
    <w:p w14:paraId="7713011F">
      <w:pPr>
        <w:spacing w:before="250" w:line="364" w:lineRule="auto"/>
        <w:ind w:left="34" w:firstLine="62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部门评价结果（如有）。除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涉密敏感内容外，省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级部门原则上应将部门评价结果以报告的形式予以公开。报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告框架可参考《项目支出绩效评价管理办法》（吉财绩〔2022〕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711</w:t>
      </w:r>
      <w:r>
        <w:rPr>
          <w:rFonts w:hint="default" w:ascii="Times New Roman" w:hAnsi="Times New Roman" w:eastAsia="仿宋_GB2312" w:cs="Times New Roman"/>
          <w:spacing w:val="-3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号）中的《项目支出绩效评价报告（参考提纲）》。</w:t>
      </w:r>
    </w:p>
    <w:p w14:paraId="22EC6572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5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3F25BF11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CE80C0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3BB5AA89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60F8FEBE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00858EAC">
      <w:pPr>
        <w:spacing w:before="251" w:line="357" w:lineRule="auto"/>
        <w:ind w:left="19" w:right="170" w:firstLine="65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2023年度机关运行经费支出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万元，较2022年度增加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%，主要是</w:t>
      </w:r>
      <w:r>
        <w:rPr>
          <w:rFonts w:hint="default" w:ascii="Times New Roman" w:hAnsi="Times New Roman" w:eastAsia="仿宋_GB2312" w:cs="Times New Roman"/>
          <w:spacing w:val="-10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5"/>
          <w:sz w:val="31"/>
          <w:szCs w:val="31"/>
        </w:rPr>
        <w:t>…。</w:t>
      </w:r>
    </w:p>
    <w:p w14:paraId="107DFD41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46DBDA30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2023 年度政府采购支出总额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其中：政府采购货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物支出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万元、政府采购工程支出</w:t>
      </w:r>
      <w:r>
        <w:rPr>
          <w:rFonts w:hint="eastAsia" w:ascii="Times New Roman" w:hAnsi="Times New Roman" w:eastAsia="仿宋_GB2312" w:cs="Times New Roman"/>
          <w:spacing w:val="23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万元、政府采购服务支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万元。授予中小企业合同金额</w:t>
      </w:r>
      <w:r>
        <w:rPr>
          <w:rFonts w:hint="eastAsia" w:ascii="Times New Roman" w:hAnsi="Times New Roman" w:eastAsia="仿宋_GB2312" w:cs="Times New Roman"/>
          <w:spacing w:val="2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占政府采购支出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总额的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%，其中：授予小微企业合同金额</w:t>
      </w:r>
      <w:r>
        <w:rPr>
          <w:rFonts w:hint="eastAsia" w:ascii="Times New Roman" w:hAnsi="Times New Roman" w:eastAsia="仿宋_GB2312" w:cs="Times New Roman"/>
          <w:spacing w:val="5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占授予中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小企业合同金额的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%；货物采购授予中小企业合同金额占货</w:t>
      </w:r>
      <w:r>
        <w:rPr>
          <w:rFonts w:hint="default" w:ascii="Times New Roman" w:hAnsi="Times New Roman" w:eastAsia="仿宋_GB2312" w:cs="Times New Roman"/>
          <w:spacing w:val="1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物支出金额的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%，工程采购授予中小企业合同金额占工程支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 xml:space="preserve">出金额的 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%，服务采购授予中小企业合同金额占服务支出金</w:t>
      </w:r>
      <w:r>
        <w:rPr>
          <w:rFonts w:hint="default" w:ascii="Times New Roman" w:hAnsi="Times New Roman" w:eastAsia="仿宋_GB2312" w:cs="Times New Roman"/>
          <w:spacing w:val="1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额的 </w:t>
      </w:r>
      <w:r>
        <w:rPr>
          <w:rFonts w:hint="eastAsia" w:ascii="Times New Roman" w:hAnsi="Times New Roman" w:eastAsia="仿宋_GB2312" w:cs="Times New Roman"/>
          <w:spacing w:val="2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%。</w:t>
      </w:r>
    </w:p>
    <w:p w14:paraId="38048493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（三）国有资产占用情况说明</w:t>
      </w:r>
    </w:p>
    <w:p w14:paraId="0B6732D0">
      <w:pPr>
        <w:spacing w:before="286" w:line="340" w:lineRule="auto"/>
        <w:ind w:left="21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截至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年 12 月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z w:val="31"/>
          <w:szCs w:val="31"/>
        </w:rPr>
        <w:t>31 日，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共有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车辆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辆，其中，副部（省）级及以上领导用车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辆、主</w:t>
      </w:r>
      <w:r>
        <w:rPr>
          <w:rFonts w:hint="default" w:ascii="Times New Roman" w:hAnsi="Times New Roman" w:eastAsia="仿宋_GB2312" w:cs="Times New Roman"/>
          <w:spacing w:val="1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要负责人用车</w:t>
      </w:r>
      <w:r>
        <w:rPr>
          <w:rFonts w:hint="eastAsia" w:ascii="Times New Roman" w:hAnsi="Times New Roman" w:eastAsia="仿宋_GB2312" w:cs="Times New Roman"/>
          <w:spacing w:val="-56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辆、机要通信用车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辆、应急保障用车</w:t>
      </w:r>
      <w:r>
        <w:rPr>
          <w:rFonts w:hint="eastAsia" w:ascii="Times New Roman" w:hAnsi="Times New Roman" w:eastAsia="仿宋_GB2312" w:cs="Times New Roman"/>
          <w:spacing w:val="-6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辆、执法执勤用车</w:t>
      </w:r>
      <w:r>
        <w:rPr>
          <w:rFonts w:hint="eastAsia" w:ascii="Times New Roman" w:hAnsi="Times New Roman" w:eastAsia="仿宋_GB2312" w:cs="Times New Roman"/>
          <w:spacing w:val="-64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辆、特种专业技术用车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辆</w:t>
      </w:r>
      <w:r>
        <w:rPr>
          <w:rFonts w:hint="default" w:ascii="Times New Roman" w:hAnsi="Times New Roman" w:eastAsia="仿宋_GB2312" w:cs="Times New Roman"/>
          <w:spacing w:val="11"/>
          <w:sz w:val="31"/>
          <w:szCs w:val="31"/>
        </w:rPr>
        <w:t>、离退休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干部用车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辆、其他用车</w:t>
      </w:r>
      <w:r>
        <w:rPr>
          <w:rFonts w:hint="default" w:ascii="Times New Roman" w:hAnsi="Times New Roman" w:eastAsia="仿宋_GB2312" w:cs="Times New Roman"/>
          <w:spacing w:val="-67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辆，其他用车主要是……；单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位价值</w:t>
      </w:r>
      <w:r>
        <w:rPr>
          <w:rFonts w:hint="default" w:ascii="Times New Roman" w:hAnsi="Times New Roman" w:eastAsia="仿宋_GB2312" w:cs="Times New Roman"/>
          <w:spacing w:val="-2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万元（含）以上设备（不含车辆）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pacing w:val="-2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台（套）。</w:t>
      </w:r>
    </w:p>
    <w:p w14:paraId="7E466041">
      <w:pPr>
        <w:spacing w:line="34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6" w:type="default"/>
          <w:pgSz w:w="11907" w:h="16839"/>
          <w:pgMar w:top="1431" w:right="1774" w:bottom="1153" w:left="1785" w:header="0" w:footer="965" w:gutter="0"/>
          <w:cols w:space="720" w:num="1"/>
        </w:sectPr>
      </w:pPr>
    </w:p>
    <w:p w14:paraId="12BD0AE8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71735FD0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7796B5B1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BA3A9D3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5700E742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52DBAF76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506D7CF7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05854896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14B70945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6178E573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69C1804F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7A29D4AD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6F392438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CAA251D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7AECE2AD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186EC7D4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651B32AC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4DB4B021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48999D0A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1B854AD9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69A802BD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11712AA7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20EFDD2C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28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5D33DEB8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0B4A829E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2B578553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12D4AFBD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602C04D1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29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F9382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7600B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78564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82B99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1BD24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64049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4F52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8EBDB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07D79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2A02FB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5D828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CBBDC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1A21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0C2EC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9FD73">
    <w:pPr>
      <w:spacing w:line="177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24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7E3DF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0049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A782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5D5C8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D146A">
    <w:pPr>
      <w:spacing w:line="177" w:lineRule="auto"/>
      <w:ind w:left="411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4C722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F71AB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0B54F">
    <w:pPr>
      <w:spacing w:line="174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DBE5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8EDA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69DDB"/>
    <w:multiLevelType w:val="singleLevel"/>
    <w:tmpl w:val="46669D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IxNGQzOWJjMDJlY2RiNjYzMWIzZGY2NzMwM2NjYmQifQ=="/>
  </w:docVars>
  <w:rsids>
    <w:rsidRoot w:val="00000000"/>
    <w:rsid w:val="01AA1179"/>
    <w:rsid w:val="16E22E2F"/>
    <w:rsid w:val="2324183F"/>
    <w:rsid w:val="45A122E9"/>
    <w:rsid w:val="74321F08"/>
    <w:rsid w:val="77B94A1D"/>
    <w:rsid w:val="7A4D21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qFormat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1" Type="http://schemas.openxmlformats.org/officeDocument/2006/relationships/fontTable" Target="fontTable.xml"/><Relationship Id="rId40" Type="http://schemas.openxmlformats.org/officeDocument/2006/relationships/numbering" Target="numbering.xml"/><Relationship Id="rId4" Type="http://schemas.openxmlformats.org/officeDocument/2006/relationships/endnotes" Target="endnotes.xml"/><Relationship Id="rId39" Type="http://schemas.openxmlformats.org/officeDocument/2006/relationships/image" Target="media/image9.png"/><Relationship Id="rId38" Type="http://schemas.openxmlformats.org/officeDocument/2006/relationships/image" Target="media/image8.png"/><Relationship Id="rId37" Type="http://schemas.openxmlformats.org/officeDocument/2006/relationships/image" Target="media/image7.png"/><Relationship Id="rId36" Type="http://schemas.openxmlformats.org/officeDocument/2006/relationships/image" Target="media/image6.png"/><Relationship Id="rId35" Type="http://schemas.openxmlformats.org/officeDocument/2006/relationships/image" Target="media/image5.png"/><Relationship Id="rId34" Type="http://schemas.openxmlformats.org/officeDocument/2006/relationships/image" Target="media/image4.png"/><Relationship Id="rId33" Type="http://schemas.openxmlformats.org/officeDocument/2006/relationships/image" Target="media/image3.png"/><Relationship Id="rId32" Type="http://schemas.openxmlformats.org/officeDocument/2006/relationships/image" Target="media/image2.png"/><Relationship Id="rId31" Type="http://schemas.openxmlformats.org/officeDocument/2006/relationships/image" Target="media/image1.png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4991</Words>
  <Characters>5389</Characters>
  <TotalTime>14</TotalTime>
  <ScaleCrop>false</ScaleCrop>
  <LinksUpToDate>false</LinksUpToDate>
  <CharactersWithSpaces>5669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Batman</cp:lastModifiedBy>
  <cp:lastPrinted>2024-08-26T08:47:00Z</cp:lastPrinted>
  <dcterms:modified xsi:type="dcterms:W3CDTF">2024-10-22T05:37:05Z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2052-12.1.0.18608</vt:lpwstr>
  </property>
  <property fmtid="{D5CDD505-2E9C-101B-9397-08002B2CF9AE}" pid="5" name="ICV">
    <vt:lpwstr>D538C90781C946CDB1AA9159340776E2_13</vt:lpwstr>
  </property>
</Properties>
</file>