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AE6A6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484EC49D">
      <w:pPr>
        <w:pStyle w:val="2"/>
        <w:spacing w:line="251" w:lineRule="auto"/>
      </w:pPr>
    </w:p>
    <w:p w14:paraId="6CDD68AF">
      <w:pPr>
        <w:pStyle w:val="2"/>
        <w:spacing w:line="251" w:lineRule="auto"/>
      </w:pPr>
    </w:p>
    <w:p w14:paraId="1ED172B6">
      <w:pPr>
        <w:pStyle w:val="2"/>
        <w:spacing w:line="252" w:lineRule="auto"/>
      </w:pPr>
    </w:p>
    <w:p w14:paraId="4DD86798">
      <w:pPr>
        <w:pStyle w:val="2"/>
        <w:spacing w:line="252" w:lineRule="auto"/>
      </w:pPr>
    </w:p>
    <w:p w14:paraId="55A63291">
      <w:pPr>
        <w:pStyle w:val="2"/>
        <w:spacing w:line="252" w:lineRule="auto"/>
      </w:pPr>
    </w:p>
    <w:p w14:paraId="5C230064">
      <w:pPr>
        <w:pStyle w:val="2"/>
        <w:spacing w:line="252" w:lineRule="auto"/>
      </w:pPr>
    </w:p>
    <w:p w14:paraId="49DFBDA8">
      <w:pPr>
        <w:pStyle w:val="2"/>
        <w:spacing w:line="252" w:lineRule="auto"/>
      </w:pPr>
    </w:p>
    <w:p w14:paraId="0870E85A">
      <w:pPr>
        <w:pStyle w:val="2"/>
        <w:spacing w:line="252" w:lineRule="auto"/>
      </w:pPr>
    </w:p>
    <w:p w14:paraId="333CFED8">
      <w:pPr>
        <w:pStyle w:val="2"/>
        <w:spacing w:line="252" w:lineRule="auto"/>
      </w:pPr>
    </w:p>
    <w:p w14:paraId="5E24688A">
      <w:pPr>
        <w:pStyle w:val="2"/>
        <w:spacing w:line="252" w:lineRule="auto"/>
      </w:pPr>
    </w:p>
    <w:p w14:paraId="05C80E25">
      <w:pPr>
        <w:pStyle w:val="2"/>
        <w:spacing w:line="252" w:lineRule="auto"/>
      </w:pPr>
    </w:p>
    <w:p w14:paraId="32BAC994">
      <w:pPr>
        <w:pStyle w:val="2"/>
        <w:spacing w:line="252" w:lineRule="auto"/>
      </w:pPr>
    </w:p>
    <w:p w14:paraId="26B76BCA">
      <w:pPr>
        <w:pStyle w:val="2"/>
        <w:spacing w:line="252" w:lineRule="auto"/>
      </w:pPr>
    </w:p>
    <w:p w14:paraId="308FF0F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6362A8B0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5418DB5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长春经济技术开发区婚姻登记处</w:t>
      </w: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71CA15E9">
      <w:pPr>
        <w:pStyle w:val="2"/>
        <w:spacing w:line="242" w:lineRule="auto"/>
      </w:pPr>
    </w:p>
    <w:p w14:paraId="5C8F6B72">
      <w:pPr>
        <w:pStyle w:val="2"/>
        <w:spacing w:line="242" w:lineRule="auto"/>
      </w:pPr>
    </w:p>
    <w:p w14:paraId="25554BEB">
      <w:pPr>
        <w:pStyle w:val="2"/>
        <w:spacing w:line="242" w:lineRule="auto"/>
      </w:pPr>
    </w:p>
    <w:p w14:paraId="2BF8A6B4">
      <w:pPr>
        <w:pStyle w:val="2"/>
        <w:spacing w:line="242" w:lineRule="auto"/>
      </w:pPr>
    </w:p>
    <w:p w14:paraId="5CEFC424">
      <w:pPr>
        <w:pStyle w:val="2"/>
        <w:spacing w:line="242" w:lineRule="auto"/>
      </w:pPr>
    </w:p>
    <w:p w14:paraId="724EB124">
      <w:pPr>
        <w:pStyle w:val="2"/>
        <w:spacing w:line="242" w:lineRule="auto"/>
      </w:pPr>
    </w:p>
    <w:p w14:paraId="4F6488DD">
      <w:pPr>
        <w:pStyle w:val="2"/>
        <w:spacing w:line="242" w:lineRule="auto"/>
      </w:pPr>
    </w:p>
    <w:p w14:paraId="5623CDDE">
      <w:pPr>
        <w:pStyle w:val="2"/>
        <w:spacing w:line="242" w:lineRule="auto"/>
      </w:pPr>
    </w:p>
    <w:p w14:paraId="1B3A3778">
      <w:pPr>
        <w:pStyle w:val="2"/>
        <w:spacing w:line="242" w:lineRule="auto"/>
      </w:pPr>
    </w:p>
    <w:p w14:paraId="6B143B69">
      <w:pPr>
        <w:pStyle w:val="2"/>
        <w:spacing w:line="242" w:lineRule="auto"/>
      </w:pPr>
    </w:p>
    <w:p w14:paraId="3D99ED86">
      <w:pPr>
        <w:pStyle w:val="2"/>
        <w:spacing w:line="242" w:lineRule="auto"/>
      </w:pPr>
    </w:p>
    <w:p w14:paraId="18DBC3DB">
      <w:pPr>
        <w:pStyle w:val="2"/>
        <w:spacing w:line="243" w:lineRule="auto"/>
      </w:pPr>
    </w:p>
    <w:p w14:paraId="7220825A">
      <w:pPr>
        <w:pStyle w:val="2"/>
        <w:spacing w:line="243" w:lineRule="auto"/>
      </w:pPr>
    </w:p>
    <w:p w14:paraId="4E29B68C">
      <w:pPr>
        <w:pStyle w:val="2"/>
        <w:spacing w:line="243" w:lineRule="auto"/>
      </w:pPr>
    </w:p>
    <w:p w14:paraId="7917A1DF">
      <w:pPr>
        <w:pStyle w:val="2"/>
        <w:spacing w:line="243" w:lineRule="auto"/>
      </w:pPr>
    </w:p>
    <w:p w14:paraId="2C6835BF">
      <w:pPr>
        <w:pStyle w:val="2"/>
        <w:spacing w:line="243" w:lineRule="auto"/>
      </w:pPr>
    </w:p>
    <w:p w14:paraId="370D2799">
      <w:pPr>
        <w:pStyle w:val="2"/>
        <w:spacing w:line="243" w:lineRule="auto"/>
      </w:pPr>
    </w:p>
    <w:p w14:paraId="612253B4">
      <w:pPr>
        <w:pStyle w:val="2"/>
        <w:spacing w:line="243" w:lineRule="auto"/>
      </w:pPr>
    </w:p>
    <w:p w14:paraId="7B635B05">
      <w:pPr>
        <w:pStyle w:val="2"/>
        <w:spacing w:line="243" w:lineRule="auto"/>
      </w:pPr>
    </w:p>
    <w:p w14:paraId="10B8CAE2">
      <w:pPr>
        <w:pStyle w:val="2"/>
        <w:spacing w:line="243" w:lineRule="auto"/>
      </w:pPr>
    </w:p>
    <w:p w14:paraId="121224AD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7EEF308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A8FB14A">
      <w:pPr>
        <w:pStyle w:val="2"/>
        <w:spacing w:line="289" w:lineRule="auto"/>
      </w:pPr>
    </w:p>
    <w:p w14:paraId="22287E0E">
      <w:pPr>
        <w:pStyle w:val="2"/>
        <w:spacing w:line="290" w:lineRule="auto"/>
      </w:pPr>
    </w:p>
    <w:p w14:paraId="6E07F887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2E3B251B">
      <w:pPr>
        <w:pStyle w:val="2"/>
        <w:spacing w:line="341" w:lineRule="auto"/>
      </w:pPr>
    </w:p>
    <w:p w14:paraId="2886FBCE">
      <w:pPr>
        <w:pStyle w:val="2"/>
        <w:spacing w:line="342" w:lineRule="auto"/>
      </w:pPr>
    </w:p>
    <w:p w14:paraId="6315C624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10FEFB18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29FA436D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7F090191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628B12E7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68CEA418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66340F81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64836622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79F8B9AE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027A78D6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467D66E8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1973A8ED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2B71F880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471171F7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0D9627DD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378F9F21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2AFE0BF3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084A9140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690CB681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1B568B16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63889B5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09FF4F99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488F9CA1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05BDABA1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63BF9B90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370D1988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2870C4C3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0ECC1E0B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0E8C9F26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C82EE14">
      <w:pPr>
        <w:pStyle w:val="2"/>
        <w:spacing w:line="328" w:lineRule="auto"/>
      </w:pPr>
    </w:p>
    <w:p w14:paraId="40F95179">
      <w:pPr>
        <w:pStyle w:val="2"/>
        <w:spacing w:line="328" w:lineRule="auto"/>
      </w:pPr>
    </w:p>
    <w:p w14:paraId="0940A796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462B6A60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7FA69A41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3A2C0344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29B0C1D8">
      <w:pPr>
        <w:spacing w:before="101" w:line="224" w:lineRule="auto"/>
        <w:ind w:left="751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75D97D55">
      <w:pPr>
        <w:pStyle w:val="9"/>
        <w:rPr>
          <w:rFonts w:hint="eastAsia"/>
        </w:rPr>
      </w:pPr>
      <w:r>
        <w:rPr>
          <w:rFonts w:hint="eastAsia"/>
        </w:rPr>
        <w:t>（一）贯彻落实国家、省、市有关婚姻方面的法律、法规和规章。</w:t>
      </w:r>
    </w:p>
    <w:p w14:paraId="786F2957">
      <w:pPr>
        <w:pStyle w:val="9"/>
        <w:rPr>
          <w:rFonts w:hint="eastAsia"/>
        </w:rPr>
      </w:pPr>
      <w:r>
        <w:rPr>
          <w:rFonts w:hint="eastAsia"/>
        </w:rPr>
        <w:t>（二）依法办理婚姻登记、撤销手续。</w:t>
      </w:r>
    </w:p>
    <w:p w14:paraId="6F32B875">
      <w:pPr>
        <w:pStyle w:val="9"/>
        <w:rPr>
          <w:rFonts w:hint="eastAsia"/>
        </w:rPr>
      </w:pPr>
      <w:r>
        <w:rPr>
          <w:rFonts w:hint="eastAsia"/>
        </w:rPr>
        <w:t>（三）补发婚姻证件、出具婚姻登记证明。</w:t>
      </w:r>
    </w:p>
    <w:p w14:paraId="1FC4BC81">
      <w:pPr>
        <w:pStyle w:val="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/>
        </w:rPr>
        <w:t>（四）完成党工委、管委会、社会</w:t>
      </w:r>
      <w:r>
        <w:rPr>
          <w:rFonts w:hint="eastAsia"/>
          <w:lang w:val="en-US" w:eastAsia="zh-CN"/>
        </w:rPr>
        <w:t>事业</w:t>
      </w:r>
      <w:r>
        <w:rPr>
          <w:rFonts w:hint="eastAsia"/>
        </w:rPr>
        <w:t>局交办的其它工作。</w:t>
      </w:r>
    </w:p>
    <w:p w14:paraId="5819233C">
      <w:pPr>
        <w:spacing w:before="25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00FC0BB0">
      <w:pPr>
        <w:pStyle w:val="9"/>
        <w:ind w:firstLine="640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根据上述职责，</w:t>
      </w:r>
      <w:r>
        <w:rPr>
          <w:rFonts w:hint="eastAsia"/>
          <w:szCs w:val="32"/>
          <w:lang w:val="en-US" w:eastAsia="zh-CN"/>
        </w:rPr>
        <w:t>长春经济技术开发区</w:t>
      </w:r>
      <w:r>
        <w:rPr>
          <w:rFonts w:hint="eastAsia"/>
          <w:szCs w:val="32"/>
          <w:lang w:eastAsia="zh-CN"/>
        </w:rPr>
        <w:t>婚姻登记处为全额拔款事业单位，20</w:t>
      </w:r>
      <w:r>
        <w:rPr>
          <w:rFonts w:hint="eastAsia"/>
          <w:szCs w:val="32"/>
          <w:lang w:val="en-US" w:eastAsia="zh-CN"/>
        </w:rPr>
        <w:t>23</w:t>
      </w:r>
      <w:r>
        <w:rPr>
          <w:rFonts w:hint="eastAsia"/>
          <w:szCs w:val="32"/>
          <w:lang w:eastAsia="zh-CN"/>
        </w:rPr>
        <w:t>年独立核算机构数1个，独立编制机构数1个，较上年无变化。</w:t>
      </w:r>
    </w:p>
    <w:p w14:paraId="5DFD78C3">
      <w:pPr>
        <w:pStyle w:val="9"/>
        <w:ind w:firstLine="640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根据三定方案，长春经济技术开发区婚姻登记处20</w:t>
      </w:r>
      <w:r>
        <w:rPr>
          <w:rFonts w:hint="eastAsia"/>
          <w:szCs w:val="32"/>
          <w:lang w:val="en-US" w:eastAsia="zh-CN"/>
        </w:rPr>
        <w:t>23</w:t>
      </w:r>
      <w:r>
        <w:rPr>
          <w:rFonts w:hint="eastAsia"/>
          <w:szCs w:val="32"/>
          <w:lang w:eastAsia="zh-CN"/>
        </w:rPr>
        <w:t>年实有人员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  <w:lang w:eastAsia="zh-CN"/>
        </w:rPr>
        <w:t>人，其中：在职人员</w:t>
      </w:r>
      <w:r>
        <w:rPr>
          <w:rFonts w:hint="eastAsia"/>
          <w:szCs w:val="32"/>
          <w:lang w:val="en-US" w:eastAsia="zh-CN"/>
        </w:rPr>
        <w:t>1</w:t>
      </w:r>
      <w:r>
        <w:rPr>
          <w:rFonts w:hint="eastAsia"/>
          <w:szCs w:val="32"/>
          <w:lang w:eastAsia="zh-CN"/>
        </w:rPr>
        <w:t>人，</w:t>
      </w:r>
      <w:r>
        <w:rPr>
          <w:rFonts w:hint="eastAsia"/>
          <w:szCs w:val="32"/>
          <w:lang w:val="en-US" w:eastAsia="zh-CN"/>
        </w:rPr>
        <w:t>同工同酬1人，临聘人员1人，</w:t>
      </w:r>
      <w:r>
        <w:rPr>
          <w:rFonts w:hint="eastAsia"/>
          <w:szCs w:val="32"/>
          <w:lang w:eastAsia="zh-CN"/>
        </w:rPr>
        <w:t>离退休人员 0 人。</w:t>
      </w:r>
    </w:p>
    <w:p w14:paraId="036C008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106847AC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1DB96F56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4EE5E9F1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3B7FBC3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62B102FE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F5E56E6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EE2C99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4237F76C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C3C57ED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6056D080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23B74692">
      <w:pPr>
        <w:spacing w:before="189" w:line="186" w:lineRule="auto"/>
        <w:jc w:val="center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07254F15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</w:p>
    <w:p w14:paraId="1C1BF912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</w:p>
    <w:p w14:paraId="7E389A17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13753EE3">
      <w:pPr>
        <w:spacing w:before="100" w:line="224" w:lineRule="auto"/>
        <w:ind w:left="672"/>
        <w:rPr>
          <w:rFonts w:hint="default" w:ascii="Times New Roman" w:hAnsi="Times New Roman" w:eastAsia="仿宋_GB2312" w:cs="Times New Roma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48895</wp:posOffset>
            </wp:positionV>
            <wp:extent cx="5972175" cy="5786120"/>
            <wp:effectExtent l="0" t="0" r="1905" b="0"/>
            <wp:wrapTight wrapText="bothSides">
              <wp:wrapPolygon>
                <wp:start x="0" y="0"/>
                <wp:lineTo x="0" y="21562"/>
                <wp:lineTo x="21552" y="21562"/>
                <wp:lineTo x="21552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578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37506C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25BD0A9A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1A2CF16D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1DADDAD8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62AEC26E">
      <w:pPr>
        <w:numPr>
          <w:ilvl w:val="0"/>
          <w:numId w:val="1"/>
        </w:numPr>
        <w:spacing w:before="101" w:line="224" w:lineRule="auto"/>
        <w:ind w:left="672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收入决算表</w:t>
      </w:r>
    </w:p>
    <w:p w14:paraId="238624A5">
      <w:pPr>
        <w:numPr>
          <w:ilvl w:val="0"/>
          <w:numId w:val="0"/>
        </w:numPr>
        <w:spacing w:before="101" w:line="224" w:lineRule="auto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</w:p>
    <w:p w14:paraId="15C411A0">
      <w:pPr>
        <w:numPr>
          <w:ilvl w:val="0"/>
          <w:numId w:val="0"/>
        </w:numPr>
        <w:spacing w:before="101" w:line="224" w:lineRule="auto"/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</w:pPr>
    </w:p>
    <w:p w14:paraId="1DDD3BD8">
      <w:pPr>
        <w:spacing w:before="209" w:line="5702" w:lineRule="exact"/>
        <w:ind w:firstLine="324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442585" cy="3683000"/>
            <wp:effectExtent l="0" t="0" r="13335" b="508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14155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18618DA3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81007ED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722443E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B4EF0AB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30392A6">
      <w:pPr>
        <w:spacing w:before="101" w:line="224" w:lineRule="auto"/>
        <w:ind w:left="674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</w:p>
    <w:p w14:paraId="0AB186DD">
      <w:pPr>
        <w:spacing w:before="151" w:line="5818" w:lineRule="exact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1455" cy="2902585"/>
            <wp:effectExtent l="0" t="0" r="12065" b="825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90CE9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1562DA2D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19418607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0FADB24B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58496A8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277DDE2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59CA1975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06AAFBF3">
      <w:pPr>
        <w:pStyle w:val="2"/>
        <w:spacing w:line="245" w:lineRule="auto"/>
        <w:rPr>
          <w:rFonts w:hint="default" w:ascii="Times New Roman" w:hAnsi="Times New Roman" w:eastAsia="仿宋_GB2312" w:cs="Times New Roman"/>
        </w:rPr>
      </w:pPr>
    </w:p>
    <w:p w14:paraId="3CE4E8EC">
      <w:pPr>
        <w:spacing w:line="4378" w:lineRule="exact"/>
        <w:ind w:firstLine="14"/>
        <w:rPr>
          <w:rFonts w:hint="default" w:ascii="Times New Roman" w:hAnsi="Times New Roman" w:eastAsia="仿宋_GB2312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153670</wp:posOffset>
            </wp:positionV>
            <wp:extent cx="5956935" cy="5257165"/>
            <wp:effectExtent l="0" t="0" r="1905" b="635"/>
            <wp:wrapNone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52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3145F6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265F9FD2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2E62C90F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1A171347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21EFBDF5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3660B2B9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06F9204D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62152BAA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1ECA91E4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0EE63F04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7396C801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0C812E9F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65F716DF">
      <w:pPr>
        <w:spacing w:before="100" w:line="224" w:lineRule="auto"/>
        <w:ind w:left="675"/>
        <w:rPr>
          <w:rFonts w:hint="default" w:ascii="Times New Roman" w:hAnsi="Times New Roman" w:eastAsia="仿宋_GB2312" w:cs="Times New Roman"/>
          <w:color w:val="FF0000"/>
          <w:spacing w:val="4"/>
          <w:sz w:val="31"/>
          <w:szCs w:val="31"/>
        </w:rPr>
      </w:pPr>
    </w:p>
    <w:p w14:paraId="439C6033">
      <w:pPr>
        <w:spacing w:before="100" w:line="224" w:lineRule="auto"/>
        <w:ind w:left="675"/>
        <w:rPr>
          <w:rFonts w:hint="default" w:ascii="Times New Roman" w:hAnsi="Times New Roman" w:eastAsia="仿宋_GB2312" w:cs="Times New Roman"/>
          <w:color w:val="FF0000"/>
          <w:spacing w:val="4"/>
          <w:sz w:val="31"/>
          <w:szCs w:val="31"/>
        </w:rPr>
      </w:pPr>
    </w:p>
    <w:p w14:paraId="25D9861E">
      <w:pPr>
        <w:spacing w:before="100" w:line="224" w:lineRule="auto"/>
        <w:ind w:left="675"/>
        <w:rPr>
          <w:rFonts w:hint="default" w:ascii="Times New Roman" w:hAnsi="Times New Roman" w:eastAsia="仿宋_GB2312" w:cs="Times New Roman"/>
          <w:color w:val="FF0000"/>
          <w:spacing w:val="4"/>
          <w:sz w:val="31"/>
          <w:szCs w:val="31"/>
        </w:rPr>
      </w:pPr>
    </w:p>
    <w:p w14:paraId="0F2BADC3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E7AEA7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EE167C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5EE92ED2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3848C57A">
      <w:pPr>
        <w:spacing w:before="229" w:line="4102" w:lineRule="exact"/>
        <w:ind w:firstLine="14"/>
        <w:rPr>
          <w:rFonts w:hint="default" w:ascii="Times New Roman" w:hAnsi="Times New Roman" w:eastAsia="仿宋_GB2312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171450</wp:posOffset>
            </wp:positionV>
            <wp:extent cx="6517005" cy="5219065"/>
            <wp:effectExtent l="0" t="0" r="5715" b="8255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521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02CF79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3D7D7FC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6E0813C3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0254494">
      <w:pPr>
        <w:spacing w:before="101" w:line="361" w:lineRule="auto"/>
        <w:ind w:left="43" w:right="15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5DA03CFE">
      <w:pPr>
        <w:spacing w:before="101" w:line="361" w:lineRule="auto"/>
        <w:ind w:left="43" w:right="15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01191D59">
      <w:pPr>
        <w:spacing w:before="101" w:line="361" w:lineRule="auto"/>
        <w:ind w:left="43" w:right="15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42ACBA9C">
      <w:pPr>
        <w:spacing w:before="101" w:line="361" w:lineRule="auto"/>
        <w:ind w:left="43" w:right="15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083501CA">
      <w:pPr>
        <w:spacing w:before="101" w:line="361" w:lineRule="auto"/>
        <w:ind w:left="43" w:right="15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708B89CF">
      <w:pPr>
        <w:spacing w:before="101" w:line="361" w:lineRule="auto"/>
        <w:ind w:left="43" w:right="15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7DEDB36C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480175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6AABAC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11B5030">
      <w:pPr>
        <w:spacing w:before="100" w:line="224" w:lineRule="auto"/>
        <w:ind w:left="67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79282ADD">
      <w:pPr>
        <w:spacing w:before="234" w:line="5964" w:lineRule="exact"/>
        <w:ind w:firstLine="237"/>
        <w:rPr>
          <w:rFonts w:hint="default" w:ascii="Times New Roman" w:hAnsi="Times New Roman" w:eastAsia="仿宋_GB2312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393700</wp:posOffset>
            </wp:positionV>
            <wp:extent cx="6216650" cy="5113020"/>
            <wp:effectExtent l="0" t="0" r="1270" b="7620"/>
            <wp:wrapNone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511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A94AA3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5B59255C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5090D06D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49E3C037">
      <w:pPr>
        <w:spacing w:before="100" w:line="361" w:lineRule="auto"/>
        <w:ind w:left="43" w:right="17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4A49F609">
      <w:pPr>
        <w:spacing w:before="100" w:line="361" w:lineRule="auto"/>
        <w:ind w:left="43" w:right="17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39427390">
      <w:pPr>
        <w:spacing w:before="100" w:line="361" w:lineRule="auto"/>
        <w:ind w:left="43" w:right="17" w:firstLine="632"/>
        <w:jc w:val="both"/>
        <w:rPr>
          <w:rFonts w:hint="default" w:ascii="Times New Roman" w:hAnsi="Times New Roman" w:eastAsia="仿宋_GB2312" w:cs="Times New Roman"/>
          <w:color w:val="FF0000"/>
          <w:spacing w:val="8"/>
          <w:sz w:val="31"/>
          <w:szCs w:val="31"/>
        </w:rPr>
      </w:pPr>
    </w:p>
    <w:p w14:paraId="7D2426B6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3B11FB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C1A610C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056B1B93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</w:p>
    <w:p w14:paraId="041A6B12">
      <w:pPr>
        <w:spacing w:before="235" w:line="4714" w:lineRule="exact"/>
        <w:ind w:firstLine="240"/>
        <w:rPr>
          <w:rFonts w:hint="default" w:ascii="Times New Roman" w:hAnsi="Times New Roman" w:eastAsia="仿宋_GB2312" w:cs="Times New Roma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349250</wp:posOffset>
            </wp:positionV>
            <wp:extent cx="6094095" cy="2598420"/>
            <wp:effectExtent l="0" t="0" r="1905" b="7620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B1D7E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5F64E6CA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786813E6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5779EF8F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15CCBF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69901CC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6328F9CF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5BDDFF1F">
      <w:pPr>
        <w:spacing w:before="182" w:line="4817" w:lineRule="exact"/>
        <w:ind w:firstLine="28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2725" cy="2263140"/>
            <wp:effectExtent l="0" t="0" r="10795" b="762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14C4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43A4F552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388A3F99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8DE8B10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7785EF2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83CFFCA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2D90CEA">
      <w:pPr>
        <w:numPr>
          <w:ilvl w:val="0"/>
          <w:numId w:val="2"/>
        </w:num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财政拨款“三公”经费支出决算表</w:t>
      </w:r>
    </w:p>
    <w:p w14:paraId="1600526D">
      <w:pPr>
        <w:numPr>
          <w:ilvl w:val="0"/>
          <w:numId w:val="0"/>
        </w:numPr>
        <w:spacing w:before="101" w:line="224" w:lineRule="auto"/>
        <w:ind w:firstLine="640" w:firstLineChars="200"/>
        <w:rPr>
          <w:rFonts w:hint="default" w:ascii="Arial" w:hAnsi="Arial" w:eastAsia="仿宋_GB2312" w:cs="宋体"/>
          <w:snapToGrid w:val="0"/>
          <w:color w:val="000000"/>
          <w:kern w:val="0"/>
          <w:sz w:val="32"/>
          <w:szCs w:val="20"/>
          <w:lang w:val="en-US" w:eastAsia="en-US" w:bidi="ar-SA"/>
        </w:rPr>
      </w:pPr>
      <w:r>
        <w:rPr>
          <w:rFonts w:hint="default" w:ascii="Arial" w:hAnsi="Arial" w:eastAsia="仿宋_GB2312" w:cs="宋体"/>
          <w:snapToGrid w:val="0"/>
          <w:color w:val="000000"/>
          <w:kern w:val="0"/>
          <w:sz w:val="32"/>
          <w:szCs w:val="20"/>
          <w:lang w:val="en-US" w:eastAsia="en-US" w:bidi="ar-SA"/>
        </w:rPr>
        <w:t>本单位没有财政拨款 “ 三公”经费 支出。</w:t>
      </w:r>
    </w:p>
    <w:p w14:paraId="1D07D10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A8813A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B5D7473">
      <w:pPr>
        <w:spacing w:before="100" w:line="224" w:lineRule="auto"/>
        <w:ind w:left="30" w:firstLine="654" w:firstLineChars="20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2FF2FE76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4A3B8399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3D1C0E9">
      <w:pPr>
        <w:numPr>
          <w:ilvl w:val="0"/>
          <w:numId w:val="0"/>
        </w:numPr>
        <w:spacing w:before="101" w:line="224" w:lineRule="auto"/>
        <w:ind w:firstLine="640" w:firstLineChars="200"/>
        <w:rPr>
          <w:rFonts w:hint="default" w:ascii="Arial" w:hAnsi="Arial" w:eastAsia="仿宋_GB2312" w:cs="宋体"/>
          <w:snapToGrid w:val="0"/>
          <w:color w:val="000000"/>
          <w:kern w:val="0"/>
          <w:sz w:val="32"/>
          <w:szCs w:val="20"/>
          <w:lang w:val="en-US" w:eastAsia="zh-CN" w:bidi="ar-SA"/>
        </w:rPr>
      </w:pPr>
      <w:r>
        <w:rPr>
          <w:rFonts w:hint="default" w:ascii="Arial" w:hAnsi="Arial" w:eastAsia="仿宋_GB2312" w:cs="宋体"/>
          <w:snapToGrid w:val="0"/>
          <w:color w:val="000000"/>
          <w:kern w:val="0"/>
          <w:sz w:val="32"/>
          <w:szCs w:val="20"/>
          <w:lang w:val="en-US" w:eastAsia="en-US" w:bidi="ar-SA"/>
        </w:rPr>
        <w:t>本单位没有</w:t>
      </w:r>
      <w:r>
        <w:rPr>
          <w:rFonts w:hint="eastAsia" w:eastAsia="仿宋_GB2312" w:cs="宋体"/>
          <w:snapToGrid w:val="0"/>
          <w:color w:val="000000"/>
          <w:kern w:val="0"/>
          <w:sz w:val="32"/>
          <w:szCs w:val="20"/>
          <w:lang w:val="en-US" w:eastAsia="zh-CN" w:bidi="ar-SA"/>
        </w:rPr>
        <w:t>部门预算的项目支出。</w:t>
      </w:r>
    </w:p>
    <w:p w14:paraId="4C9BBFCE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51240B68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44F78A1E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527DE7DE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0B327808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587A9911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08746D5B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561E2B5E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3E3CB2D4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16E89E28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3170CAF5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227A3CB9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68A3706E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02BC32B5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2A837909">
      <w:pPr>
        <w:spacing w:before="225" w:line="443" w:lineRule="exact"/>
        <w:outlineLvl w:val="0"/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</w:pPr>
    </w:p>
    <w:p w14:paraId="04EE1464">
      <w:pPr>
        <w:spacing w:before="225" w:line="443" w:lineRule="exact"/>
        <w:jc w:val="center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1A4FD3DB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1E9F01C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DF00399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4264D6E7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274131B4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年度收、支总计均为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收、支总计各减少</w:t>
      </w:r>
      <w:r>
        <w:rPr>
          <w:rFonts w:hint="default" w:ascii="Times New Roman" w:hAnsi="Times New Roman" w:eastAsia="仿宋_GB2312" w:cs="Times New Roman"/>
          <w:spacing w:val="32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32"/>
          <w:sz w:val="31"/>
          <w:szCs w:val="31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万元，增长下降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1.7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</w:t>
      </w:r>
      <w:r>
        <w:rPr>
          <w:rFonts w:hint="eastAsia" w:ascii="仿宋" w:hAnsi="仿宋" w:eastAsia="仿宋"/>
          <w:sz w:val="32"/>
          <w:szCs w:val="30"/>
          <w:lang w:eastAsia="zh-CN"/>
        </w:rPr>
        <w:t>社保人员与基数的变化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。</w:t>
      </w:r>
    </w:p>
    <w:p w14:paraId="05DEA538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40E8F4F3">
      <w:pPr>
        <w:spacing w:before="253" w:line="368" w:lineRule="auto"/>
        <w:ind w:left="23" w:firstLine="644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本年收入合计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万元，其中：财政拨款收入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上年减少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1.7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减少开支，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财政拨款减少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；上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级补助收入</w:t>
      </w:r>
      <w:r>
        <w:rPr>
          <w:rFonts w:hint="default" w:ascii="Times New Roman" w:hAnsi="Times New Roman" w:eastAsia="仿宋_GB2312" w:cs="Times New Roman"/>
          <w:spacing w:val="4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较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上年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无变化；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事业收入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较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上年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无变化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；经营收入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较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上年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无变化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附属单位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上缴收入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其他收入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eastAsia="zh-CN"/>
        </w:rPr>
        <w:t>。</w:t>
      </w:r>
    </w:p>
    <w:p w14:paraId="778A1103">
      <w:pPr>
        <w:tabs>
          <w:tab w:val="left" w:pos="546"/>
        </w:tabs>
        <w:bidi w:val="0"/>
        <w:jc w:val="lef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4252E56C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本年支出合计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万元，其中：基本支出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增加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10.8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30.59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根据预算用途，将所有支出列为基本支出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项目支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</w:t>
      </w:r>
      <w:r>
        <w:rPr>
          <w:rFonts w:hint="default" w:ascii="Times New Roman" w:hAnsi="Times New Roman" w:eastAsia="仿宋_GB2312" w:cs="Times New Roman"/>
          <w:spacing w:val="4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比上年减少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11.40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32.29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要是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根据预算用途，将所有支出列为基本支出。</w:t>
      </w:r>
    </w:p>
    <w:p w14:paraId="62407703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2F9FBBD9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年度财政拨款收、支总计均为 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相比，财政拨款收、支总计各减少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 xml:space="preserve"> 万元，降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低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1.7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%。主要原因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:</w:t>
      </w:r>
      <w:r>
        <w:rPr>
          <w:rFonts w:hint="eastAsia" w:ascii="仿宋" w:hAnsi="仿宋" w:eastAsia="仿宋"/>
          <w:sz w:val="32"/>
          <w:szCs w:val="30"/>
          <w:lang w:eastAsia="zh-CN"/>
        </w:rPr>
        <w:t>社保人员与基数的变化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。</w:t>
      </w:r>
    </w:p>
    <w:p w14:paraId="0D901E32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324FD46B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3863E7CB">
      <w:pPr>
        <w:spacing w:before="251" w:line="364" w:lineRule="auto"/>
        <w:ind w:left="68" w:right="7" w:firstLine="603"/>
        <w:jc w:val="both"/>
        <w:rPr>
          <w:rFonts w:hint="default" w:ascii="Times New Roman" w:hAnsi="Times New Roman" w:eastAsia="仿宋_GB2312" w:cs="Times New Roman"/>
          <w:spacing w:val="4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 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万元，占本年支出合计的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%。与 2022 年度相比，一般公共预算财政拨款支出减少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万元，降低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1.7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%。主要原因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eastAsia="zh-CN"/>
        </w:rPr>
        <w:t>：</w:t>
      </w:r>
      <w:r>
        <w:rPr>
          <w:rFonts w:hint="eastAsia" w:ascii="仿宋" w:hAnsi="仿宋" w:eastAsia="仿宋"/>
          <w:sz w:val="32"/>
          <w:szCs w:val="30"/>
          <w:lang w:eastAsia="zh-CN"/>
        </w:rPr>
        <w:t>社保人员与基数的变化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。</w:t>
      </w:r>
    </w:p>
    <w:p w14:paraId="140AC35A">
      <w:pPr>
        <w:spacing w:before="51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</w:p>
    <w:p w14:paraId="12966080">
      <w:pPr>
        <w:spacing w:before="251" w:line="364" w:lineRule="auto"/>
        <w:ind w:left="68" w:right="7" w:firstLine="603"/>
        <w:jc w:val="both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万元，主要用于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以下方面：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社会就业和保障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 xml:space="preserve">支出 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31.37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88.84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 xml:space="preserve"> %；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卫生健康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2.55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%；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住房保障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3.04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万元，占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8.61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。</w:t>
      </w:r>
    </w:p>
    <w:p w14:paraId="39C14873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7EA78A97">
      <w:pPr>
        <w:spacing w:before="248" w:line="357" w:lineRule="auto"/>
        <w:ind w:left="38" w:right="86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 年度一般公共预算财政拨款支出年初预算</w:t>
      </w:r>
      <w:r>
        <w:rPr>
          <w:rFonts w:hint="eastAsia" w:ascii="Times New Roman" w:hAnsi="Times New Roman" w:eastAsia="仿宋_GB2312" w:cs="Times New Roman"/>
          <w:spacing w:val="12"/>
          <w:sz w:val="31"/>
          <w:szCs w:val="31"/>
          <w:lang w:val="en-US" w:eastAsia="zh-CN"/>
        </w:rPr>
        <w:t>34.48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元，支出决算为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万元，完成年初预算的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102.99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%。其中：</w:t>
      </w:r>
    </w:p>
    <w:p w14:paraId="4CB450ED">
      <w:pPr>
        <w:spacing w:before="54" w:line="361" w:lineRule="auto"/>
        <w:ind w:left="30" w:firstLine="660"/>
        <w:rPr>
          <w:rFonts w:hint="default" w:ascii="Times New Roman" w:hAnsi="Times New Roman" w:eastAsia="仿宋_GB2312" w:cs="Times New Roman"/>
          <w:spacing w:val="20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1.</w:t>
      </w:r>
      <w:r>
        <w:rPr>
          <w:rFonts w:hint="eastAsia" w:ascii="仿宋" w:hAnsi="仿宋" w:eastAsia="仿宋"/>
          <w:sz w:val="32"/>
          <w:lang w:val="en-US" w:eastAsia="zh-CN"/>
        </w:rPr>
        <w:t>社会保障和就业支出</w:t>
      </w:r>
      <w:r>
        <w:rPr>
          <w:rFonts w:hint="eastAsia" w:ascii="仿宋" w:hAnsi="仿宋" w:eastAsia="仿宋"/>
          <w:sz w:val="32"/>
          <w:szCs w:val="30"/>
        </w:rPr>
        <w:t>。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年初预算为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30.18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31.37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完成年初预算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的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103.94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%。决算数大于预算数的主要原因是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eastAsia" w:ascii="仿宋" w:hAnsi="仿宋" w:eastAsia="仿宋"/>
          <w:sz w:val="32"/>
          <w:szCs w:val="30"/>
          <w:lang w:eastAsia="zh-CN"/>
        </w:rPr>
        <w:t>社保人员与基数的变化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。</w:t>
      </w:r>
    </w:p>
    <w:p w14:paraId="20B57A58">
      <w:pPr>
        <w:spacing w:before="251" w:line="364" w:lineRule="auto"/>
        <w:ind w:left="68" w:right="7" w:firstLine="60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2. </w:t>
      </w:r>
      <w:r>
        <w:rPr>
          <w:rFonts w:hint="eastAsia" w:ascii="仿宋" w:hAnsi="仿宋" w:eastAsia="仿宋"/>
          <w:sz w:val="32"/>
          <w:lang w:val="en-US" w:eastAsia="zh-CN"/>
        </w:rPr>
        <w:t>卫生健康支出。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年初预算为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1.15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支出决算为 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0.9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78.26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%。决算数小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于预算数的主要原因是</w:t>
      </w:r>
      <w:r>
        <w:rPr>
          <w:rFonts w:hint="eastAsia" w:ascii="仿宋" w:hAnsi="仿宋" w:eastAsia="仿宋"/>
          <w:sz w:val="32"/>
          <w:szCs w:val="30"/>
          <w:lang w:eastAsia="zh-CN"/>
        </w:rPr>
        <w:t>社保人员与基数的变化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。</w:t>
      </w:r>
    </w:p>
    <w:p w14:paraId="3A7EA0E5">
      <w:pPr>
        <w:spacing w:before="54" w:line="361" w:lineRule="auto"/>
        <w:ind w:left="30" w:firstLine="660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3. </w:t>
      </w:r>
      <w:r>
        <w:rPr>
          <w:rFonts w:hint="eastAsia" w:ascii="仿宋" w:hAnsi="仿宋" w:eastAsia="仿宋"/>
          <w:sz w:val="32"/>
          <w:lang w:val="en-US" w:eastAsia="zh-CN"/>
        </w:rPr>
        <w:t>住房保障支出</w:t>
      </w:r>
      <w:r>
        <w:rPr>
          <w:rFonts w:hint="eastAsia" w:ascii="仿宋" w:hAnsi="仿宋" w:eastAsia="仿宋"/>
          <w:sz w:val="32"/>
          <w:szCs w:val="30"/>
        </w:rPr>
        <w:t>年初</w:t>
      </w:r>
      <w:r>
        <w:rPr>
          <w:rFonts w:hint="default" w:ascii="Times New Roman" w:hAnsi="Times New Roman" w:eastAsia="仿宋_GB2312" w:cs="Times New Roman"/>
          <w:sz w:val="31"/>
          <w:szCs w:val="31"/>
        </w:rPr>
        <w:t>。年初预算为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3.15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</w:t>
      </w:r>
      <w:r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3.04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96.51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%。决算数小于预算数的主要原因是</w:t>
      </w:r>
      <w:r>
        <w:rPr>
          <w:rFonts w:hint="eastAsia" w:ascii="仿宋" w:hAnsi="仿宋" w:eastAsia="仿宋"/>
          <w:sz w:val="32"/>
          <w:szCs w:val="30"/>
          <w:lang w:eastAsia="zh-CN"/>
        </w:rPr>
        <w:t>社保人员与基数的变化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。</w:t>
      </w:r>
    </w:p>
    <w:p w14:paraId="7E2A9033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5FCB2295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eastAsia" w:ascii="Times New Roman" w:hAnsi="Times New Roman" w:eastAsia="仿宋_GB2312" w:cs="Times New Roman"/>
          <w:spacing w:val="12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3926A6A3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26.07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4.32万元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、津贴补贴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3.73万元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、奖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金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0.41万元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、绩效工资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7.67万元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、机关事业单位基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本养老保险缴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0.36万元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、职工基本医疗保险缴费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0.68万元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、公务员医疗补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助缴费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0.22万元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、其他社会保障缴费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0.04万元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、住房公积金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3.04万元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其他工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资福利支出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5.59万元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。</w:t>
      </w:r>
    </w:p>
    <w:p w14:paraId="44FD4AAD">
      <w:pPr>
        <w:spacing w:before="254" w:line="367" w:lineRule="auto"/>
        <w:ind w:left="26" w:firstLine="641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公用经费</w:t>
      </w:r>
      <w:r>
        <w:rPr>
          <w:rFonts w:hint="eastAsia" w:ascii="Times New Roman" w:hAnsi="Times New Roman" w:eastAsia="仿宋_GB2312" w:cs="Times New Roman"/>
          <w:b/>
          <w:bCs/>
          <w:spacing w:val="7"/>
          <w:sz w:val="31"/>
          <w:szCs w:val="31"/>
          <w:lang w:val="en-US" w:eastAsia="zh-CN"/>
        </w:rPr>
        <w:t>9.24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 xml:space="preserve"> 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，主要包括：办公费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5.82万元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、印刷费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其他交通费用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0.93万元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、其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他商品和服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务支出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1.5万。</w:t>
      </w:r>
    </w:p>
    <w:p w14:paraId="0D7AE124">
      <w:pPr>
        <w:tabs>
          <w:tab w:val="left" w:pos="591"/>
        </w:tabs>
        <w:bidi w:val="0"/>
        <w:jc w:val="lef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19D78DB0">
      <w:pPr>
        <w:spacing w:before="250" w:line="322" w:lineRule="auto"/>
        <w:ind w:left="34" w:right="158" w:firstLine="639"/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我部门没有政府性基金支出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 w14:paraId="5F42D224">
      <w:pPr>
        <w:spacing w:before="158" w:line="224" w:lineRule="auto"/>
        <w:ind w:firstLine="648" w:firstLineChars="20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12C3BD1D">
      <w:pPr>
        <w:spacing w:before="255" w:line="364" w:lineRule="auto"/>
        <w:ind w:left="23"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我部门没有国有资本经营预算财政拨款支出。</w:t>
      </w:r>
    </w:p>
    <w:p w14:paraId="78A82F2D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41ABC8BD">
      <w:pPr>
        <w:spacing w:before="248" w:line="224" w:lineRule="auto"/>
        <w:ind w:left="675"/>
        <w:rPr>
          <w:rFonts w:hint="default" w:ascii="Times New Roman" w:hAnsi="Times New Roman" w:eastAsia="仿宋_GB2312" w:cs="Times New Roman"/>
          <w:color w:val="FF0000"/>
          <w:spacing w:val="3"/>
          <w:sz w:val="31"/>
          <w:szCs w:val="31"/>
        </w:rPr>
      </w:pPr>
      <w:r>
        <w:rPr>
          <w:rFonts w:hint="eastAsia" w:ascii="仿宋" w:hAnsi="仿宋" w:eastAsia="仿宋"/>
          <w:sz w:val="32"/>
          <w:szCs w:val="22"/>
        </w:rPr>
        <w:t>我部门</w:t>
      </w:r>
      <w:r>
        <w:rPr>
          <w:rFonts w:hint="eastAsia" w:ascii="仿宋" w:hAnsi="仿宋" w:eastAsia="仿宋"/>
          <w:sz w:val="32"/>
          <w:szCs w:val="22"/>
          <w:lang w:val="en-US" w:eastAsia="zh-CN"/>
        </w:rPr>
        <w:t>没有</w:t>
      </w:r>
      <w:r>
        <w:rPr>
          <w:rFonts w:hint="eastAsia" w:ascii="仿宋" w:hAnsi="仿宋" w:eastAsia="仿宋"/>
          <w:sz w:val="32"/>
          <w:szCs w:val="22"/>
        </w:rPr>
        <w:t>“三公”经费财政拨款</w:t>
      </w:r>
      <w:r>
        <w:rPr>
          <w:rFonts w:hint="eastAsia" w:ascii="仿宋" w:hAnsi="仿宋" w:eastAsia="仿宋"/>
          <w:sz w:val="32"/>
          <w:szCs w:val="22"/>
          <w:lang w:val="en-US" w:eastAsia="zh-CN"/>
        </w:rPr>
        <w:t>支出。</w:t>
      </w:r>
    </w:p>
    <w:p w14:paraId="4D67416D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229EA92B">
      <w:pPr>
        <w:spacing w:before="159" w:line="223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一）绩效评价工作开展情况。</w:t>
      </w:r>
    </w:p>
    <w:p w14:paraId="07C342C1">
      <w:pPr>
        <w:spacing w:before="252" w:line="355" w:lineRule="auto"/>
        <w:ind w:left="41" w:right="157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组织对本部门开展整体支出绩效评价，涉及一般公共预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算支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35.31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元，政府性基金预算支出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万元。从评价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情况</w:t>
      </w:r>
      <w:r>
        <w:rPr>
          <w:rFonts w:hint="default" w:ascii="Times New Roman" w:hAnsi="Times New Roman" w:eastAsia="仿宋_GB2312" w:cs="Times New Roman"/>
          <w:spacing w:val="-11"/>
          <w:sz w:val="31"/>
          <w:szCs w:val="31"/>
        </w:rPr>
        <w:t>来看，</w:t>
      </w:r>
      <w:r>
        <w:rPr>
          <w:rFonts w:hint="default" w:ascii="Times New Roman" w:hAnsi="Times New Roman" w:eastAsia="仿宋_GB2312" w:cs="Times New Roman"/>
          <w:spacing w:val="-81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1"/>
          <w:szCs w:val="31"/>
          <w:lang w:eastAsia="zh-CN"/>
        </w:rPr>
        <w:t>绩效自评率为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1"/>
          <w:szCs w:val="31"/>
          <w:lang w:val="en-US" w:eastAsia="zh-CN"/>
        </w:rPr>
        <w:t>100%</w:t>
      </w:r>
      <w:r>
        <w:rPr>
          <w:rFonts w:hint="eastAsia" w:ascii="Times New Roman" w:hAnsi="Times New Roman" w:eastAsia="仿宋_GB2312" w:cs="Times New Roman"/>
          <w:color w:val="auto"/>
          <w:spacing w:val="7"/>
          <w:sz w:val="31"/>
          <w:szCs w:val="31"/>
          <w:lang w:eastAsia="zh-CN"/>
        </w:rPr>
        <w:t>。</w:t>
      </w:r>
      <w:bookmarkStart w:id="0" w:name="_GoBack"/>
      <w:bookmarkEnd w:id="0"/>
    </w:p>
    <w:p w14:paraId="2DBBF6B2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01720CB9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04F845EE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2023年度机关运行经费支出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。</w:t>
      </w:r>
    </w:p>
    <w:p w14:paraId="7F8F267B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72218B48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eastAsia="zh-CN"/>
        </w:rPr>
        <w:t>政府采购支出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经费支出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。</w:t>
      </w:r>
    </w:p>
    <w:p w14:paraId="1E1A615A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39E37AF3">
      <w:pPr>
        <w:spacing w:line="580" w:lineRule="exact"/>
        <w:ind w:firstLine="60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</w:t>
      </w:r>
      <w:r>
        <w:rPr>
          <w:rFonts w:hint="eastAsia" w:ascii="仿宋" w:hAnsi="仿宋" w:eastAsia="仿宋"/>
          <w:sz w:val="32"/>
          <w:lang w:eastAsia="zh-CN"/>
        </w:rPr>
        <w:t>长春经济技术开发区</w:t>
      </w:r>
      <w:r>
        <w:rPr>
          <w:rFonts w:hint="eastAsia" w:ascii="仿宋" w:hAnsi="仿宋" w:eastAsia="仿宋"/>
          <w:sz w:val="32"/>
          <w:lang w:val="en-US" w:eastAsia="zh-CN"/>
        </w:rPr>
        <w:t>婚姻登记处</w:t>
      </w:r>
      <w:r>
        <w:rPr>
          <w:rFonts w:hint="eastAsia" w:ascii="仿宋" w:hAnsi="仿宋" w:eastAsia="仿宋"/>
          <w:sz w:val="32"/>
        </w:rPr>
        <w:t>共有车辆</w:t>
      </w:r>
      <w:r>
        <w:rPr>
          <w:rFonts w:hint="eastAsia" w:ascii="仿宋" w:hAnsi="仿宋" w:eastAsia="仿宋"/>
          <w:sz w:val="32"/>
          <w:lang w:val="en-US" w:eastAsia="zh-CN"/>
        </w:rPr>
        <w:t>0</w:t>
      </w:r>
      <w:r>
        <w:rPr>
          <w:rFonts w:hint="eastAsia" w:ascii="仿宋" w:hAnsi="仿宋" w:eastAsia="仿宋"/>
          <w:sz w:val="32"/>
        </w:rPr>
        <w:t>辆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0072A8A9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24EFBB39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0C4C53FF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084A62EB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67206DF6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3F2813F0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05686EDF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61BCE45E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03BD228A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74BAA34F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678C7082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3493E472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6CC1A0A6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0EE3B7CD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84D0FA1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2B5EC580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71D1262D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33B151E3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756FC0F8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028F11C2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6101C2B0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3696F5DD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02CFE042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2456DC08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8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0D904CB4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0EB670B1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629D4056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十八、******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2904716D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51D9C163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19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60CDD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5D53A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C5FB6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EE05C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C165D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73BB7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C52D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A00CF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CF8A4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4E8F4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85A6A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08D3B"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7E63D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74A69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A132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CBE50"/>
    <w:multiLevelType w:val="singleLevel"/>
    <w:tmpl w:val="8CCCBE50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DC1A38"/>
    <w:multiLevelType w:val="singleLevel"/>
    <w:tmpl w:val="CFDC1A3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Y4YjAxNzkxMmI0YjllM2Y3OThiYWFjMDAwMGJkN2IifQ=="/>
  </w:docVars>
  <w:rsids>
    <w:rsidRoot w:val="00000000"/>
    <w:rsid w:val="16E22E2F"/>
    <w:rsid w:val="1A46472D"/>
    <w:rsid w:val="2324183F"/>
    <w:rsid w:val="264B16EE"/>
    <w:rsid w:val="28385A47"/>
    <w:rsid w:val="29201EB1"/>
    <w:rsid w:val="2E114E33"/>
    <w:rsid w:val="311902D8"/>
    <w:rsid w:val="32673660"/>
    <w:rsid w:val="34136472"/>
    <w:rsid w:val="342B6B13"/>
    <w:rsid w:val="3502088B"/>
    <w:rsid w:val="4BDD19BC"/>
    <w:rsid w:val="4D355BCD"/>
    <w:rsid w:val="5387207F"/>
    <w:rsid w:val="562057C9"/>
    <w:rsid w:val="5D4C3F91"/>
    <w:rsid w:val="61495D70"/>
    <w:rsid w:val="6555435E"/>
    <w:rsid w:val="67EC0485"/>
    <w:rsid w:val="79815A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公文正文"/>
    <w:basedOn w:val="1"/>
    <w:qFormat/>
    <w:uiPriority w:val="0"/>
    <w:pPr>
      <w:adjustRightInd w:val="0"/>
      <w:snapToGrid w:val="0"/>
      <w:spacing w:line="580" w:lineRule="atLeast"/>
      <w:ind w:firstLine="709"/>
    </w:pPr>
    <w:rPr>
      <w:rFonts w:eastAsia="仿宋_GB2312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numbering" Target="numbering.xml"/><Relationship Id="rId28" Type="http://schemas.openxmlformats.org/officeDocument/2006/relationships/image" Target="media/image8.png"/><Relationship Id="rId27" Type="http://schemas.openxmlformats.org/officeDocument/2006/relationships/image" Target="media/image7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3597</Words>
  <Characters>3865</Characters>
  <TotalTime>2</TotalTime>
  <ScaleCrop>false</ScaleCrop>
  <LinksUpToDate>false</LinksUpToDate>
  <CharactersWithSpaces>4025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LENOVO</cp:lastModifiedBy>
  <cp:lastPrinted>2024-09-23T06:42:00Z</cp:lastPrinted>
  <dcterms:modified xsi:type="dcterms:W3CDTF">2024-09-26T02:56:13Z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2052-12.1.0.17140</vt:lpwstr>
  </property>
  <property fmtid="{D5CDD505-2E9C-101B-9397-08002B2CF9AE}" pid="5" name="ICV">
    <vt:lpwstr>EE6B8DE6D9334B70BBD07C0710CCDD35_12</vt:lpwstr>
  </property>
</Properties>
</file>