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3D18E">
      <w:pPr>
        <w:pStyle w:val="2"/>
        <w:spacing w:line="251" w:lineRule="auto"/>
      </w:pPr>
    </w:p>
    <w:p w14:paraId="55AF6EE0">
      <w:pPr>
        <w:pStyle w:val="2"/>
        <w:spacing w:line="251" w:lineRule="auto"/>
      </w:pPr>
    </w:p>
    <w:p w14:paraId="3821BD8A">
      <w:pPr>
        <w:pStyle w:val="2"/>
        <w:spacing w:line="252" w:lineRule="auto"/>
      </w:pPr>
    </w:p>
    <w:p w14:paraId="2D6F4E4D">
      <w:pPr>
        <w:pStyle w:val="2"/>
        <w:spacing w:line="252" w:lineRule="auto"/>
      </w:pPr>
    </w:p>
    <w:p w14:paraId="63423317">
      <w:pPr>
        <w:pStyle w:val="2"/>
        <w:spacing w:line="252" w:lineRule="auto"/>
      </w:pPr>
    </w:p>
    <w:p w14:paraId="3FE78B68">
      <w:pPr>
        <w:pStyle w:val="2"/>
        <w:spacing w:line="252" w:lineRule="auto"/>
      </w:pPr>
    </w:p>
    <w:p w14:paraId="679AB6B2">
      <w:pPr>
        <w:pStyle w:val="2"/>
        <w:spacing w:line="252" w:lineRule="auto"/>
      </w:pPr>
    </w:p>
    <w:p w14:paraId="71932E53">
      <w:pPr>
        <w:pStyle w:val="2"/>
        <w:spacing w:line="252" w:lineRule="auto"/>
      </w:pPr>
    </w:p>
    <w:p w14:paraId="1D771D28">
      <w:pPr>
        <w:pStyle w:val="2"/>
        <w:spacing w:line="252" w:lineRule="auto"/>
      </w:pPr>
    </w:p>
    <w:p w14:paraId="452EEB8C">
      <w:pPr>
        <w:pStyle w:val="2"/>
        <w:spacing w:line="252" w:lineRule="auto"/>
      </w:pPr>
    </w:p>
    <w:p w14:paraId="2901FCD9">
      <w:pPr>
        <w:pStyle w:val="2"/>
        <w:spacing w:line="252" w:lineRule="auto"/>
      </w:pPr>
    </w:p>
    <w:p w14:paraId="1ADB870E">
      <w:pPr>
        <w:pStyle w:val="2"/>
        <w:spacing w:line="252" w:lineRule="auto"/>
      </w:pPr>
    </w:p>
    <w:p w14:paraId="1704E8F1">
      <w:pPr>
        <w:pStyle w:val="2"/>
        <w:spacing w:line="252" w:lineRule="auto"/>
      </w:pPr>
    </w:p>
    <w:p w14:paraId="507E5D15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2023 年度</w:t>
      </w:r>
    </w:p>
    <w:p w14:paraId="147BCD40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</w:p>
    <w:p w14:paraId="478B0FB5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44"/>
          <w:szCs w:val="44"/>
          <w:lang w:val="en-US" w:eastAsia="zh-CN"/>
        </w:rPr>
        <w:t>口岸经济局</w:t>
      </w: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部门决算</w:t>
      </w:r>
    </w:p>
    <w:p w14:paraId="20E05025">
      <w:pPr>
        <w:pStyle w:val="2"/>
        <w:spacing w:line="242" w:lineRule="auto"/>
      </w:pPr>
    </w:p>
    <w:p w14:paraId="58F47056">
      <w:pPr>
        <w:pStyle w:val="2"/>
        <w:spacing w:line="242" w:lineRule="auto"/>
      </w:pPr>
    </w:p>
    <w:p w14:paraId="7A3E6486">
      <w:pPr>
        <w:pStyle w:val="2"/>
        <w:spacing w:line="242" w:lineRule="auto"/>
      </w:pPr>
    </w:p>
    <w:p w14:paraId="63380002">
      <w:pPr>
        <w:pStyle w:val="2"/>
        <w:spacing w:line="242" w:lineRule="auto"/>
      </w:pPr>
    </w:p>
    <w:p w14:paraId="28C5BFF6">
      <w:pPr>
        <w:pStyle w:val="2"/>
        <w:spacing w:line="242" w:lineRule="auto"/>
      </w:pPr>
    </w:p>
    <w:p w14:paraId="48BF5531">
      <w:pPr>
        <w:pStyle w:val="2"/>
        <w:spacing w:line="242" w:lineRule="auto"/>
      </w:pPr>
    </w:p>
    <w:p w14:paraId="75C21B97">
      <w:pPr>
        <w:pStyle w:val="2"/>
        <w:spacing w:line="242" w:lineRule="auto"/>
      </w:pPr>
    </w:p>
    <w:p w14:paraId="55925D7D">
      <w:pPr>
        <w:pStyle w:val="2"/>
        <w:spacing w:line="242" w:lineRule="auto"/>
      </w:pPr>
    </w:p>
    <w:p w14:paraId="2CCAA310">
      <w:pPr>
        <w:pStyle w:val="2"/>
        <w:spacing w:line="242" w:lineRule="auto"/>
      </w:pPr>
    </w:p>
    <w:p w14:paraId="4C43918C">
      <w:pPr>
        <w:pStyle w:val="2"/>
        <w:spacing w:line="242" w:lineRule="auto"/>
      </w:pPr>
    </w:p>
    <w:p w14:paraId="05D73C48">
      <w:pPr>
        <w:pStyle w:val="2"/>
        <w:spacing w:line="242" w:lineRule="auto"/>
      </w:pPr>
    </w:p>
    <w:p w14:paraId="68BFCA00">
      <w:pPr>
        <w:pStyle w:val="2"/>
        <w:spacing w:line="243" w:lineRule="auto"/>
      </w:pPr>
    </w:p>
    <w:p w14:paraId="45C8B38A">
      <w:pPr>
        <w:pStyle w:val="2"/>
        <w:spacing w:line="243" w:lineRule="auto"/>
      </w:pPr>
    </w:p>
    <w:p w14:paraId="664F1FDB">
      <w:pPr>
        <w:pStyle w:val="2"/>
        <w:spacing w:line="243" w:lineRule="auto"/>
      </w:pPr>
    </w:p>
    <w:p w14:paraId="672BE691">
      <w:pPr>
        <w:pStyle w:val="2"/>
        <w:spacing w:line="243" w:lineRule="auto"/>
      </w:pPr>
    </w:p>
    <w:p w14:paraId="59502192">
      <w:pPr>
        <w:pStyle w:val="2"/>
        <w:spacing w:line="243" w:lineRule="auto"/>
      </w:pPr>
    </w:p>
    <w:p w14:paraId="093BCF95">
      <w:pPr>
        <w:pStyle w:val="2"/>
        <w:spacing w:line="243" w:lineRule="auto"/>
      </w:pPr>
    </w:p>
    <w:p w14:paraId="36C78406">
      <w:pPr>
        <w:pStyle w:val="2"/>
        <w:spacing w:line="243" w:lineRule="auto"/>
      </w:pPr>
    </w:p>
    <w:p w14:paraId="4795EFC3">
      <w:pPr>
        <w:pStyle w:val="2"/>
        <w:spacing w:line="243" w:lineRule="auto"/>
      </w:pPr>
    </w:p>
    <w:p w14:paraId="010D8A5F">
      <w:pPr>
        <w:pStyle w:val="2"/>
        <w:spacing w:line="243" w:lineRule="auto"/>
      </w:pPr>
    </w:p>
    <w:p w14:paraId="0447E24B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2024 年</w:t>
      </w: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日</w:t>
      </w:r>
    </w:p>
    <w:p w14:paraId="4C2159BE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sectPr>
          <w:footerReference r:id="rId5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5CC75C68">
      <w:pPr>
        <w:pStyle w:val="2"/>
        <w:spacing w:line="289" w:lineRule="auto"/>
      </w:pPr>
    </w:p>
    <w:p w14:paraId="602F15DC">
      <w:pPr>
        <w:pStyle w:val="2"/>
        <w:spacing w:line="290" w:lineRule="auto"/>
      </w:pPr>
    </w:p>
    <w:p w14:paraId="1A4CF3C3"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Times New Roman"/>
          <w:snapToGrid/>
          <w:kern w:val="2"/>
          <w:sz w:val="44"/>
          <w:szCs w:val="22"/>
          <w:lang w:eastAsia="zh-CN"/>
        </w:rPr>
        <w:t>目   录</w:t>
      </w:r>
    </w:p>
    <w:p w14:paraId="6A949CB1">
      <w:pPr>
        <w:pStyle w:val="2"/>
        <w:spacing w:line="341" w:lineRule="auto"/>
      </w:pPr>
    </w:p>
    <w:p w14:paraId="5FF1F39C">
      <w:pPr>
        <w:pStyle w:val="2"/>
        <w:spacing w:line="342" w:lineRule="auto"/>
      </w:pPr>
    </w:p>
    <w:p w14:paraId="7F98DEE2">
      <w:pPr>
        <w:spacing w:before="101" w:line="223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第一部分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部门概况</w:t>
      </w:r>
    </w:p>
    <w:p w14:paraId="74B2ED83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一、部门职责</w:t>
      </w:r>
    </w:p>
    <w:p w14:paraId="4CBA1F2B">
      <w:pPr>
        <w:spacing w:before="250" w:line="222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二、机构设置及部门决算单位构成</w:t>
      </w:r>
    </w:p>
    <w:p w14:paraId="28C2FD39">
      <w:pPr>
        <w:spacing w:before="250" w:line="223" w:lineRule="auto"/>
        <w:ind w:left="49"/>
        <w:outlineLvl w:val="1"/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第二部分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年度部门决算表</w:t>
      </w:r>
    </w:p>
    <w:p w14:paraId="74C2F44F">
      <w:pPr>
        <w:spacing w:before="250" w:line="223" w:lineRule="auto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一、收入支出决算总表</w:t>
      </w:r>
    </w:p>
    <w:p w14:paraId="7AF1A88A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二、收入决算表</w:t>
      </w:r>
    </w:p>
    <w:p w14:paraId="0E72D725">
      <w:pPr>
        <w:spacing w:before="249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三、支出决算表</w:t>
      </w:r>
    </w:p>
    <w:p w14:paraId="3D96F319">
      <w:pPr>
        <w:spacing w:before="250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四、财政拨款收入支出决算总表</w:t>
      </w:r>
    </w:p>
    <w:p w14:paraId="0F7C6429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五、一般公共预算财政拨款支出决算表</w:t>
      </w:r>
    </w:p>
    <w:p w14:paraId="534798B1">
      <w:pPr>
        <w:spacing w:before="250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六、一般公共预算财政拨款基本支出决算明细表</w:t>
      </w:r>
    </w:p>
    <w:p w14:paraId="3A6AADFF">
      <w:pPr>
        <w:spacing w:before="251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七、政府性基金预算财政拨款收入支出决算表</w:t>
      </w:r>
    </w:p>
    <w:p w14:paraId="2D3BE516">
      <w:pPr>
        <w:spacing w:before="252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国有资本经营预算财政拨款支出决算表</w:t>
      </w:r>
    </w:p>
    <w:p w14:paraId="48BCF3FD">
      <w:pPr>
        <w:spacing w:before="249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九、财政拨款“三公”经费支出决算表</w:t>
      </w:r>
    </w:p>
    <w:p w14:paraId="3EE0ADA3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十、部门预算项目支出绩效自评表</w:t>
      </w:r>
    </w:p>
    <w:p w14:paraId="6DB9E5A5">
      <w:pPr>
        <w:spacing w:before="249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第三部分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年度部门决算情况说明</w:t>
      </w:r>
    </w:p>
    <w:p w14:paraId="17FB47BA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一、收入支出决算总体情况说明</w:t>
      </w:r>
    </w:p>
    <w:p w14:paraId="5FA34339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二、收入决算情况说明</w:t>
      </w:r>
    </w:p>
    <w:p w14:paraId="5CE49BB1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三、支出决算情况说明</w:t>
      </w:r>
    </w:p>
    <w:p w14:paraId="09EB94B4">
      <w:pPr>
        <w:spacing w:before="249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四、财政拨款收入支出决算总体情况说明</w:t>
      </w:r>
    </w:p>
    <w:p w14:paraId="38290507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36A49708">
      <w:pPr>
        <w:spacing w:before="15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61179547">
      <w:pPr>
        <w:spacing w:before="249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12E38BC4">
      <w:pPr>
        <w:spacing w:before="250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七、政府性基金预算财政拨款收入支出决算情况说明</w:t>
      </w:r>
    </w:p>
    <w:p w14:paraId="440C61C8">
      <w:pPr>
        <w:spacing w:before="251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9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国有资本经营预算财政拨款支出决算情况说明</w:t>
      </w:r>
    </w:p>
    <w:p w14:paraId="16DE6974">
      <w:pPr>
        <w:spacing w:before="250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78CC8724">
      <w:pPr>
        <w:spacing w:before="249" w:line="224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十、绩效评价情况说明</w:t>
      </w:r>
    </w:p>
    <w:p w14:paraId="225A0BB3">
      <w:pPr>
        <w:spacing w:before="248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十一、其他重要事项情况说明</w:t>
      </w:r>
    </w:p>
    <w:p w14:paraId="6F93B1B7">
      <w:pPr>
        <w:spacing w:before="250" w:line="224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第四部分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名词解释</w:t>
      </w:r>
    </w:p>
    <w:p w14:paraId="726CFD52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0C7558B3">
      <w:pPr>
        <w:pStyle w:val="2"/>
        <w:spacing w:line="328" w:lineRule="auto"/>
      </w:pPr>
    </w:p>
    <w:p w14:paraId="4DD89AAB">
      <w:pPr>
        <w:pStyle w:val="2"/>
        <w:spacing w:line="328" w:lineRule="auto"/>
      </w:pPr>
    </w:p>
    <w:p w14:paraId="1511385A">
      <w:pPr>
        <w:numPr>
          <w:ilvl w:val="0"/>
          <w:numId w:val="1"/>
        </w:numPr>
        <w:spacing w:before="189" w:line="443" w:lineRule="exact"/>
        <w:ind w:left="2215"/>
        <w:outlineLvl w:val="0"/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pacing w:val="14"/>
          <w:position w:val="-2"/>
          <w:sz w:val="44"/>
          <w:szCs w:val="44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部门概况</w:t>
      </w:r>
    </w:p>
    <w:p w14:paraId="52EF4036">
      <w:pPr>
        <w:numPr>
          <w:ilvl w:val="0"/>
          <w:numId w:val="0"/>
        </w:numPr>
        <w:spacing w:before="189" w:line="443" w:lineRule="exact"/>
        <w:outlineLvl w:val="0"/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</w:pPr>
    </w:p>
    <w:p w14:paraId="627CBB49">
      <w:pPr>
        <w:keepNext w:val="0"/>
        <w:keepLines w:val="0"/>
        <w:pageBreakBefore w:val="0"/>
        <w:wordWrap/>
        <w:overflowPunct/>
        <w:topLinePunct w:val="0"/>
        <w:bidi w:val="0"/>
        <w:spacing w:before="101" w:line="560" w:lineRule="exact"/>
        <w:ind w:left="751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一、部门主要职责</w:t>
      </w:r>
    </w:p>
    <w:p w14:paraId="06248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主要负责协调兴隆海关，开展综保区口岸管理、数据统计、业务创新、招商引资、项目服务、政策研究、对口合作、口岸物防等工作。具体职能包括：</w:t>
      </w:r>
    </w:p>
    <w:p w14:paraId="7985E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（一）负责落实国家和省、市促进综保区发展的各项政策措施，研究利用综保区口岸功能推动产业发展；</w:t>
      </w:r>
    </w:p>
    <w:p w14:paraId="1F8C7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（二）负责争取国家和省、市支持政策和资金支持，并组织实施；</w:t>
      </w:r>
    </w:p>
    <w:p w14:paraId="75885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（三）负责协调海关、外汇、税务、市场监管、金融、商务等部门，支持区内企业发展；</w:t>
      </w:r>
    </w:p>
    <w:p w14:paraId="1A0C1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（四）负责监测分析口岸经济运行情况，按月发布口岸经济运行报告；</w:t>
      </w:r>
    </w:p>
    <w:p w14:paraId="0D3EA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（五）负责完善综保区对外通道，保障“长满欧”、“长珲欧”班列及到天津、大连、营口海铁联运班列稳定运行，推动开通中韩跨境货运包机航线，推动卡车航班业务稳定开展；</w:t>
      </w:r>
    </w:p>
    <w:p w14:paraId="16999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（六）负责完善综保区口岸功能，推动整车、肉类、冰鲜水产品等口岸业务开展，探索申报进境食用水生动物口岸，推动平行车进口、二手车出口、增值税一般纳税人资格试点政策落地及实施；</w:t>
      </w:r>
    </w:p>
    <w:p w14:paraId="655D8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（七）负责推动开展业务创新，推动跨境电商、国际快件、平行车进口、二手车出口、保税检测等业务开展，探索粮食大宗商品交易等业务创新；</w:t>
      </w:r>
    </w:p>
    <w:p w14:paraId="3512D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（八）负责综保区招商引资和项目促进工作，重点吸引加工贸易、跨境电商等重点产业项目入区开展业务；</w:t>
      </w:r>
    </w:p>
    <w:p w14:paraId="0EB3F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（九）负责围网内企业项目服务工作；</w:t>
      </w:r>
    </w:p>
    <w:p w14:paraId="125E9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（十）负责综保区入区企业账册设立审核；</w:t>
      </w:r>
    </w:p>
    <w:p w14:paraId="42960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（十一）负责组织疫情防控常态化下综保区口岸防疫工作；</w:t>
      </w:r>
    </w:p>
    <w:p w14:paraId="4E38F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（十二）负责推动珲春、杭州等地区对口合作工作；</w:t>
      </w:r>
    </w:p>
    <w:p w14:paraId="6892573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（十三）承办党工委、管委会交办的其它工作。</w:t>
      </w:r>
    </w:p>
    <w:p w14:paraId="5FEEF774">
      <w:pPr>
        <w:keepNext w:val="0"/>
        <w:keepLines w:val="0"/>
        <w:pageBreakBefore w:val="0"/>
        <w:wordWrap/>
        <w:overflowPunct/>
        <w:topLinePunct w:val="0"/>
        <w:bidi w:val="0"/>
        <w:spacing w:before="251" w:line="560" w:lineRule="exact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二、机构设置及部门决算单位构成</w:t>
      </w:r>
    </w:p>
    <w:p w14:paraId="1CC41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10名，其中领导职数3名，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口岸经济科、项目促进科2个职能科室。</w:t>
      </w:r>
    </w:p>
    <w:p w14:paraId="009B452A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</w:rPr>
      </w:pPr>
    </w:p>
    <w:p w14:paraId="6ADAD19D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</w:rPr>
      </w:pPr>
    </w:p>
    <w:p w14:paraId="769E12CF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</w:rPr>
      </w:pPr>
    </w:p>
    <w:p w14:paraId="1A7189E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</w:rPr>
      </w:pPr>
    </w:p>
    <w:p w14:paraId="0E2B4B0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</w:rPr>
      </w:pPr>
    </w:p>
    <w:p w14:paraId="7C1A0D36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</w:rPr>
      </w:pPr>
    </w:p>
    <w:p w14:paraId="6962FC16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089E56DD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72410E7D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4ABD89BA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57E09FF9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7F95A9ED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7A46D61E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3CBDCE4C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43B6722B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06C4762A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第二部分</w:t>
      </w:r>
      <w:r>
        <w:rPr>
          <w:rFonts w:hint="default" w:ascii="Times New Roman" w:hAnsi="Times New Roman" w:eastAsia="仿宋_GB2312" w:cs="Times New Roman"/>
          <w:b/>
          <w:bCs/>
          <w:spacing w:val="111"/>
          <w:sz w:val="44"/>
          <w:szCs w:val="44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3"/>
          <w:szCs w:val="43"/>
        </w:rPr>
        <w:t>2023</w:t>
      </w:r>
      <w:r>
        <w:rPr>
          <w:rFonts w:hint="default" w:ascii="Times New Roman" w:hAnsi="Times New Roman" w:eastAsia="仿宋_GB2312" w:cs="Times New Roman"/>
          <w:b/>
          <w:bCs/>
          <w:spacing w:val="-103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年度部门决算表</w:t>
      </w:r>
    </w:p>
    <w:p w14:paraId="5DA4E6C9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3CD92968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2746CC2F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10541DB5">
      <w:pPr>
        <w:spacing w:before="100" w:line="224" w:lineRule="auto"/>
        <w:ind w:left="672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8" w:type="default"/>
          <w:pgSz w:w="11907" w:h="16839"/>
          <w:pgMar w:top="1431" w:right="1785" w:bottom="1150" w:left="1785" w:header="0" w:footer="965" w:gutter="0"/>
          <w:pgNumType w:fmt="decimal" w:start="1"/>
          <w:cols w:space="720" w:num="1"/>
        </w:sectPr>
      </w:pPr>
      <w:r>
        <w:rPr>
          <w:rFonts w:hint="eastAsia" w:ascii="Times New Roman" w:hAnsi="Times New Roman" w:eastAsia="仿宋_GB2312" w:cs="Times New Roman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429895</wp:posOffset>
            </wp:positionV>
            <wp:extent cx="5293360" cy="4627245"/>
            <wp:effectExtent l="0" t="0" r="2540" b="1905"/>
            <wp:wrapTopAndBottom/>
            <wp:docPr id="2" name="图片 2" descr="172586610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58661025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462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一、收入支出决算总表</w:t>
      </w:r>
    </w:p>
    <w:p w14:paraId="6884C7B2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7844FF44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0A899531">
      <w:pPr>
        <w:numPr>
          <w:ilvl w:val="0"/>
          <w:numId w:val="2"/>
        </w:numPr>
        <w:spacing w:before="101" w:line="224" w:lineRule="auto"/>
        <w:ind w:left="672"/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收入决算表</w:t>
      </w:r>
    </w:p>
    <w:p w14:paraId="46B87DEC">
      <w:pPr>
        <w:numPr>
          <w:ilvl w:val="0"/>
          <w:numId w:val="0"/>
        </w:numPr>
        <w:spacing w:before="101" w:line="224" w:lineRule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205105</wp:posOffset>
            </wp:positionV>
            <wp:extent cx="5293995" cy="3296285"/>
            <wp:effectExtent l="0" t="0" r="1905" b="18415"/>
            <wp:wrapTopAndBottom/>
            <wp:docPr id="1" name="图片 1" descr="1726109979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61099797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17DBDE">
      <w:pPr>
        <w:numPr>
          <w:ilvl w:val="0"/>
          <w:numId w:val="2"/>
        </w:numPr>
        <w:spacing w:before="101" w:line="224" w:lineRule="auto"/>
        <w:ind w:left="672" w:leftChars="0" w:firstLine="0" w:firstLineChars="0"/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支出决算表</w:t>
      </w:r>
    </w:p>
    <w:p w14:paraId="45D5A824">
      <w:pPr>
        <w:numPr>
          <w:ilvl w:val="0"/>
          <w:numId w:val="0"/>
        </w:numPr>
        <w:spacing w:before="101" w:line="224" w:lineRule="auto"/>
        <w:ind w:left="672" w:leftChars="0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b/>
          <w:bCs/>
          <w:spacing w:val="7"/>
          <w:sz w:val="31"/>
          <w:szCs w:val="3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20955</wp:posOffset>
            </wp:positionV>
            <wp:extent cx="5290820" cy="3493770"/>
            <wp:effectExtent l="0" t="0" r="5080" b="11430"/>
            <wp:wrapSquare wrapText="bothSides"/>
            <wp:docPr id="4" name="图片 4" descr="1725866225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58662251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275647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D3A0693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29B74066">
      <w:pPr>
        <w:spacing w:before="101" w:line="224" w:lineRule="auto"/>
        <w:ind w:left="68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四、财政拨款收入支出决算总表</w:t>
      </w:r>
    </w:p>
    <w:p w14:paraId="1B7CF873">
      <w:pPr>
        <w:pStyle w:val="2"/>
        <w:spacing w:line="245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9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  <w:r>
        <w:rPr>
          <w:rFonts w:hint="eastAsia" w:ascii="Times New Roman" w:hAnsi="Times New Roman" w:eastAsia="仿宋_GB2312" w:cs="Times New Roman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131445</wp:posOffset>
            </wp:positionV>
            <wp:extent cx="5290820" cy="3999230"/>
            <wp:effectExtent l="0" t="0" r="5080" b="1270"/>
            <wp:wrapTopAndBottom/>
            <wp:docPr id="5" name="图片 5" descr="1725866285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58662857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34845C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A8D73F2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0AFEE4F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五、一般公共预算财政拨款支出决算表</w:t>
      </w:r>
    </w:p>
    <w:p w14:paraId="59616FDE">
      <w:pPr>
        <w:spacing w:before="229" w:line="4102" w:lineRule="exact"/>
        <w:ind w:firstLine="14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0660" cy="2164715"/>
            <wp:effectExtent l="0" t="0" r="15240" b="6985"/>
            <wp:docPr id="6" name="图片 6" descr="1725866437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2586643706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09B2D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03FAC110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08636566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09BDD115">
      <w:pPr>
        <w:spacing w:before="100" w:line="224" w:lineRule="auto"/>
        <w:ind w:left="677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727075</wp:posOffset>
            </wp:positionV>
            <wp:extent cx="5288280" cy="3256280"/>
            <wp:effectExtent l="0" t="0" r="7620" b="1270"/>
            <wp:wrapTopAndBottom/>
            <wp:docPr id="7" name="图片 7" descr="1725866466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2586646648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六、一般公共预算财政拨款基本支出决算明细表</w:t>
      </w:r>
    </w:p>
    <w:p w14:paraId="5A980605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0F624B14">
      <w:pPr>
        <w:spacing w:before="101" w:line="224" w:lineRule="auto"/>
        <w:ind w:left="66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5BAC4104">
      <w:pPr>
        <w:spacing w:before="101" w:line="224" w:lineRule="auto"/>
        <w:ind w:left="66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04DA698B">
      <w:pPr>
        <w:spacing w:before="101" w:line="224" w:lineRule="auto"/>
        <w:ind w:left="66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53EDDD10">
      <w:pPr>
        <w:spacing w:before="101" w:line="224" w:lineRule="auto"/>
        <w:ind w:left="66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七、政府性基金预算财政拨款收入支出决算表</w:t>
      </w:r>
      <w:r>
        <w:rPr>
          <w:rFonts w:hint="eastAsia" w:ascii="Times New Roman" w:hAnsi="Times New Roman" w:eastAsia="仿宋_GB2312" w:cs="Times New Roman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296545</wp:posOffset>
            </wp:positionV>
            <wp:extent cx="5283835" cy="3086735"/>
            <wp:effectExtent l="0" t="0" r="12065" b="18415"/>
            <wp:wrapTopAndBottom/>
            <wp:docPr id="8" name="图片 8" descr="1725866487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586648712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EF7030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60651E89">
      <w:pPr>
        <w:spacing w:before="101" w:line="224" w:lineRule="auto"/>
        <w:ind w:left="667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八、国有资本经营预算财政拨款支出决算表</w:t>
      </w:r>
    </w:p>
    <w:p w14:paraId="40E7E98D">
      <w:pPr>
        <w:spacing w:before="182" w:line="4817" w:lineRule="exact"/>
        <w:ind w:firstLine="28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3835" cy="2388870"/>
            <wp:effectExtent l="0" t="0" r="12065" b="11430"/>
            <wp:docPr id="9" name="图片 9" descr="1725866534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2586653459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CACF3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7406B6F1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0B8C207B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7098036F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7E140A7F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30733452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465455</wp:posOffset>
            </wp:positionV>
            <wp:extent cx="5455285" cy="3667125"/>
            <wp:effectExtent l="0" t="0" r="12065" b="9525"/>
            <wp:wrapTopAndBottom/>
            <wp:docPr id="10" name="图片 10" descr="172586671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2586671166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5528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九、财政拨款“三公”经费支出决算表</w:t>
      </w:r>
    </w:p>
    <w:p w14:paraId="312BCB47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0DDA9603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52ECB70B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499F2421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17B8DDBA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3DE40055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3C473719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7FF323F7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39FD91DF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56A3358B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67EA499A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098667BC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01CEE17A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149FC820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6CE0FE68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257FF8DE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378CB913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43C69368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53523975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十、部门预算项目支出绩效自评表</w:t>
      </w:r>
    </w:p>
    <w:p w14:paraId="5EA85FA4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1F28036E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63BE18FC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1EF7F217">
      <w:pPr>
        <w:spacing w:line="9847" w:lineRule="exact"/>
        <w:ind w:firstLine="297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7010" cy="5033645"/>
            <wp:effectExtent l="0" t="0" r="8890" b="14605"/>
            <wp:docPr id="11" name="图片 11" descr="1725866773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2586677312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503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53493">
      <w:pPr>
        <w:spacing w:line="9847" w:lineRule="exact"/>
        <w:rPr>
          <w:rFonts w:hint="eastAsia" w:ascii="Times New Roman" w:hAnsi="Times New Roman" w:eastAsia="仿宋_GB2312" w:cs="Times New Roman"/>
          <w:lang w:eastAsia="zh-CN"/>
        </w:rPr>
        <w:sectPr>
          <w:footerReference r:id="rId10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69DB38B3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60" w:lineRule="exact"/>
        <w:ind w:left="482"/>
        <w:textAlignment w:val="baseline"/>
        <w:outlineLvl w:val="0"/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2023年度部门决算情况说明</w:t>
      </w:r>
    </w:p>
    <w:p w14:paraId="6933087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60" w:lineRule="exact"/>
        <w:textAlignment w:val="baseline"/>
        <w:outlineLvl w:val="0"/>
        <w:rPr>
          <w:rFonts w:hint="eastAsia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</w:pPr>
    </w:p>
    <w:p w14:paraId="484D44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67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一、收入支出决算总体情况说明</w:t>
      </w:r>
    </w:p>
    <w:p w14:paraId="55D917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年度收、支总计均为3473.55万元。与2022年度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2683.84万元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相比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收、支总计各增加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789.71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基本支出与项目支出均有所增加。</w:t>
      </w:r>
      <w:bookmarkStart w:id="0" w:name="_GoBack"/>
      <w:bookmarkEnd w:id="0"/>
    </w:p>
    <w:p w14:paraId="28D8BB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二、收入决算情况说明</w:t>
      </w:r>
    </w:p>
    <w:p w14:paraId="338A6B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本年收入合计3473.55万元，其中：财政拨款收入 3473.55万元，比上年增加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789.71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%，主要是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基本支出与项目支出均有所增加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；上级补助收入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。</w:t>
      </w:r>
    </w:p>
    <w:p w14:paraId="634E22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三、支出决算情况说明</w:t>
      </w:r>
    </w:p>
    <w:p w14:paraId="08A073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本年支出合计3473.55万元，其中：基本支出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164.76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比上年增加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55.83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%，主要是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人员较22年有所增加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；项目支出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3308.79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比上年增加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733.91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万元，增长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%，主要是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对企补助支出有所增加；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上缴上级支出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经营支出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万元；对附属单位补助支出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万元。</w:t>
      </w:r>
    </w:p>
    <w:p w14:paraId="6BE106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68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四、财政拨款收入支出决算总体情况说明</w:t>
      </w:r>
    </w:p>
    <w:p w14:paraId="61242E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年度财政拨款收、支总计均为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3473.55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2022年度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2683.84万元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相比，收、支总计各增加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789.71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基本支出与项目支出均有所增加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。</w:t>
      </w:r>
    </w:p>
    <w:p w14:paraId="1AF592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五、一般公共预算财政拨款支出决算情况说明</w:t>
      </w:r>
    </w:p>
    <w:p w14:paraId="06B8B2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default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6"/>
          <w:sz w:val="32"/>
          <w:szCs w:val="32"/>
        </w:rPr>
        <w:t>（一）一般公共预算财政拨款支出决算总体情况</w:t>
      </w:r>
    </w:p>
    <w:p w14:paraId="5C876D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2023年度一般公共预算财政拨款支出3473.55万元，占本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年支出合计的100%。与2022年度相比，一般公共预算财政拨款支出增加789.71万元，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基本支出与项目支出均有所增加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。</w:t>
      </w:r>
    </w:p>
    <w:p w14:paraId="3DDC6B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6"/>
          <w:sz w:val="32"/>
          <w:szCs w:val="32"/>
        </w:rPr>
        <w:t>（二）一般公共预算财政拨款支出决算结构情况</w:t>
      </w:r>
    </w:p>
    <w:p w14:paraId="5150B8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2023 年度一般公共预算财政拨款支出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3473.55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万元，主要用于以下方面：一般公共服务支出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139.76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社会保障和就业保障支出501.64万元，占比14%；商业服务业等支出2632万元，占比76%；住房保障支出17.57万元，占比0.5%；卫生健康支出182.57万元，占比5.5%。</w:t>
      </w:r>
    </w:p>
    <w:p w14:paraId="4EE8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default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6"/>
          <w:sz w:val="32"/>
          <w:szCs w:val="32"/>
        </w:rPr>
        <w:t>（三）一般公共预算财政拨款支出决算具体情况</w:t>
      </w:r>
    </w:p>
    <w:p w14:paraId="1C4D00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2023 年度一般公共预算财政拨款支出年初预算为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399.1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3473.55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万元，完成年初预算的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-88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决算较大的原因为上级专项资金支出较大。</w:t>
      </w:r>
    </w:p>
    <w:p w14:paraId="05FB39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六、一般公共预算财政拨款基本支出决算情况说明</w:t>
      </w:r>
    </w:p>
    <w:p w14:paraId="429877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2023年度一般公共预算财政拨款基本支出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164.76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万元，其中：</w:t>
      </w:r>
    </w:p>
    <w:p w14:paraId="7F43C9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135.53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万元，主要包括：基本工资、津贴补贴、奖 金、伙食补助费、绩效工资、机关事业单位基本养老保险缴费、职业年金缴费、职工基本医疗保险缴费、公务员医疗补助缴费、其他社会保障缴费、住房公积金、医疗费、其他工资福利支出和其他对个人和家庭的补助。</w:t>
      </w:r>
    </w:p>
    <w:p w14:paraId="4A3403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公用经费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29.24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万元，主要包括：办公费、差旅费、公务接待费、其他交通费用、其他商品和服务支出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信息网络及软件购置更新等。</w:t>
      </w:r>
    </w:p>
    <w:p w14:paraId="26BB1F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七、政府性基金预算财政拨款收入支出决算情况说明</w:t>
      </w:r>
    </w:p>
    <w:p w14:paraId="2AF1A8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2023年度政府性基金预算财政拨款年初结转和结余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万元；本年收入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万元；本年支出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万元。</w:t>
      </w:r>
    </w:p>
    <w:p w14:paraId="0E3244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八、国有资本经营预算财政拨款支出决算情况说明</w:t>
      </w:r>
    </w:p>
    <w:p w14:paraId="4040E7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2023 年度国有资本经营预算年初结转和结余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万元；</w:t>
      </w:r>
    </w:p>
    <w:p w14:paraId="7FFCF8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right="113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本年收入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 ；本年支出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万元。</w:t>
      </w:r>
    </w:p>
    <w:p w14:paraId="491BE8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九、财政拨款“三公”经费支出决算情况说明</w:t>
      </w:r>
    </w:p>
    <w:p w14:paraId="71C59F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（一）“三公”经费财政拨款支出决算总体情况说明</w:t>
      </w:r>
    </w:p>
    <w:p w14:paraId="77EF24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2023 年度“三公”经费财政拨款支出预算为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万元，支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出决算为0.21万元，完成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预算的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%。</w:t>
      </w:r>
    </w:p>
    <w:p w14:paraId="461C4E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（二）“三公”经费财政拨款支出决算具体情况说明</w:t>
      </w:r>
    </w:p>
    <w:p w14:paraId="5E06B3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1.公务接待费预算为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0.21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%；较2022年度减少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0.18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%。</w:t>
      </w:r>
    </w:p>
    <w:p w14:paraId="0B11D3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其他国内公务接待支出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0.21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万元。全年共接待国内来访团组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个、来宾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人次 。</w:t>
      </w:r>
    </w:p>
    <w:p w14:paraId="2B8FAC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十、关于 2023 年度绩效评价情况说明</w:t>
      </w:r>
    </w:p>
    <w:p w14:paraId="71BB4E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（一）绩效评价工作开展情况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绩效评价工作开展情况说明为：根据预算绩效管理要求，本部门组织对2023 年度一般公共预算项目支出全面开展绩效自评，其中，一级项目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个，二级项目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个，涉及资金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176.79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万元。</w:t>
      </w:r>
    </w:p>
    <w:p w14:paraId="755010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（二）项目绩效自评结果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项目绩效自评情况：根据年初设定的绩效目标，项目绩效自评得分为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2023年年初预算为216.3万元，实际支付176.79万元，完成预算的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</w:p>
    <w:p w14:paraId="7AE4A0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十一、其他重要事项情况说明</w:t>
      </w:r>
    </w:p>
    <w:p w14:paraId="6F756D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 一）机关运行经费执行情况说明</w:t>
      </w:r>
    </w:p>
    <w:p w14:paraId="72DAD3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2023年度机关运行经费支出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164.76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万元，较2022年度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增加55.77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增长51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主要原因为人员增加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 w14:paraId="7A53BD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（二）政府采购支出情况说明</w:t>
      </w:r>
    </w:p>
    <w:p w14:paraId="65D2F3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2023 年度政府采购支出总额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万元。</w:t>
      </w:r>
    </w:p>
    <w:p w14:paraId="2D118D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（三）国有资产占用情况说明</w:t>
      </w:r>
    </w:p>
    <w:p w14:paraId="5FEFF7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6" w:right="113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口岸经济局暂无车辆。 </w:t>
      </w:r>
    </w:p>
    <w:p w14:paraId="02A2CC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left="355" w:leftChars="169" w:right="113" w:firstLine="667" w:firstLineChars="201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</w:t>
      </w:r>
    </w:p>
    <w:p w14:paraId="26B326D9">
      <w:pPr>
        <w:jc w:val="center"/>
        <w:rPr>
          <w:rFonts w:hint="eastAsia" w:ascii="仿宋" w:hAnsi="仿宋" w:eastAsia="仿宋"/>
          <w:sz w:val="44"/>
        </w:rPr>
      </w:pPr>
      <w:r>
        <w:rPr>
          <w:rFonts w:hint="eastAsia" w:ascii="仿宋" w:hAnsi="仿宋" w:eastAsia="仿宋"/>
          <w:sz w:val="44"/>
        </w:rPr>
        <w:t>第四部分  名词解释</w:t>
      </w:r>
    </w:p>
    <w:p w14:paraId="24DC7966">
      <w:pPr>
        <w:ind w:firstLine="640" w:firstLineChars="200"/>
        <w:rPr>
          <w:rFonts w:hint="eastAsia" w:ascii="仿宋" w:hAnsi="仿宋" w:eastAsia="仿宋"/>
          <w:sz w:val="32"/>
        </w:rPr>
      </w:pPr>
    </w:p>
    <w:p w14:paraId="4E032DF1">
      <w:pPr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一、财政拨款收入：</w:t>
      </w:r>
      <w:r>
        <w:rPr>
          <w:rFonts w:hint="eastAsia" w:ascii="仿宋" w:hAnsi="仿宋" w:eastAsia="仿宋"/>
          <w:sz w:val="32"/>
        </w:rPr>
        <w:t>指单位从同级财政部门取得的财政预算资金。</w:t>
      </w:r>
    </w:p>
    <w:p w14:paraId="22D8B522">
      <w:pPr>
        <w:autoSpaceDN w:val="0"/>
        <w:spacing w:line="360" w:lineRule="auto"/>
        <w:ind w:firstLine="643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二、</w:t>
      </w:r>
      <w:r>
        <w:rPr>
          <w:rFonts w:ascii="仿宋" w:hAnsi="仿宋" w:eastAsia="仿宋"/>
          <w:b/>
          <w:bCs/>
          <w:sz w:val="32"/>
        </w:rPr>
        <w:t>基本支出：</w:t>
      </w:r>
      <w:r>
        <w:rPr>
          <w:rFonts w:hint="eastAsia" w:ascii="仿宋" w:hAnsi="仿宋" w:eastAsia="仿宋"/>
          <w:sz w:val="32"/>
        </w:rPr>
        <w:t>指单位为</w:t>
      </w:r>
      <w:r>
        <w:rPr>
          <w:rFonts w:ascii="仿宋" w:hAnsi="仿宋" w:eastAsia="仿宋"/>
          <w:sz w:val="32"/>
        </w:rPr>
        <w:t>保障</w:t>
      </w:r>
      <w:r>
        <w:rPr>
          <w:rFonts w:hint="eastAsia" w:ascii="仿宋" w:hAnsi="仿宋" w:eastAsia="仿宋"/>
          <w:sz w:val="32"/>
        </w:rPr>
        <w:t>其</w:t>
      </w:r>
      <w:r>
        <w:rPr>
          <w:rFonts w:ascii="仿宋" w:hAnsi="仿宋" w:eastAsia="仿宋"/>
          <w:sz w:val="32"/>
        </w:rPr>
        <w:t>机构正常运转、完成日常工作任务而发生的</w:t>
      </w:r>
      <w:r>
        <w:rPr>
          <w:rFonts w:hint="eastAsia" w:ascii="仿宋" w:hAnsi="仿宋" w:eastAsia="仿宋"/>
          <w:sz w:val="32"/>
        </w:rPr>
        <w:t>人员支出和公用支出</w:t>
      </w:r>
      <w:r>
        <w:rPr>
          <w:rFonts w:ascii="仿宋" w:hAnsi="仿宋" w:eastAsia="仿宋"/>
          <w:sz w:val="32"/>
        </w:rPr>
        <w:t>。</w:t>
      </w:r>
    </w:p>
    <w:p w14:paraId="2CC72F3F">
      <w:pPr>
        <w:autoSpaceDN w:val="0"/>
        <w:spacing w:line="360" w:lineRule="auto"/>
        <w:ind w:firstLine="643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32"/>
        </w:rPr>
        <w:t>、</w:t>
      </w:r>
      <w:r>
        <w:rPr>
          <w:rFonts w:ascii="仿宋" w:hAnsi="仿宋" w:eastAsia="仿宋"/>
          <w:b/>
          <w:bCs/>
          <w:sz w:val="32"/>
        </w:rPr>
        <w:t>项目支出：</w:t>
      </w:r>
      <w:r>
        <w:rPr>
          <w:rFonts w:hint="eastAsia" w:ascii="仿宋" w:hAnsi="仿宋" w:eastAsia="仿宋"/>
          <w:sz w:val="32"/>
        </w:rPr>
        <w:t>指单位为完成特</w:t>
      </w:r>
      <w:r>
        <w:rPr>
          <w:rFonts w:ascii="仿宋" w:hAnsi="仿宋" w:eastAsia="仿宋"/>
          <w:sz w:val="32"/>
        </w:rPr>
        <w:t>定行政任务</w:t>
      </w:r>
      <w:r>
        <w:rPr>
          <w:rFonts w:hint="eastAsia" w:ascii="仿宋" w:hAnsi="仿宋" w:eastAsia="仿宋"/>
          <w:sz w:val="32"/>
        </w:rPr>
        <w:t>和</w:t>
      </w:r>
      <w:r>
        <w:rPr>
          <w:rFonts w:ascii="仿宋" w:hAnsi="仿宋" w:eastAsia="仿宋"/>
          <w:sz w:val="32"/>
        </w:rPr>
        <w:t>事业发展目标</w:t>
      </w:r>
      <w:r>
        <w:rPr>
          <w:rFonts w:hint="eastAsia" w:ascii="仿宋" w:hAnsi="仿宋" w:eastAsia="仿宋"/>
          <w:sz w:val="32"/>
        </w:rPr>
        <w:t>在基本支出之外所</w:t>
      </w:r>
      <w:r>
        <w:rPr>
          <w:rFonts w:ascii="仿宋" w:hAnsi="仿宋" w:eastAsia="仿宋"/>
          <w:sz w:val="32"/>
        </w:rPr>
        <w:t>发生的支出。</w:t>
      </w:r>
    </w:p>
    <w:p w14:paraId="38C2C843">
      <w:pPr>
        <w:autoSpaceDN w:val="0"/>
        <w:spacing w:line="360" w:lineRule="auto"/>
        <w:ind w:firstLine="643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32"/>
        </w:rPr>
        <w:t>、“三公”经费：</w:t>
      </w:r>
      <w:r>
        <w:rPr>
          <w:rFonts w:hint="eastAsia" w:ascii="仿宋" w:hAnsi="仿宋" w:eastAsia="仿宋"/>
          <w:sz w:val="32"/>
        </w:rPr>
        <w:t>纳入省级财政预决算管理的“三公”经费，是指省级部门用财政拨款安排的因公出国（境）费、公务用车购置及运行费和公务接待费。是党政机关维持运转或完成特定工作任务所开支的相关支出，是政府行政开支的一部分。其中</w:t>
      </w:r>
      <w:r>
        <w:rPr>
          <w:rFonts w:ascii="仿宋" w:hAnsi="仿宋" w:eastAsia="仿宋"/>
          <w:sz w:val="32"/>
        </w:rPr>
        <w:t>公务接待费</w:t>
      </w:r>
      <w:r>
        <w:rPr>
          <w:rFonts w:hint="eastAsia" w:ascii="仿宋" w:hAnsi="仿宋" w:eastAsia="仿宋"/>
          <w:sz w:val="32"/>
        </w:rPr>
        <w:t>反映</w:t>
      </w:r>
      <w:r>
        <w:rPr>
          <w:rFonts w:ascii="仿宋" w:hAnsi="仿宋" w:eastAsia="仿宋"/>
          <w:sz w:val="32"/>
        </w:rPr>
        <w:t>单位按规定开支的各类公务接待（含外宾接待）</w:t>
      </w:r>
      <w:r>
        <w:rPr>
          <w:rFonts w:hint="eastAsia" w:ascii="仿宋" w:hAnsi="仿宋" w:eastAsia="仿宋"/>
          <w:sz w:val="32"/>
        </w:rPr>
        <w:t>支出</w:t>
      </w:r>
      <w:r>
        <w:rPr>
          <w:rFonts w:ascii="仿宋" w:hAnsi="仿宋" w:eastAsia="仿宋"/>
          <w:sz w:val="32"/>
        </w:rPr>
        <w:t>。</w:t>
      </w:r>
    </w:p>
    <w:p w14:paraId="31599D71">
      <w:pPr>
        <w:autoSpaceDN w:val="0"/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sz w:val="32"/>
        </w:rPr>
        <w:t>、机关运行经费：</w:t>
      </w:r>
      <w:r>
        <w:rPr>
          <w:rFonts w:hint="eastAsia" w:ascii="仿宋" w:hAnsi="仿宋" w:eastAsia="仿宋"/>
          <w:sz w:val="32"/>
        </w:rPr>
        <w:t>指为保障行政单位（含参照公务员法管理的事业单位）运行用于购买货物和服务的各项资金，包括办公及印刷费、邮电费、差旅费、会议费、日常维修费、专用材料及一般设备购置费以及其他费用。</w:t>
      </w:r>
    </w:p>
    <w:p w14:paraId="6FFE56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60" w:lineRule="exact"/>
        <w:ind w:right="113"/>
        <w:textAlignment w:val="baseline"/>
        <w:rPr>
          <w:rFonts w:hint="default" w:ascii="仿宋_GB2312" w:hAnsi="仿宋_GB2312" w:eastAsia="仿宋_GB2312" w:cs="仿宋_GB2312"/>
          <w:spacing w:val="6"/>
          <w:sz w:val="32"/>
          <w:szCs w:val="32"/>
        </w:rPr>
      </w:pPr>
    </w:p>
    <w:sectPr>
      <w:footerReference r:id="rId11" w:type="default"/>
      <w:pgSz w:w="11907" w:h="16839"/>
      <w:pgMar w:top="1431" w:right="1705" w:bottom="1153" w:left="1785" w:header="0" w:footer="96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B5C04"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750E2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750E2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C900D"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446D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B446D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AF775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16F1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316F1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47D29">
    <w:pPr>
      <w:spacing w:line="174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9F7B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fqQQ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M2E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ufqQ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9F7B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43C91">
    <w:pPr>
      <w:spacing w:line="176" w:lineRule="auto"/>
      <w:ind w:left="4127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849C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4849C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81D29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12F46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12F46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9775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73A3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573A3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7C788B"/>
    <w:multiLevelType w:val="singleLevel"/>
    <w:tmpl w:val="897C788B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B8195559"/>
    <w:multiLevelType w:val="singleLevel"/>
    <w:tmpl w:val="B81955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EEB1983"/>
    <w:multiLevelType w:val="singleLevel"/>
    <w:tmpl w:val="FEEB1983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E3YjBkNjA0MzU2MDYzMDU0MjJjODQ2MjljYTM1MGEifQ=="/>
  </w:docVars>
  <w:rsids>
    <w:rsidRoot w:val="00000000"/>
    <w:rsid w:val="031765AB"/>
    <w:rsid w:val="03AF0080"/>
    <w:rsid w:val="04927F95"/>
    <w:rsid w:val="05E57574"/>
    <w:rsid w:val="05EA4285"/>
    <w:rsid w:val="076E2E22"/>
    <w:rsid w:val="0B145F15"/>
    <w:rsid w:val="0EA00755"/>
    <w:rsid w:val="130D26F5"/>
    <w:rsid w:val="14085B02"/>
    <w:rsid w:val="16E22E2F"/>
    <w:rsid w:val="1C340C22"/>
    <w:rsid w:val="1C9A1CAF"/>
    <w:rsid w:val="1CD60C80"/>
    <w:rsid w:val="1CFE10B5"/>
    <w:rsid w:val="1F7D2EB6"/>
    <w:rsid w:val="20D2569E"/>
    <w:rsid w:val="20F600C6"/>
    <w:rsid w:val="2198535E"/>
    <w:rsid w:val="21DD2B60"/>
    <w:rsid w:val="2324183F"/>
    <w:rsid w:val="251701C5"/>
    <w:rsid w:val="2898713A"/>
    <w:rsid w:val="28F1538C"/>
    <w:rsid w:val="29057462"/>
    <w:rsid w:val="29BA1263"/>
    <w:rsid w:val="2D1670EB"/>
    <w:rsid w:val="2F316024"/>
    <w:rsid w:val="2FBB5ED0"/>
    <w:rsid w:val="2FFD0796"/>
    <w:rsid w:val="34AF3943"/>
    <w:rsid w:val="35191715"/>
    <w:rsid w:val="3E725E99"/>
    <w:rsid w:val="3FDC6F29"/>
    <w:rsid w:val="431E0A34"/>
    <w:rsid w:val="43655275"/>
    <w:rsid w:val="4CA702D1"/>
    <w:rsid w:val="533D0F63"/>
    <w:rsid w:val="5780080A"/>
    <w:rsid w:val="58AD2C08"/>
    <w:rsid w:val="598E008C"/>
    <w:rsid w:val="5E1A0C4E"/>
    <w:rsid w:val="61902E49"/>
    <w:rsid w:val="61FD4B71"/>
    <w:rsid w:val="63DD3261"/>
    <w:rsid w:val="67B6653F"/>
    <w:rsid w:val="67BB77DC"/>
    <w:rsid w:val="6C035C87"/>
    <w:rsid w:val="6E0B5BDA"/>
    <w:rsid w:val="6F970E48"/>
    <w:rsid w:val="70E1438C"/>
    <w:rsid w:val="7190700E"/>
    <w:rsid w:val="75B4584F"/>
    <w:rsid w:val="75DC52AA"/>
    <w:rsid w:val="76764BBA"/>
    <w:rsid w:val="77BA6C36"/>
    <w:rsid w:val="7B580807"/>
    <w:rsid w:val="7F26661B"/>
    <w:rsid w:val="7F622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link w:val="7"/>
    <w:qFormat/>
    <w:uiPriority w:val="0"/>
    <w:rPr>
      <w:rFonts w:eastAsia="宋体"/>
      <w:sz w:val="21"/>
      <w:szCs w:val="20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 Char"/>
    <w:basedOn w:val="1"/>
    <w:link w:val="6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8">
    <w:name w:val="page number"/>
    <w:basedOn w:val="6"/>
    <w:qFormat/>
    <w:uiPriority w:val="0"/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3155</Words>
  <Characters>3460</Characters>
  <TotalTime>6</TotalTime>
  <ScaleCrop>false</ScaleCrop>
  <LinksUpToDate>false</LinksUpToDate>
  <CharactersWithSpaces>3505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2024-08-07T08:54:00Z</dcterms:created>
  <dc:creator>王志强</dc:creator>
  <cp:lastModifiedBy>岩岩付</cp:lastModifiedBy>
  <cp:lastPrinted>2024-09-12T03:04:00Z</cp:lastPrinted>
  <dcterms:modified xsi:type="dcterms:W3CDTF">2024-09-19T03:06:34Z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2024-08-26T15:58:15Z</vt:filetime>
  </property>
  <property fmtid="{D5CDD505-2E9C-101B-9397-08002B2CF9AE}" pid="4" name="KSOProductBuildVer">
    <vt:lpwstr>2052-12.1.0.18276</vt:lpwstr>
  </property>
  <property fmtid="{D5CDD505-2E9C-101B-9397-08002B2CF9AE}" pid="5" name="ICV">
    <vt:lpwstr>7E01DC0E8CE94E3AB7CAA2DE0D665E2F_12</vt:lpwstr>
  </property>
</Properties>
</file>