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9342D8">
      <w:pPr>
        <w:spacing w:line="560" w:lineRule="exact"/>
        <w:jc w:val="center"/>
        <w:rPr>
          <w:rFonts w:hint="eastAsia" w:ascii="方正小标宋简体" w:hAnsi="方正小标宋简体" w:eastAsia="方正小标宋简体" w:cs="方正小标宋简体"/>
          <w:sz w:val="44"/>
          <w:szCs w:val="44"/>
        </w:rPr>
      </w:pPr>
      <w:bookmarkStart w:id="0" w:name="_GoBack"/>
      <w:r>
        <w:rPr>
          <w:rFonts w:hint="eastAsia" w:ascii="方正小标宋简体" w:hAnsi="方正小标宋简体" w:eastAsia="方正小标宋简体" w:cs="方正小标宋简体"/>
          <w:sz w:val="44"/>
          <w:szCs w:val="44"/>
        </w:rPr>
        <w:t>长春市“基金+补助”方式支持科技成果</w:t>
      </w:r>
    </w:p>
    <w:p w14:paraId="041B6311">
      <w:pPr>
        <w:spacing w:line="560" w:lineRule="exact"/>
        <w:jc w:val="center"/>
        <w:rPr>
          <w:rFonts w:hint="eastAsia" w:ascii="仿宋_GB2312" w:hAnsi="仿宋_GB2312" w:eastAsia="仿宋_GB2312" w:cs="仿宋_GB2312"/>
          <w:sz w:val="44"/>
          <w:szCs w:val="44"/>
        </w:rPr>
      </w:pPr>
      <w:r>
        <w:rPr>
          <w:rFonts w:hint="eastAsia" w:ascii="方正小标宋简体" w:hAnsi="方正小标宋简体" w:eastAsia="方正小标宋简体" w:cs="方正小标宋简体"/>
          <w:sz w:val="44"/>
          <w:szCs w:val="44"/>
        </w:rPr>
        <w:t>产业化项目实施细则（试行）</w:t>
      </w:r>
    </w:p>
    <w:bookmarkEnd w:id="0"/>
    <w:p w14:paraId="7709743E">
      <w:pPr>
        <w:spacing w:line="560" w:lineRule="exact"/>
        <w:jc w:val="center"/>
        <w:rPr>
          <w:rFonts w:hint="eastAsia" w:ascii="黑体" w:hAnsi="黑体" w:eastAsia="黑体" w:cs="黑体"/>
          <w:sz w:val="32"/>
          <w:szCs w:val="32"/>
        </w:rPr>
      </w:pPr>
    </w:p>
    <w:p w14:paraId="09FC9B80">
      <w:pPr>
        <w:spacing w:line="560" w:lineRule="exact"/>
        <w:jc w:val="center"/>
        <w:rPr>
          <w:rFonts w:ascii="仿宋_GB2312" w:hAnsi="仿宋_GB2312" w:eastAsia="仿宋_GB2312" w:cs="仿宋_GB2312"/>
          <w:sz w:val="32"/>
          <w:szCs w:val="32"/>
        </w:rPr>
      </w:pPr>
      <w:r>
        <w:rPr>
          <w:rFonts w:hint="eastAsia" w:ascii="黑体" w:hAnsi="黑体" w:eastAsia="黑体" w:cs="黑体"/>
          <w:sz w:val="32"/>
          <w:szCs w:val="32"/>
        </w:rPr>
        <w:t>第一章</w:t>
      </w:r>
      <w:r>
        <w:rPr>
          <w:rFonts w:hint="eastAsia" w:ascii="仿宋_GB2312" w:hAnsi="仿宋_GB2312" w:eastAsia="仿宋_GB2312" w:cs="仿宋_GB2312"/>
          <w:sz w:val="32"/>
          <w:szCs w:val="32"/>
        </w:rPr>
        <w:t xml:space="preserve"> </w:t>
      </w:r>
      <w:r>
        <w:rPr>
          <w:rFonts w:hint="eastAsia" w:ascii="黑体" w:hAnsi="黑体" w:eastAsia="黑体" w:cs="黑体"/>
          <w:sz w:val="32"/>
          <w:szCs w:val="32"/>
        </w:rPr>
        <w:t>总则</w:t>
      </w:r>
    </w:p>
    <w:p w14:paraId="32A10315">
      <w:pPr>
        <w:spacing w:line="560" w:lineRule="exact"/>
        <w:ind w:firstLine="640" w:firstLineChars="200"/>
        <w:rPr>
          <w:rFonts w:hint="eastAsia" w:ascii="仿宋_GB2312" w:hAnsi="仿宋_GB2312" w:eastAsia="仿宋_GB2312" w:cs="仿宋_GB2312"/>
          <w:sz w:val="32"/>
          <w:szCs w:val="32"/>
        </w:rPr>
      </w:pPr>
      <w:r>
        <w:rPr>
          <w:rFonts w:hint="eastAsia" w:ascii="黑体" w:hAnsi="黑体" w:eastAsia="黑体" w:cs="黑体"/>
          <w:sz w:val="32"/>
          <w:szCs w:val="32"/>
        </w:rPr>
        <w:t>第一条</w:t>
      </w:r>
      <w:r>
        <w:rPr>
          <w:rFonts w:hint="eastAsia" w:ascii="仿宋_GB2312" w:hAnsi="仿宋_GB2312" w:eastAsia="仿宋_GB2312" w:cs="仿宋_GB2312"/>
          <w:sz w:val="32"/>
          <w:szCs w:val="32"/>
        </w:rPr>
        <w:t xml:space="preserve"> 为加快推动具有重大科技创新的科技成果产业化项目在长落地转化，根据《关于科技创新推动长春高质量发展的若干政策》（长办发〔2025〕1号），制定本细则。</w:t>
      </w:r>
    </w:p>
    <w:p w14:paraId="537C1205">
      <w:pPr>
        <w:spacing w:line="560" w:lineRule="exact"/>
        <w:ind w:firstLine="640" w:firstLineChars="200"/>
        <w:rPr>
          <w:rFonts w:ascii="仿宋_GB2312" w:hAnsi="仿宋_GB2312" w:eastAsia="仿宋_GB2312" w:cs="仿宋_GB2312"/>
          <w:sz w:val="32"/>
          <w:szCs w:val="32"/>
        </w:rPr>
      </w:pPr>
      <w:r>
        <w:rPr>
          <w:rFonts w:hint="eastAsia" w:ascii="黑体" w:hAnsi="黑体" w:eastAsia="黑体" w:cs="黑体"/>
          <w:sz w:val="32"/>
          <w:szCs w:val="32"/>
        </w:rPr>
        <w:t>第二条</w:t>
      </w:r>
      <w:r>
        <w:rPr>
          <w:rFonts w:hint="eastAsia" w:ascii="仿宋_GB2312" w:hAnsi="仿宋_GB2312" w:eastAsia="仿宋_GB2312" w:cs="仿宋_GB2312"/>
          <w:sz w:val="32"/>
          <w:szCs w:val="32"/>
        </w:rPr>
        <w:t xml:space="preserve"> 科技成果产业化项目，是指高校院所中技术先进性好、成果成熟度高、市场转化前景广、社会和经济效益重大的科技成果产业化项目。</w:t>
      </w:r>
    </w:p>
    <w:p w14:paraId="1B2B493F">
      <w:pPr>
        <w:spacing w:line="560" w:lineRule="exact"/>
        <w:ind w:firstLine="640" w:firstLineChars="200"/>
        <w:rPr>
          <w:rFonts w:hint="eastAsia" w:ascii="仿宋_GB2312" w:hAnsi="仿宋_GB2312" w:eastAsia="仿宋_GB2312" w:cs="仿宋_GB2312"/>
          <w:sz w:val="32"/>
          <w:szCs w:val="32"/>
        </w:rPr>
      </w:pPr>
      <w:r>
        <w:rPr>
          <w:rFonts w:hint="eastAsia" w:ascii="黑体" w:hAnsi="黑体" w:eastAsia="黑体" w:cs="黑体"/>
          <w:sz w:val="32"/>
          <w:szCs w:val="32"/>
        </w:rPr>
        <w:t>第三条</w:t>
      </w:r>
      <w:r>
        <w:rPr>
          <w:rFonts w:hint="eastAsia" w:ascii="仿宋_GB2312" w:hAnsi="仿宋_GB2312" w:eastAsia="仿宋_GB2312" w:cs="仿宋_GB2312"/>
          <w:sz w:val="32"/>
          <w:szCs w:val="32"/>
        </w:rPr>
        <w:t xml:space="preserve"> “基金+补助”方式即采取无偿资助与基金投资共同出资相结合的方式。长春市科学技术局（以下简称市科技局）以“无偿资助”的形式将市级财政科技专项补助资金拨付至项目承担单位（高校院所项目团队在长春创办的企业，以下简称项目企业）；长春未来种子基金或其指定的受托机构（以下简称管理机构）对项目团队创办的企业进行股权投资，并按照种子基金管理相关规定执行。重大项目可以连续支持。</w:t>
      </w:r>
    </w:p>
    <w:p w14:paraId="1158796B">
      <w:pPr>
        <w:spacing w:line="560" w:lineRule="exact"/>
        <w:ind w:firstLine="640" w:firstLineChars="200"/>
        <w:jc w:val="center"/>
        <w:rPr>
          <w:rFonts w:hint="eastAsia" w:ascii="黑体" w:hAnsi="黑体" w:eastAsia="黑体" w:cs="黑体"/>
          <w:sz w:val="32"/>
          <w:szCs w:val="32"/>
        </w:rPr>
      </w:pPr>
      <w:r>
        <w:rPr>
          <w:rFonts w:hint="eastAsia" w:ascii="黑体" w:hAnsi="黑体" w:eastAsia="黑体" w:cs="黑体"/>
          <w:sz w:val="32"/>
          <w:szCs w:val="32"/>
        </w:rPr>
        <w:t>第二章 申报对象和条件</w:t>
      </w:r>
    </w:p>
    <w:p w14:paraId="64852B7C">
      <w:pPr>
        <w:spacing w:line="560" w:lineRule="exact"/>
        <w:ind w:firstLine="640" w:firstLineChars="200"/>
        <w:rPr>
          <w:rFonts w:hint="eastAsia" w:ascii="仿宋_GB2312" w:hAnsi="仿宋_GB2312" w:eastAsia="仿宋_GB2312" w:cs="仿宋_GB2312"/>
          <w:color w:val="000000"/>
          <w:sz w:val="32"/>
          <w:szCs w:val="32"/>
        </w:rPr>
      </w:pPr>
      <w:r>
        <w:rPr>
          <w:rFonts w:hint="eastAsia" w:ascii="黑体" w:hAnsi="黑体" w:eastAsia="黑体" w:cs="黑体"/>
          <w:color w:val="000000"/>
          <w:sz w:val="32"/>
          <w:szCs w:val="32"/>
        </w:rPr>
        <w:t xml:space="preserve">第四条 </w:t>
      </w:r>
      <w:r>
        <w:rPr>
          <w:rFonts w:hint="eastAsia" w:ascii="仿宋_GB2312" w:hAnsi="仿宋_GB2312" w:eastAsia="仿宋_GB2312" w:cs="仿宋_GB2312"/>
          <w:color w:val="000000"/>
          <w:sz w:val="32"/>
          <w:szCs w:val="32"/>
        </w:rPr>
        <w:t>科技成果产业化项目申报主体应为高校院所科研团队或其在长春创办的企业，应符合下列条件：</w:t>
      </w:r>
    </w:p>
    <w:p w14:paraId="44DDABDA">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如高校院所科研团队已成立企业，科研团队在企业持股应不低于30%（含），且企业实际运营时间原则上不超过5年，生物医药领域不超过10年，企业注册资本须现金实缴100万元以上；如项目申报时，高校院所科研团队</w:t>
      </w:r>
      <w:r>
        <w:rPr>
          <w:rFonts w:hint="eastAsia" w:ascii="仿宋_GB2312" w:hAnsi="仿宋_GB2312" w:eastAsia="仿宋_GB2312" w:cs="仿宋_GB2312"/>
          <w:color w:val="000000"/>
          <w:sz w:val="32"/>
          <w:szCs w:val="32"/>
          <w:highlight w:val="yellow"/>
        </w:rPr>
        <w:t>未</w:t>
      </w:r>
      <w:r>
        <w:rPr>
          <w:rFonts w:hint="eastAsia" w:ascii="仿宋_GB2312" w:hAnsi="仿宋_GB2312" w:eastAsia="仿宋_GB2312" w:cs="仿宋_GB2312"/>
          <w:color w:val="000000"/>
          <w:sz w:val="32"/>
          <w:szCs w:val="32"/>
        </w:rPr>
        <w:t>成立企业，在项目确定立项、签订任务书和股权投资协议前，科研团队须成立企业，且在企业持股应不低于30%（含），企业注册资本须现金实缴100万元以上；</w:t>
      </w:r>
    </w:p>
    <w:p w14:paraId="4AC54193">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2.实施产业化的项目成果来源须为高校院所科技成果，</w:t>
      </w:r>
      <w:r>
        <w:rPr>
          <w:rFonts w:hint="eastAsia" w:ascii="仿宋_GB2312" w:hAnsi="仿宋_GB2312" w:eastAsia="仿宋_GB2312" w:cs="仿宋_GB2312"/>
          <w:color w:val="000000"/>
          <w:sz w:val="32"/>
          <w:szCs w:val="32"/>
          <w:highlight w:val="yellow"/>
        </w:rPr>
        <w:t>科技成果</w:t>
      </w:r>
      <w:r>
        <w:rPr>
          <w:rFonts w:hint="eastAsia" w:ascii="仿宋_GB2312" w:hAnsi="仿宋_GB2312" w:eastAsia="仿宋_GB2312" w:cs="仿宋_GB2312"/>
          <w:color w:val="000000"/>
          <w:sz w:val="32"/>
          <w:szCs w:val="32"/>
        </w:rPr>
        <w:t>转移到企业形式包括技术转让、技术许可（</w:t>
      </w:r>
      <w:r>
        <w:rPr>
          <w:rFonts w:hint="eastAsia" w:ascii="仿宋_GB2312" w:hAnsi="仿宋_GB2312" w:eastAsia="仿宋_GB2312" w:cs="仿宋_GB2312"/>
          <w:color w:val="000000"/>
          <w:sz w:val="32"/>
          <w:szCs w:val="32"/>
          <w:highlight w:val="yellow"/>
        </w:rPr>
        <w:t>许可时间原则上不少于5年</w:t>
      </w:r>
      <w:r>
        <w:rPr>
          <w:rFonts w:hint="eastAsia" w:ascii="仿宋_GB2312" w:hAnsi="仿宋_GB2312" w:eastAsia="仿宋_GB2312" w:cs="仿宋_GB2312"/>
          <w:color w:val="000000"/>
          <w:sz w:val="32"/>
          <w:szCs w:val="32"/>
        </w:rPr>
        <w:t>）或作价投资方式以无形资产入股创办企业；</w:t>
      </w:r>
    </w:p>
    <w:p w14:paraId="7E8A0953">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3.项目企业在项目相关领域具有较强的科研实力、稳定的科研队伍，有意愿、有能力实施科技成果产业化落地；</w:t>
      </w:r>
    </w:p>
    <w:p w14:paraId="0B9B4F0F">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4.知识产权权属清晰，项目企业与高校院所项目团队在科技成果产业化落地方面达成共识；</w:t>
      </w:r>
    </w:p>
    <w:p w14:paraId="42DA274F">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5.项目企业社会信用良好，近三年内无不良社会信用记录、无违反科研诚信或重大违法违规行为；</w:t>
      </w:r>
    </w:p>
    <w:p w14:paraId="0CC57F6B">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6.项目负责人具有良好的科研道德和社会诚信，近三年内无科研失信行为、无不良社会信用记录。</w:t>
      </w:r>
    </w:p>
    <w:p w14:paraId="648CB50F">
      <w:pPr>
        <w:spacing w:line="560" w:lineRule="exact"/>
        <w:jc w:val="center"/>
        <w:rPr>
          <w:rFonts w:hint="eastAsia" w:ascii="黑体" w:hAnsi="黑体" w:eastAsia="黑体" w:cs="黑体"/>
          <w:sz w:val="32"/>
          <w:szCs w:val="32"/>
        </w:rPr>
      </w:pPr>
      <w:r>
        <w:rPr>
          <w:rFonts w:hint="eastAsia" w:ascii="黑体" w:hAnsi="黑体" w:eastAsia="黑体" w:cs="黑体"/>
          <w:sz w:val="32"/>
          <w:szCs w:val="32"/>
        </w:rPr>
        <w:t>第三章 实施流程</w:t>
      </w:r>
    </w:p>
    <w:p w14:paraId="06A8DBED">
      <w:pPr>
        <w:spacing w:line="560" w:lineRule="exact"/>
        <w:ind w:firstLine="640" w:firstLineChars="200"/>
        <w:rPr>
          <w:rFonts w:hint="eastAsia" w:ascii="仿宋_GB2312" w:hAnsi="仿宋_GB2312" w:eastAsia="仿宋_GB2312" w:cs="仿宋_GB2312"/>
          <w:sz w:val="32"/>
          <w:szCs w:val="32"/>
        </w:rPr>
      </w:pPr>
      <w:r>
        <w:rPr>
          <w:rFonts w:hint="eastAsia" w:ascii="黑体" w:hAnsi="黑体" w:eastAsia="黑体" w:cs="黑体"/>
          <w:sz w:val="32"/>
          <w:szCs w:val="32"/>
        </w:rPr>
        <w:t>第五条</w:t>
      </w:r>
      <w:r>
        <w:rPr>
          <w:rFonts w:hint="eastAsia" w:ascii="仿宋_GB2312" w:hAnsi="仿宋_GB2312" w:eastAsia="仿宋_GB2312" w:cs="仿宋_GB2312"/>
          <w:sz w:val="32"/>
          <w:szCs w:val="32"/>
        </w:rPr>
        <w:t xml:space="preserve"> 市科技局按照“成熟一个、启动一个或成熟一批、启动一批”的原则，组织实施“基金+补助”方式支持科技成果产业化项目工作。实施流程主要包括项目申报、项目初审、项目复审、项目立项、项目实施、项目管理、项目验收。</w:t>
      </w:r>
    </w:p>
    <w:p w14:paraId="3B99720D">
      <w:pPr>
        <w:spacing w:line="560" w:lineRule="exact"/>
        <w:ind w:firstLine="640" w:firstLineChars="200"/>
        <w:rPr>
          <w:rFonts w:ascii="仿宋_GB2312" w:hAnsi="仿宋_GB2312" w:eastAsia="仿宋_GB2312" w:cs="仿宋_GB2312"/>
          <w:color w:val="000000"/>
          <w:sz w:val="32"/>
          <w:szCs w:val="32"/>
        </w:rPr>
      </w:pPr>
      <w:r>
        <w:rPr>
          <w:rFonts w:hint="eastAsia" w:ascii="黑体" w:hAnsi="黑体" w:eastAsia="黑体" w:cs="黑体"/>
          <w:color w:val="000000"/>
          <w:sz w:val="32"/>
          <w:szCs w:val="32"/>
        </w:rPr>
        <w:t>第六条</w:t>
      </w:r>
      <w:r>
        <w:rPr>
          <w:rFonts w:hint="eastAsia" w:ascii="仿宋_GB2312" w:hAnsi="仿宋_GB2312" w:eastAsia="仿宋_GB2312" w:cs="仿宋_GB2312"/>
          <w:color w:val="000000"/>
          <w:sz w:val="32"/>
          <w:szCs w:val="32"/>
        </w:rPr>
        <w:t xml:space="preserve"> 项目申报。市科技局面向社会发布科技成果产业化项目申报指南，组织项目申报。</w:t>
      </w:r>
    </w:p>
    <w:p w14:paraId="6417C4E6">
      <w:pPr>
        <w:spacing w:line="560" w:lineRule="exact"/>
        <w:ind w:firstLine="640" w:firstLineChars="200"/>
        <w:rPr>
          <w:rFonts w:hint="eastAsia" w:ascii="仿宋_GB2312" w:hAnsi="仿宋_GB2312" w:eastAsia="仿宋_GB2312" w:cs="仿宋_GB2312"/>
          <w:color w:val="000000"/>
          <w:sz w:val="32"/>
          <w:szCs w:val="32"/>
        </w:rPr>
      </w:pPr>
      <w:r>
        <w:rPr>
          <w:rFonts w:hint="eastAsia" w:ascii="黑体" w:hAnsi="黑体" w:eastAsia="黑体" w:cs="黑体"/>
          <w:color w:val="000000"/>
          <w:sz w:val="32"/>
          <w:szCs w:val="32"/>
        </w:rPr>
        <w:t>第七条</w:t>
      </w:r>
      <w:r>
        <w:rPr>
          <w:rFonts w:hint="eastAsia" w:ascii="仿宋_GB2312" w:hAnsi="仿宋_GB2312" w:eastAsia="仿宋_GB2312" w:cs="仿宋_GB2312"/>
          <w:color w:val="000000"/>
          <w:sz w:val="32"/>
          <w:szCs w:val="32"/>
        </w:rPr>
        <w:t xml:space="preserve"> 项目初审。市科技局对申报项目进行初审，对通过初审的项目，经市科技局党组会审议通过后，确定通过初审项目名单。</w:t>
      </w:r>
    </w:p>
    <w:p w14:paraId="615A25ED">
      <w:pPr>
        <w:spacing w:line="560" w:lineRule="exact"/>
        <w:ind w:firstLine="640" w:firstLineChars="200"/>
        <w:rPr>
          <w:rFonts w:hint="eastAsia" w:ascii="仿宋_GB2312" w:hAnsi="仿宋_GB2312" w:eastAsia="仿宋_GB2312" w:cs="仿宋_GB2312"/>
          <w:color w:val="000000"/>
          <w:sz w:val="32"/>
          <w:szCs w:val="32"/>
        </w:rPr>
      </w:pPr>
      <w:r>
        <w:rPr>
          <w:rFonts w:hint="eastAsia" w:ascii="黑体" w:hAnsi="黑体" w:eastAsia="黑体" w:cs="黑体"/>
          <w:color w:val="000000"/>
          <w:sz w:val="32"/>
          <w:szCs w:val="32"/>
        </w:rPr>
        <w:t>第八条</w:t>
      </w:r>
      <w:r>
        <w:rPr>
          <w:rFonts w:hint="eastAsia" w:ascii="仿宋_GB2312" w:hAnsi="仿宋_GB2312" w:eastAsia="仿宋_GB2312" w:cs="仿宋_GB2312"/>
          <w:color w:val="000000"/>
          <w:sz w:val="32"/>
          <w:szCs w:val="32"/>
        </w:rPr>
        <w:t xml:space="preserve"> 项目复审。市科技局对通过初审的项目进行调查研究，管理机构同步开展调研论证，采取项目团队现场答辩的方式召开专家论证会，形成专家意见。</w:t>
      </w:r>
    </w:p>
    <w:p w14:paraId="73F86848">
      <w:pPr>
        <w:spacing w:line="560" w:lineRule="exact"/>
        <w:ind w:firstLine="640" w:firstLineChars="200"/>
        <w:rPr>
          <w:rFonts w:hint="eastAsia" w:ascii="仿宋_GB2312" w:hAnsi="仿宋_GB2312" w:eastAsia="仿宋_GB2312" w:cs="仿宋_GB2312"/>
          <w:color w:val="FF0000"/>
          <w:sz w:val="32"/>
          <w:szCs w:val="32"/>
        </w:rPr>
      </w:pPr>
      <w:r>
        <w:rPr>
          <w:rFonts w:hint="eastAsia" w:ascii="黑体" w:hAnsi="黑体" w:eastAsia="黑体" w:cs="黑体"/>
          <w:color w:val="000000"/>
          <w:sz w:val="32"/>
          <w:szCs w:val="32"/>
        </w:rPr>
        <w:t>第九条</w:t>
      </w:r>
      <w:r>
        <w:rPr>
          <w:rFonts w:hint="eastAsia" w:ascii="仿宋_GB2312" w:hAnsi="仿宋_GB2312" w:eastAsia="仿宋_GB2312" w:cs="仿宋_GB2312"/>
          <w:color w:val="000000"/>
          <w:sz w:val="32"/>
          <w:szCs w:val="32"/>
        </w:rPr>
        <w:t xml:space="preserve"> 项目立项。市科技局党组根据专家复审意见和管理机构投资决策意见，确定拟支持立项项目名单，面向社会公示并组织实施。</w:t>
      </w:r>
    </w:p>
    <w:p w14:paraId="076B95A0">
      <w:pPr>
        <w:pStyle w:val="4"/>
        <w:spacing w:before="0" w:beforeAutospacing="0" w:after="0" w:afterAutospacing="0" w:line="560" w:lineRule="exact"/>
        <w:ind w:firstLine="640" w:firstLineChars="200"/>
        <w:jc w:val="both"/>
        <w:rPr>
          <w:rFonts w:hint="eastAsia" w:ascii="仿宋_GB2312" w:hAnsi="仿宋_GB2312" w:eastAsia="仿宋_GB2312" w:cs="仿宋_GB2312"/>
          <w:sz w:val="32"/>
          <w:szCs w:val="32"/>
        </w:rPr>
      </w:pPr>
      <w:r>
        <w:rPr>
          <w:rFonts w:hint="eastAsia" w:ascii="黑体" w:hAnsi="黑体" w:eastAsia="黑体" w:cs="黑体"/>
          <w:kern w:val="2"/>
          <w:sz w:val="32"/>
          <w:szCs w:val="32"/>
        </w:rPr>
        <w:t>第十一条</w:t>
      </w:r>
      <w:r>
        <w:rPr>
          <w:rFonts w:hint="eastAsia" w:ascii="仿宋_GB2312" w:hAnsi="仿宋_GB2312" w:eastAsia="仿宋_GB2312" w:cs="仿宋_GB2312"/>
          <w:sz w:val="32"/>
          <w:szCs w:val="32"/>
        </w:rPr>
        <w:t xml:space="preserve"> 项目实施。</w:t>
      </w:r>
    </w:p>
    <w:p w14:paraId="204B69CD">
      <w:pPr>
        <w:pStyle w:val="4"/>
        <w:spacing w:before="0" w:beforeAutospacing="0" w:after="0" w:afterAutospacing="0" w:line="560"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财政拨款部分。由市科技局与项目企业签订任务书，任务书中明确项目执行期内的项目技术指标、经济指标、研发团队、里程碑节点指标、研发任务经费预算和拨付方式等。项目执行期为2年（经申请可适当延长），项目立项后，拨付70%补助资金，项目验收通过后，拨付剩余尾款。</w:t>
      </w:r>
    </w:p>
    <w:p w14:paraId="41BEECF5">
      <w:pPr>
        <w:pStyle w:val="4"/>
        <w:spacing w:before="0" w:beforeAutospacing="0" w:after="0" w:afterAutospacing="0" w:line="560"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（二）基金投资部分。由管理机构按照种子基金管理相关规定进行投资。</w:t>
      </w:r>
    </w:p>
    <w:p w14:paraId="06DCF27E">
      <w:pPr>
        <w:pStyle w:val="4"/>
        <w:spacing w:before="0" w:beforeAutospacing="0" w:after="0" w:afterAutospacing="0" w:line="560" w:lineRule="exact"/>
        <w:ind w:firstLine="640" w:firstLineChars="200"/>
        <w:jc w:val="both"/>
        <w:rPr>
          <w:rFonts w:ascii="仿宋_GB2312" w:hAnsi="仿宋_GB2312" w:eastAsia="仿宋_GB2312" w:cs="仿宋_GB2312"/>
          <w:sz w:val="32"/>
          <w:szCs w:val="32"/>
        </w:rPr>
      </w:pPr>
      <w:r>
        <w:rPr>
          <w:rFonts w:hint="eastAsia" w:ascii="黑体" w:hAnsi="黑体" w:eastAsia="黑体" w:cs="黑体"/>
          <w:kern w:val="2"/>
          <w:sz w:val="32"/>
          <w:szCs w:val="32"/>
        </w:rPr>
        <w:t>第十二条</w:t>
      </w:r>
      <w:r>
        <w:rPr>
          <w:rFonts w:hint="eastAsia" w:ascii="仿宋_GB2312" w:hAnsi="仿宋_GB2312" w:eastAsia="仿宋_GB2312" w:cs="仿宋_GB2312"/>
          <w:sz w:val="32"/>
          <w:szCs w:val="32"/>
        </w:rPr>
        <w:t xml:space="preserve"> 项目管理。</w:t>
      </w:r>
    </w:p>
    <w:p w14:paraId="15456B9B">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财政拨款的项目管理。市科技局按照项目任务书，开展项目管理，项目执行期满后，开展结题验收。对项目研究开发阶段目标任务未能实现的、违规使用项目资金的，可对项目实施缓拨经费、中止项目。项目实施期内发生研发目标变更、经费预算调整、核心团队人员更换等重大事项，项目企业应及时向市科技局报批。</w:t>
      </w:r>
    </w:p>
    <w:p w14:paraId="0E34F541">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（二）基金投资的项目管理。管理机构按种子基金管理相关规定进行管理。</w:t>
      </w:r>
    </w:p>
    <w:p w14:paraId="702EBDC9">
      <w:pPr>
        <w:spacing w:line="560" w:lineRule="exact"/>
        <w:ind w:firstLine="640" w:firstLineChars="200"/>
        <w:rPr>
          <w:rFonts w:ascii="仿宋_GB2312" w:hAnsi="仿宋_GB2312" w:eastAsia="仿宋_GB2312" w:cs="仿宋_GB2312"/>
          <w:sz w:val="32"/>
          <w:szCs w:val="32"/>
        </w:rPr>
      </w:pPr>
      <w:r>
        <w:rPr>
          <w:rFonts w:hint="eastAsia" w:ascii="黑体" w:hAnsi="黑体" w:eastAsia="黑体" w:cs="黑体"/>
          <w:sz w:val="32"/>
          <w:szCs w:val="32"/>
        </w:rPr>
        <w:t>第十三条</w:t>
      </w:r>
      <w:r>
        <w:rPr>
          <w:rFonts w:hint="eastAsia" w:ascii="仿宋_GB2312" w:hAnsi="仿宋_GB2312" w:eastAsia="仿宋_GB2312" w:cs="仿宋_GB2312"/>
          <w:sz w:val="32"/>
          <w:szCs w:val="32"/>
        </w:rPr>
        <w:t xml:space="preserve"> 项目验收。</w:t>
      </w:r>
      <w:r>
        <w:rPr>
          <w:rFonts w:hint="eastAsia" w:ascii="仿宋_GB2312" w:hAnsi="仿宋_GB2312" w:eastAsia="仿宋_GB2312" w:cs="仿宋_GB2312"/>
          <w:sz w:val="32"/>
          <w:szCs w:val="32"/>
          <w:highlight w:val="yellow"/>
        </w:rPr>
        <w:t>针对财政拨款部分，在项目执行期满后，市科技局组织专家按照项目任务书约定内容开展验收，根据验收结论作出如下处理</w:t>
      </w:r>
      <w:r>
        <w:rPr>
          <w:rFonts w:hint="eastAsia" w:ascii="仿宋_GB2312" w:hAnsi="仿宋_GB2312" w:eastAsia="仿宋_GB2312" w:cs="仿宋_GB2312"/>
          <w:sz w:val="32"/>
          <w:szCs w:val="32"/>
        </w:rPr>
        <w:t>：</w:t>
      </w:r>
    </w:p>
    <w:p w14:paraId="6A4BDDEE">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1.验收结论为“通过验收”的项目，拨付剩余资金尾款；</w:t>
      </w:r>
    </w:p>
    <w:p w14:paraId="5B60EC59">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2.验收结论为“结题”的项目，不再拨付剩余资金尾款，结余资金原渠道收回，项目负责人在项目验收后1年内不得作为负责人申报长春市科技发展计划项目；</w:t>
      </w:r>
    </w:p>
    <w:p w14:paraId="454052E8">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3.验收结论为“不通过验收”的项目，不再拨付剩余资金尾款，结余资金原渠道收回，项目负责人在项目验收后3年内不得再次承担、参与长春市科技发展计划项目。</w:t>
      </w:r>
    </w:p>
    <w:p w14:paraId="63EA1584">
      <w:pPr>
        <w:spacing w:line="560" w:lineRule="exact"/>
        <w:jc w:val="center"/>
        <w:rPr>
          <w:rFonts w:hint="eastAsia" w:ascii="黑体" w:hAnsi="黑体" w:eastAsia="黑体" w:cs="黑体"/>
          <w:sz w:val="32"/>
          <w:szCs w:val="32"/>
        </w:rPr>
      </w:pPr>
      <w:r>
        <w:rPr>
          <w:rFonts w:hint="eastAsia" w:ascii="黑体" w:hAnsi="黑体" w:eastAsia="黑体" w:cs="黑体"/>
          <w:sz w:val="32"/>
          <w:szCs w:val="32"/>
        </w:rPr>
        <w:t>第四章</w:t>
      </w:r>
      <w:r>
        <w:rPr>
          <w:rFonts w:hint="eastAsia" w:ascii="仿宋_GB2312" w:hAnsi="仿宋_GB2312" w:eastAsia="仿宋_GB2312" w:cs="仿宋_GB2312"/>
          <w:sz w:val="32"/>
          <w:szCs w:val="32"/>
        </w:rPr>
        <w:t xml:space="preserve"> </w:t>
      </w:r>
      <w:r>
        <w:rPr>
          <w:rFonts w:hint="eastAsia" w:ascii="黑体" w:hAnsi="黑体" w:eastAsia="黑体" w:cs="黑体"/>
          <w:sz w:val="32"/>
          <w:szCs w:val="32"/>
        </w:rPr>
        <w:t>经费管理</w:t>
      </w:r>
    </w:p>
    <w:p w14:paraId="64EF85E5">
      <w:pPr>
        <w:spacing w:line="560" w:lineRule="exact"/>
        <w:ind w:firstLine="640" w:firstLineChars="200"/>
        <w:rPr>
          <w:rFonts w:hint="eastAsia" w:ascii="仿宋_GB2312" w:hAnsi="仿宋_GB2312" w:eastAsia="仿宋_GB2312" w:cs="仿宋_GB2312"/>
          <w:sz w:val="32"/>
          <w:szCs w:val="32"/>
        </w:rPr>
      </w:pPr>
      <w:r>
        <w:rPr>
          <w:rFonts w:hint="eastAsia" w:ascii="黑体" w:hAnsi="黑体" w:eastAsia="黑体" w:cs="黑体"/>
          <w:sz w:val="32"/>
          <w:szCs w:val="32"/>
        </w:rPr>
        <w:t>第十四条</w:t>
      </w:r>
      <w:r>
        <w:rPr>
          <w:rFonts w:hint="eastAsia" w:ascii="仿宋_GB2312" w:hAnsi="仿宋_GB2312" w:eastAsia="仿宋_GB2312" w:cs="仿宋_GB2312"/>
          <w:sz w:val="32"/>
          <w:szCs w:val="32"/>
        </w:rPr>
        <w:t xml:space="preserve"> 针对单个项目，财政拨款和基金投资合计支持金额最高不超过1000万元，原则上财政拨款额度不超过基金投资额度。</w:t>
      </w:r>
    </w:p>
    <w:p w14:paraId="77C02AF9">
      <w:pPr>
        <w:spacing w:line="560" w:lineRule="exact"/>
        <w:ind w:firstLine="640" w:firstLineChars="200"/>
        <w:rPr>
          <w:rFonts w:hint="eastAsia" w:ascii="仿宋_GB2312" w:hAnsi="仿宋_GB2312" w:eastAsia="仿宋_GB2312" w:cs="仿宋_GB2312"/>
          <w:sz w:val="32"/>
          <w:szCs w:val="32"/>
        </w:rPr>
      </w:pPr>
      <w:r>
        <w:rPr>
          <w:rFonts w:hint="eastAsia" w:ascii="黑体" w:hAnsi="黑体" w:eastAsia="黑体" w:cs="黑体"/>
          <w:sz w:val="32"/>
          <w:szCs w:val="32"/>
        </w:rPr>
        <w:t>第十五条</w:t>
      </w:r>
      <w:r>
        <w:rPr>
          <w:rFonts w:hint="eastAsia" w:ascii="仿宋_GB2312" w:hAnsi="仿宋_GB2312" w:eastAsia="仿宋_GB2312" w:cs="仿宋_GB2312"/>
          <w:sz w:val="32"/>
          <w:szCs w:val="32"/>
        </w:rPr>
        <w:t xml:space="preserve"> 项目验收结题后，对</w:t>
      </w:r>
      <w:r>
        <w:rPr>
          <w:rFonts w:ascii="仿宋_GB2312" w:hAnsi="仿宋_GB2312" w:eastAsia="仿宋_GB2312" w:cs="仿宋_GB2312"/>
          <w:sz w:val="32"/>
          <w:szCs w:val="32"/>
        </w:rPr>
        <w:t>超额完成</w:t>
      </w:r>
      <w:r>
        <w:rPr>
          <w:rFonts w:hint="eastAsia" w:ascii="仿宋_GB2312" w:hAnsi="仿宋_GB2312" w:eastAsia="仿宋_GB2312" w:cs="仿宋_GB2312"/>
          <w:sz w:val="32"/>
          <w:szCs w:val="32"/>
        </w:rPr>
        <w:t>成果转化任务</w:t>
      </w:r>
      <w:r>
        <w:rPr>
          <w:rFonts w:ascii="仿宋_GB2312" w:hAnsi="仿宋_GB2312" w:eastAsia="仿宋_GB2312" w:cs="仿宋_GB2312"/>
          <w:sz w:val="32"/>
          <w:szCs w:val="32"/>
        </w:rPr>
        <w:t>及</w:t>
      </w:r>
      <w:r>
        <w:rPr>
          <w:rFonts w:hint="eastAsia" w:ascii="仿宋_GB2312" w:hAnsi="仿宋_GB2312" w:eastAsia="仿宋_GB2312" w:cs="仿宋_GB2312"/>
          <w:sz w:val="32"/>
          <w:szCs w:val="32"/>
        </w:rPr>
        <w:t>对长春经济社会发展具有重要带动作用的项目，</w:t>
      </w:r>
      <w:r>
        <w:rPr>
          <w:rFonts w:ascii="仿宋_GB2312" w:hAnsi="仿宋_GB2312" w:eastAsia="仿宋_GB2312" w:cs="仿宋_GB2312"/>
          <w:sz w:val="32"/>
          <w:szCs w:val="32"/>
        </w:rPr>
        <w:t>可重新制定任务指标进行连续支持，同一个项目</w:t>
      </w:r>
      <w:r>
        <w:rPr>
          <w:rFonts w:hint="eastAsia" w:ascii="仿宋_GB2312" w:hAnsi="仿宋_GB2312" w:eastAsia="仿宋_GB2312" w:cs="仿宋_GB2312"/>
          <w:sz w:val="32"/>
          <w:szCs w:val="32"/>
        </w:rPr>
        <w:t>连续支持不超过3个项目执行周期，每个执行周期补助金额参照第十四条。</w:t>
      </w:r>
    </w:p>
    <w:p w14:paraId="750620AD">
      <w:pPr>
        <w:spacing w:line="560" w:lineRule="exact"/>
        <w:ind w:firstLine="640" w:firstLineChars="200"/>
        <w:rPr>
          <w:rFonts w:ascii="仿宋_GB2312" w:hAnsi="仿宋_GB2312" w:eastAsia="仿宋_GB2312" w:cs="仿宋_GB2312"/>
          <w:sz w:val="32"/>
          <w:szCs w:val="32"/>
        </w:rPr>
      </w:pPr>
      <w:r>
        <w:rPr>
          <w:rFonts w:hint="eastAsia" w:ascii="黑体" w:hAnsi="黑体" w:eastAsia="黑体" w:cs="黑体"/>
          <w:sz w:val="32"/>
          <w:szCs w:val="32"/>
        </w:rPr>
        <w:t>第十六条</w:t>
      </w:r>
      <w:r>
        <w:rPr>
          <w:rFonts w:hint="eastAsia" w:ascii="仿宋_GB2312" w:hAnsi="仿宋_GB2312" w:eastAsia="仿宋_GB2312" w:cs="仿宋_GB2312"/>
          <w:sz w:val="32"/>
          <w:szCs w:val="32"/>
        </w:rPr>
        <w:t xml:space="preserve"> 财政拨款资金用于项目支出，项目支出实行专账管理、专款专用，适用范围如下：</w:t>
      </w:r>
    </w:p>
    <w:p w14:paraId="233B89DD">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（一）技术购置费用。主要用于知识产权转让、权利许可，技术服务、咨询等购买。</w:t>
      </w:r>
    </w:p>
    <w:p w14:paraId="5B280911">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（二）设备、材料等购置费用。主要用于研发及中试生产所需的设备、材料等购买。</w:t>
      </w:r>
    </w:p>
    <w:p w14:paraId="54DC9F62">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（三）场地费用。主要用于</w:t>
      </w:r>
      <w:r>
        <w:rPr>
          <w:rFonts w:ascii="仿宋_GB2312" w:hAnsi="仿宋_GB2312" w:eastAsia="仿宋_GB2312" w:cs="仿宋_GB2312"/>
          <w:sz w:val="32"/>
          <w:szCs w:val="32"/>
          <w:highlight w:val="yellow"/>
        </w:rPr>
        <w:t>研发</w:t>
      </w:r>
      <w:r>
        <w:rPr>
          <w:rFonts w:hint="eastAsia" w:ascii="仿宋_GB2312" w:hAnsi="仿宋_GB2312" w:eastAsia="仿宋_GB2312" w:cs="仿宋_GB2312"/>
          <w:sz w:val="32"/>
          <w:szCs w:val="32"/>
          <w:highlight w:val="yellow"/>
        </w:rPr>
        <w:t>及生产</w:t>
      </w:r>
      <w:r>
        <w:rPr>
          <w:rFonts w:ascii="仿宋_GB2312" w:hAnsi="仿宋_GB2312" w:eastAsia="仿宋_GB2312" w:cs="仿宋_GB2312"/>
          <w:sz w:val="32"/>
          <w:szCs w:val="32"/>
        </w:rPr>
        <w:t>所需的实验室办公场地的</w:t>
      </w:r>
      <w:r>
        <w:rPr>
          <w:rFonts w:ascii="仿宋_GB2312" w:hAnsi="仿宋_GB2312" w:eastAsia="仿宋_GB2312" w:cs="仿宋_GB2312"/>
          <w:sz w:val="32"/>
          <w:szCs w:val="32"/>
          <w:highlight w:val="yellow"/>
        </w:rPr>
        <w:t>租金、物业</w:t>
      </w:r>
      <w:r>
        <w:rPr>
          <w:rFonts w:ascii="仿宋_GB2312" w:hAnsi="仿宋_GB2312" w:eastAsia="仿宋_GB2312" w:cs="仿宋_GB2312"/>
          <w:sz w:val="32"/>
          <w:szCs w:val="32"/>
        </w:rPr>
        <w:t>等。</w:t>
      </w:r>
    </w:p>
    <w:p w14:paraId="1AF477B2">
      <w:pPr>
        <w:spacing w:line="560" w:lineRule="exact"/>
        <w:ind w:firstLine="640" w:firstLineChars="200"/>
        <w:rPr>
          <w:rFonts w:ascii="仿宋_GB2312" w:hAnsi="仿宋_GB2312" w:eastAsia="仿宋_GB2312" w:cs="仿宋_GB2312"/>
          <w:sz w:val="32"/>
          <w:szCs w:val="32"/>
          <w:highlight w:val="yellow"/>
        </w:rPr>
      </w:pPr>
      <w:r>
        <w:rPr>
          <w:rFonts w:ascii="仿宋_GB2312" w:hAnsi="仿宋_GB2312" w:eastAsia="仿宋_GB2312" w:cs="仿宋_GB2312"/>
          <w:sz w:val="32"/>
          <w:szCs w:val="32"/>
          <w:highlight w:val="yellow"/>
        </w:rPr>
        <w:t>（</w:t>
      </w:r>
      <w:r>
        <w:rPr>
          <w:rFonts w:hint="eastAsia" w:ascii="仿宋_GB2312" w:hAnsi="仿宋_GB2312" w:eastAsia="仿宋_GB2312" w:cs="仿宋_GB2312"/>
          <w:sz w:val="32"/>
          <w:szCs w:val="32"/>
          <w:highlight w:val="yellow"/>
        </w:rPr>
        <w:t>四</w:t>
      </w:r>
      <w:r>
        <w:rPr>
          <w:rFonts w:ascii="仿宋_GB2312" w:hAnsi="仿宋_GB2312" w:eastAsia="仿宋_GB2312" w:cs="仿宋_GB2312"/>
          <w:sz w:val="32"/>
          <w:szCs w:val="32"/>
          <w:highlight w:val="yellow"/>
        </w:rPr>
        <w:t>）外协费用。主要用于支付给项目</w:t>
      </w:r>
      <w:r>
        <w:rPr>
          <w:rFonts w:hint="eastAsia" w:ascii="仿宋_GB2312" w:hAnsi="仿宋_GB2312" w:eastAsia="仿宋_GB2312" w:cs="仿宋_GB2312"/>
          <w:sz w:val="32"/>
          <w:szCs w:val="32"/>
          <w:highlight w:val="yellow"/>
        </w:rPr>
        <w:t>企业</w:t>
      </w:r>
      <w:r>
        <w:rPr>
          <w:rFonts w:ascii="仿宋_GB2312" w:hAnsi="仿宋_GB2312" w:eastAsia="仿宋_GB2312" w:cs="仿宋_GB2312"/>
          <w:sz w:val="32"/>
          <w:szCs w:val="32"/>
          <w:highlight w:val="yellow"/>
        </w:rPr>
        <w:t>以外单位的检测、加工、设计、试验等费用</w:t>
      </w:r>
      <w:r>
        <w:rPr>
          <w:rFonts w:hint="eastAsia" w:ascii="仿宋_GB2312" w:hAnsi="仿宋_GB2312" w:eastAsia="仿宋_GB2312" w:cs="仿宋_GB2312"/>
          <w:sz w:val="32"/>
          <w:szCs w:val="32"/>
          <w:highlight w:val="yellow"/>
        </w:rPr>
        <w:t>，外协费用原则上不超过财政拨款总额的50%。</w:t>
      </w:r>
    </w:p>
    <w:p w14:paraId="6B32A981">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w:t>
      </w:r>
      <w:r>
        <w:rPr>
          <w:rFonts w:hint="eastAsia" w:ascii="仿宋_GB2312" w:hAnsi="仿宋_GB2312" w:eastAsia="仿宋_GB2312" w:cs="仿宋_GB2312"/>
          <w:sz w:val="32"/>
          <w:szCs w:val="32"/>
        </w:rPr>
        <w:t>五</w:t>
      </w:r>
      <w:r>
        <w:rPr>
          <w:rFonts w:ascii="仿宋_GB2312" w:hAnsi="仿宋_GB2312" w:eastAsia="仿宋_GB2312" w:cs="仿宋_GB2312"/>
          <w:sz w:val="32"/>
          <w:szCs w:val="32"/>
        </w:rPr>
        <w:t>）其他</w:t>
      </w:r>
      <w:r>
        <w:rPr>
          <w:rFonts w:hint="eastAsia" w:ascii="仿宋_GB2312" w:hAnsi="仿宋_GB2312" w:eastAsia="仿宋_GB2312" w:cs="仿宋_GB2312"/>
          <w:sz w:val="32"/>
          <w:szCs w:val="32"/>
        </w:rPr>
        <w:t>与项目</w:t>
      </w:r>
      <w:r>
        <w:rPr>
          <w:rFonts w:ascii="仿宋_GB2312" w:hAnsi="仿宋_GB2312" w:eastAsia="仿宋_GB2312" w:cs="仿宋_GB2312"/>
          <w:sz w:val="32"/>
          <w:szCs w:val="32"/>
        </w:rPr>
        <w:t>相关费用。</w:t>
      </w:r>
    </w:p>
    <w:p w14:paraId="7CB024B3">
      <w:pPr>
        <w:spacing w:line="560" w:lineRule="exact"/>
        <w:jc w:val="center"/>
        <w:rPr>
          <w:rFonts w:ascii="仿宋_GB2312" w:hAnsi="仿宋_GB2312" w:eastAsia="仿宋_GB2312" w:cs="仿宋_GB2312"/>
          <w:sz w:val="32"/>
          <w:szCs w:val="32"/>
        </w:rPr>
      </w:pPr>
      <w:r>
        <w:rPr>
          <w:rFonts w:hint="eastAsia" w:ascii="黑体" w:hAnsi="黑体" w:eastAsia="黑体" w:cs="黑体"/>
          <w:sz w:val="32"/>
          <w:szCs w:val="32"/>
        </w:rPr>
        <w:t>第五章</w:t>
      </w:r>
      <w:r>
        <w:rPr>
          <w:rFonts w:hint="eastAsia" w:ascii="仿宋_GB2312" w:hAnsi="仿宋_GB2312" w:eastAsia="仿宋_GB2312" w:cs="仿宋_GB2312"/>
          <w:sz w:val="32"/>
          <w:szCs w:val="32"/>
        </w:rPr>
        <w:t xml:space="preserve"> </w:t>
      </w:r>
      <w:r>
        <w:rPr>
          <w:rFonts w:hint="eastAsia" w:ascii="黑体" w:hAnsi="黑体" w:eastAsia="黑体" w:cs="黑体"/>
          <w:sz w:val="32"/>
          <w:szCs w:val="32"/>
        </w:rPr>
        <w:t>其他事项</w:t>
      </w:r>
    </w:p>
    <w:p w14:paraId="1FA35BAB">
      <w:pPr>
        <w:spacing w:line="560" w:lineRule="exact"/>
        <w:ind w:firstLine="640" w:firstLineChars="200"/>
        <w:rPr>
          <w:rFonts w:hint="eastAsia" w:ascii="仿宋_GB2312" w:hAnsi="仿宋_GB2312" w:eastAsia="仿宋_GB2312" w:cs="仿宋_GB2312"/>
          <w:sz w:val="32"/>
          <w:szCs w:val="32"/>
        </w:rPr>
      </w:pPr>
      <w:r>
        <w:rPr>
          <w:rFonts w:hint="eastAsia" w:ascii="黑体" w:hAnsi="黑体" w:eastAsia="黑体" w:cs="黑体"/>
          <w:sz w:val="32"/>
          <w:szCs w:val="32"/>
        </w:rPr>
        <w:t>第十七条</w:t>
      </w:r>
      <w:r>
        <w:rPr>
          <w:rFonts w:hint="eastAsia" w:ascii="仿宋_GB2312" w:hAnsi="仿宋_GB2312" w:eastAsia="仿宋_GB2312" w:cs="仿宋_GB2312"/>
          <w:sz w:val="32"/>
          <w:szCs w:val="32"/>
        </w:rPr>
        <w:t xml:space="preserve"> 市科技局指导管理机构对项目实施监督管理。</w:t>
      </w:r>
    </w:p>
    <w:p w14:paraId="76F87E08">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项目企业应当建立完善的管理制度和风险管理体系，规范内部控制和工作流程，加强项目资金管理。</w:t>
      </w:r>
    </w:p>
    <w:p w14:paraId="415AEA5F">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如出现弄虚作假、截留、挪用、挤占专项经费，以及向项目企业的关联方输送利益或发生违背公允定价的关联交易等违法违纪违规行为，依法处理并追究相关人员责任，项目公司应当退还已拨付资金。</w:t>
      </w:r>
    </w:p>
    <w:p w14:paraId="56817E3A">
      <w:pPr>
        <w:spacing w:line="560" w:lineRule="exact"/>
        <w:ind w:firstLine="640" w:firstLineChars="200"/>
        <w:rPr>
          <w:rFonts w:hint="eastAsia" w:ascii="仿宋_GB2312" w:hAnsi="仿宋_GB2312" w:eastAsia="仿宋_GB2312" w:cs="仿宋_GB2312"/>
          <w:sz w:val="32"/>
          <w:szCs w:val="32"/>
        </w:rPr>
      </w:pPr>
      <w:r>
        <w:rPr>
          <w:rFonts w:hint="eastAsia" w:ascii="黑体" w:hAnsi="黑体" w:eastAsia="黑体" w:cs="黑体"/>
          <w:sz w:val="32"/>
          <w:szCs w:val="32"/>
        </w:rPr>
        <w:t>第十八条</w:t>
      </w:r>
      <w:r>
        <w:rPr>
          <w:rFonts w:hint="eastAsia" w:ascii="仿宋_GB2312" w:hAnsi="仿宋_GB2312" w:eastAsia="仿宋_GB2312" w:cs="仿宋_GB2312"/>
          <w:sz w:val="32"/>
          <w:szCs w:val="32"/>
        </w:rPr>
        <w:t xml:space="preserve"> 项目执行期内，出现重大风险或不可抗力时，</w:t>
      </w:r>
      <w:r>
        <w:rPr>
          <w:rFonts w:hint="eastAsia" w:ascii="仿宋_GB2312" w:hAnsi="仿宋_GB2312" w:eastAsia="仿宋_GB2312" w:cs="仿宋_GB2312"/>
          <w:sz w:val="32"/>
          <w:szCs w:val="32"/>
          <w:highlight w:val="yellow"/>
        </w:rPr>
        <w:t>市科技局</w:t>
      </w:r>
      <w:r>
        <w:rPr>
          <w:rFonts w:hint="eastAsia" w:ascii="仿宋_GB2312" w:hAnsi="仿宋_GB2312" w:eastAsia="仿宋_GB2312" w:cs="仿宋_GB2312"/>
          <w:sz w:val="32"/>
          <w:szCs w:val="32"/>
        </w:rPr>
        <w:t>按协议约定可</w:t>
      </w:r>
      <w:r>
        <w:rPr>
          <w:rFonts w:hint="eastAsia" w:ascii="仿宋_GB2312" w:hAnsi="仿宋_GB2312" w:eastAsia="仿宋_GB2312" w:cs="仿宋_GB2312"/>
          <w:sz w:val="32"/>
          <w:szCs w:val="32"/>
          <w:highlight w:val="yellow"/>
        </w:rPr>
        <w:t>中止项目</w:t>
      </w:r>
      <w:r>
        <w:rPr>
          <w:rFonts w:hint="eastAsia" w:ascii="仿宋_GB2312" w:hAnsi="仿宋_GB2312" w:eastAsia="仿宋_GB2312" w:cs="仿宋_GB2312"/>
          <w:sz w:val="32"/>
          <w:szCs w:val="32"/>
        </w:rPr>
        <w:t>，重大风险致项目企业无法完成</w:t>
      </w:r>
      <w:r>
        <w:rPr>
          <w:rFonts w:hint="eastAsia" w:ascii="仿宋_GB2312" w:hAnsi="仿宋_GB2312" w:eastAsia="仿宋_GB2312" w:cs="仿宋_GB2312"/>
          <w:sz w:val="32"/>
          <w:szCs w:val="32"/>
          <w:highlight w:val="yellow"/>
        </w:rPr>
        <w:t>项目目标</w:t>
      </w:r>
      <w:r>
        <w:rPr>
          <w:rFonts w:hint="eastAsia" w:ascii="仿宋_GB2312" w:hAnsi="仿宋_GB2312" w:eastAsia="仿宋_GB2312" w:cs="仿宋_GB2312"/>
          <w:sz w:val="32"/>
          <w:szCs w:val="32"/>
        </w:rPr>
        <w:t>的，可终止项目并收回剩余项目资金。</w:t>
      </w:r>
    </w:p>
    <w:p w14:paraId="335BADF4">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项目遵循科技创新规律，对未达到</w:t>
      </w:r>
      <w:r>
        <w:rPr>
          <w:rFonts w:hint="eastAsia" w:ascii="仿宋_GB2312" w:hAnsi="仿宋_GB2312" w:eastAsia="仿宋_GB2312" w:cs="仿宋_GB2312"/>
          <w:sz w:val="32"/>
          <w:szCs w:val="32"/>
          <w:highlight w:val="yellow"/>
        </w:rPr>
        <w:t>约定</w:t>
      </w:r>
      <w:r>
        <w:rPr>
          <w:rFonts w:hint="eastAsia" w:ascii="仿宋_GB2312" w:hAnsi="仿宋_GB2312" w:eastAsia="仿宋_GB2312" w:cs="仿宋_GB2312"/>
          <w:sz w:val="32"/>
          <w:szCs w:val="32"/>
        </w:rPr>
        <w:t>目标的项目，相关部门及单位勤勉尽责、</w:t>
      </w:r>
      <w:r>
        <w:rPr>
          <w:rFonts w:hint="eastAsia" w:ascii="仿宋_GB2312" w:hAnsi="仿宋_GB2312" w:eastAsia="仿宋_GB2312" w:cs="仿宋_GB2312"/>
          <w:sz w:val="32"/>
          <w:szCs w:val="32"/>
          <w:highlight w:val="yellow"/>
        </w:rPr>
        <w:t>尽到监督管理职责</w:t>
      </w:r>
      <w:r>
        <w:rPr>
          <w:rFonts w:hint="eastAsia" w:ascii="仿宋_GB2312" w:hAnsi="仿宋_GB2312" w:eastAsia="仿宋_GB2312" w:cs="仿宋_GB2312"/>
          <w:sz w:val="32"/>
          <w:szCs w:val="32"/>
        </w:rPr>
        <w:t>，没有牟取非法利益并且相关流程符合规定条件、标准和程序的；或没有因主观原因、隐瞒项目信息等致造成重大经济损失等严重后果的，可以免除其决策和管理责任。</w:t>
      </w:r>
    </w:p>
    <w:p w14:paraId="37F87132">
      <w:pPr>
        <w:spacing w:line="560" w:lineRule="exact"/>
        <w:ind w:firstLine="640" w:firstLineChars="200"/>
        <w:rPr>
          <w:rFonts w:ascii="仿宋_GB2312" w:hAnsi="仿宋_GB2312" w:eastAsia="仿宋_GB2312" w:cs="仿宋_GB2312"/>
          <w:sz w:val="32"/>
          <w:szCs w:val="32"/>
        </w:rPr>
      </w:pPr>
      <w:r>
        <w:rPr>
          <w:rFonts w:hint="eastAsia" w:ascii="黑体" w:hAnsi="黑体" w:eastAsia="黑体" w:cs="黑体"/>
          <w:sz w:val="32"/>
          <w:szCs w:val="32"/>
        </w:rPr>
        <w:t>第十九条</w:t>
      </w:r>
      <w:r>
        <w:rPr>
          <w:rFonts w:hint="eastAsia" w:ascii="仿宋_GB2312" w:hAnsi="仿宋_GB2312" w:eastAsia="仿宋_GB2312" w:cs="仿宋_GB2312"/>
          <w:sz w:val="32"/>
          <w:szCs w:val="32"/>
        </w:rPr>
        <w:t xml:space="preserve"> 本细则由市科技局负责解释。</w:t>
      </w:r>
    </w:p>
    <w:p w14:paraId="5A272C7C">
      <w:pPr>
        <w:spacing w:line="560" w:lineRule="exact"/>
        <w:ind w:firstLine="640" w:firstLineChars="200"/>
        <w:rPr>
          <w:rFonts w:ascii="仿宋_GB2312" w:hAnsi="仿宋_GB2312" w:eastAsia="仿宋_GB2312" w:cs="仿宋_GB2312"/>
          <w:sz w:val="32"/>
          <w:szCs w:val="32"/>
        </w:rPr>
      </w:pPr>
      <w:r>
        <w:rPr>
          <w:rFonts w:hint="eastAsia" w:ascii="黑体" w:hAnsi="黑体" w:eastAsia="黑体" w:cs="黑体"/>
          <w:sz w:val="32"/>
          <w:szCs w:val="32"/>
        </w:rPr>
        <w:t>第二十条</w:t>
      </w:r>
      <w:r>
        <w:rPr>
          <w:rFonts w:hint="eastAsia" w:ascii="仿宋_GB2312" w:hAnsi="仿宋_GB2312" w:eastAsia="仿宋_GB2312" w:cs="仿宋_GB2312"/>
          <w:sz w:val="32"/>
          <w:szCs w:val="32"/>
        </w:rPr>
        <w:t xml:space="preserve"> 本细则自发布之日起施行。</w:t>
      </w:r>
    </w:p>
    <w:p w14:paraId="6D9C4B31">
      <w:pPr>
        <w:spacing w:line="560" w:lineRule="exact"/>
        <w:ind w:firstLine="420" w:firstLineChars="200"/>
      </w:pPr>
    </w:p>
    <w:p w14:paraId="0585F0D3">
      <w:pPr>
        <w:spacing w:line="540" w:lineRule="exact"/>
        <w:ind w:right="-2"/>
        <w:jc w:val="left"/>
        <w:rPr>
          <w:rFonts w:hint="eastAsia" w:ascii="仿宋_GB2312" w:hAnsi="宋体" w:eastAsia="仿宋_GB2312"/>
          <w:color w:val="000000"/>
          <w:sz w:val="32"/>
          <w:szCs w:val="32"/>
        </w:rPr>
      </w:pPr>
    </w:p>
    <w:p w14:paraId="1D80015A"/>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DengXian">
    <w:altName w:val="Segoe Print"/>
    <w:panose1 w:val="00000000000000000000"/>
    <w:charset w:val="00"/>
    <w:family w:val="auto"/>
    <w:pitch w:val="default"/>
    <w:sig w:usb0="00000000" w:usb1="00000000" w:usb2="00000000" w:usb3="00000000" w:csb0="00000000"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方正小标宋简体">
    <w:altName w:val="仿宋_GB2312"/>
    <w:panose1 w:val="00000000000000000000"/>
    <w:charset w:val="86"/>
    <w:family w:val="script"/>
    <w:pitch w:val="default"/>
    <w:sig w:usb0="00000000" w:usb1="00000000" w:usb2="00000012" w:usb3="00000000" w:csb0="00040001" w:csb1="00000000"/>
  </w:font>
  <w:font w:name="Arial Unicode MS">
    <w:altName w:val="Arial"/>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Segoe Print">
    <w:panose1 w:val="02000600000000000000"/>
    <w:charset w:val="00"/>
    <w:family w:val="auto"/>
    <w:pitch w:val="default"/>
    <w:sig w:usb0="0000028F" w:usb1="00000000" w:usb2="00000000" w:usb3="00000000" w:csb0="2000009F" w:csb1="4701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838948">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7785" cy="131445"/>
              <wp:effectExtent l="0" t="0" r="0" b="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57785" cy="131445"/>
                      </a:xfrm>
                      <a:prstGeom prst="rect">
                        <a:avLst/>
                      </a:prstGeom>
                      <a:noFill/>
                      <a:ln>
                        <a:noFill/>
                      </a:ln>
                    </wps:spPr>
                    <wps:txbx>
                      <w:txbxContent>
                        <w:p w14:paraId="34F066E4">
                          <w:pPr>
                            <w:pStyle w:val="2"/>
                          </w:pPr>
                          <w:r>
                            <w:fldChar w:fldCharType="begin"/>
                          </w:r>
                          <w:r>
                            <w:instrText xml:space="preserve"> PAGE  \* MERGEFORMAT </w:instrText>
                          </w:r>
                          <w:r>
                            <w:fldChar w:fldCharType="separate"/>
                          </w:r>
                          <w:r>
                            <w:t>6</w:t>
                          </w:r>
                          <w: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0.35pt;width:4.55pt;mso-position-horizontal:center;mso-position-horizontal-relative:margin;mso-wrap-style:none;z-index:251659264;mso-width-relative:page;mso-height-relative:page;" filled="f" stroked="f" coordsize="21600,21600" o:gfxdata="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DPi91E0AAAAAIBAAAPAAAAAAAAAAEAIAAAACIAAABkcnMvZG93&#10;bnJldi54bWxQSwECFAAUAAAACACHTuJAAu2O5ggCAAABBAAADgAAAAAAAAABACAAAAAfAQAAZHJz&#10;L2Uyb0RvYy54bWxQSwUGAAAAAAYABgBZAQAAmQUAAAAA&#10;">
              <v:fill on="f" focussize="0,0"/>
              <v:stroke on="f"/>
              <v:imagedata o:title=""/>
              <o:lock v:ext="edit" aspectratio="f"/>
              <v:textbox inset="0mm,0mm,0mm,0mm" style="mso-fit-shape-to-text:t;">
                <w:txbxContent>
                  <w:p w14:paraId="34F066E4">
                    <w:pPr>
                      <w:pStyle w:val="2"/>
                    </w:pPr>
                    <w:r>
                      <w:fldChar w:fldCharType="begin"/>
                    </w:r>
                    <w:r>
                      <w:instrText xml:space="preserve"> PAGE  \* MERGEFORMAT </w:instrText>
                    </w:r>
                    <w:r>
                      <w:fldChar w:fldCharType="separate"/>
                    </w:r>
                    <w:r>
                      <w:t>6</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4CF2"/>
    <w:rsid w:val="000F74BD"/>
    <w:rsid w:val="00191F4A"/>
    <w:rsid w:val="00424CF2"/>
    <w:rsid w:val="00B34EF7"/>
    <w:rsid w:val="00F557ED"/>
    <w:rsid w:val="110751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9"/>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8"/>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qFormat/>
    <w:uiPriority w:val="0"/>
    <w:pPr>
      <w:spacing w:before="100" w:beforeAutospacing="1" w:after="100" w:afterAutospacing="1"/>
      <w:jc w:val="left"/>
    </w:pPr>
    <w:rPr>
      <w:kern w:val="0"/>
      <w:sz w:val="24"/>
    </w:rPr>
  </w:style>
  <w:style w:type="character" w:styleId="7">
    <w:name w:val="page number"/>
    <w:basedOn w:val="6"/>
    <w:uiPriority w:val="0"/>
  </w:style>
  <w:style w:type="character" w:customStyle="1" w:styleId="8">
    <w:name w:val="页眉 字符"/>
    <w:basedOn w:val="6"/>
    <w:link w:val="3"/>
    <w:uiPriority w:val="99"/>
    <w:rPr>
      <w:sz w:val="18"/>
      <w:szCs w:val="18"/>
    </w:rPr>
  </w:style>
  <w:style w:type="character" w:customStyle="1" w:styleId="9">
    <w:name w:val="页脚 字符"/>
    <w:basedOn w:val="6"/>
    <w:link w:val="2"/>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2514</Words>
  <Characters>2542</Characters>
  <Lines>18</Lines>
  <Paragraphs>5</Paragraphs>
  <TotalTime>4</TotalTime>
  <ScaleCrop>false</ScaleCrop>
  <LinksUpToDate>false</LinksUpToDate>
  <CharactersWithSpaces>2566</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2025-07-28T09:20:00Z</dcterms:created>
  <dc:creator>316661285@qq.com</dc:creator>
  <cp:lastModifiedBy>段杰</cp:lastModifiedBy>
  <dcterms:modified xsi:type="dcterms:W3CDTF">2025-07-29T01:27:57Z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D15352F18C404ED483A2BD40E6382E93_13</vt:lpwstr>
  </property>
</Properties>
</file>