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长春经济技术开发区承担第二轮中央生态环境保护督察反馈意见整改任务（序号六）</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六</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督察发现，一些地区对严峻形势缺乏清醒认识，仍在违规上马高耗能、高排放项目。</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“两高”项目盲目发展得到有效遏制。</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numPr>
          <w:ilvl w:val="0"/>
          <w:numId w:val="1"/>
        </w:numPr>
        <w:shd w:val="clea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深入学习贯彻习近平生态文明思想，清醒认识能耗“双控”严峻形势，坚决遏制“两高”项目盲目建设，完整、全面、准确贯彻新发展理念，加快能源结构转型，推动“十四五”经济社会发展全面绿色转型。</w:t>
      </w:r>
    </w:p>
    <w:p>
      <w:pPr>
        <w:keepNext w:val="0"/>
        <w:keepLines w:val="0"/>
        <w:pageBreakBefore w:val="0"/>
        <w:numPr>
          <w:ilvl w:val="0"/>
          <w:numId w:val="1"/>
        </w:numPr>
        <w:shd w:val="clea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编制《关于长春经开区招商引资项目入区服务保障工作的实施意见》及《关于内资企业办理固定资产投资备案工作的一次性告知书》，审批关口前移，严格项目审批管理，严控“两高”项目落位，充分发挥审批关口职能，在政府层面做到源头上准入的把控。</w:t>
      </w:r>
    </w:p>
    <w:p>
      <w:pPr>
        <w:keepNext w:val="0"/>
        <w:keepLines w:val="0"/>
        <w:pageBreakBefore w:val="0"/>
        <w:numPr>
          <w:ilvl w:val="0"/>
          <w:numId w:val="1"/>
        </w:numPr>
        <w:shd w:val="clea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根据长春市全面自查“两高项目”工作部署及省发改委确定的“两高”项目范围，结合区内项目能耗、所属行业等指标，开展自查工作。</w:t>
      </w:r>
    </w:p>
    <w:p>
      <w:pPr>
        <w:keepNext w:val="0"/>
        <w:keepLines w:val="0"/>
        <w:pageBreakBefore w:val="0"/>
        <w:numPr>
          <w:ilvl w:val="0"/>
          <w:numId w:val="1"/>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严把高耗能高排放项目准入关，在核准或备案“两高”行业项目时，严格审查是否符合产业政策、产业规划要求及园区管理有关规定，是否依法依规落实相应减量、等量替代，不符合或未落实的，一律不予核准或备案。</w:t>
      </w:r>
    </w:p>
    <w:p>
      <w:pPr>
        <w:keepNext w:val="0"/>
        <w:keepLines w:val="0"/>
        <w:pageBreakBefore w:val="0"/>
        <w:numPr>
          <w:ilvl w:val="0"/>
          <w:numId w:val="0"/>
        </w:numPr>
        <w:kinsoku/>
        <w:wordWrap/>
        <w:overflowPunct/>
        <w:topLinePunct w:val="0"/>
        <w:bidi w:val="0"/>
        <w:snapToGrid/>
        <w:spacing w:line="600" w:lineRule="exact"/>
        <w:ind w:leftChars="200" w:firstLine="640" w:firstLineChars="2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通过编制并转发《关于长春经开区招商引资项目入区服务保障工作的实施意见》及《关于内资企业办理固定资产投资备案工作的一次性告知书》，审批关口前移，严格项目审批管理，严控“两高”项目落位，充分发挥审批关口职能，在政府层面做到源头上准入的把控。</w:t>
      </w:r>
    </w:p>
    <w:p>
      <w:pPr>
        <w:pStyle w:val="3"/>
        <w:keepNext w:val="0"/>
        <w:keepLines w:val="0"/>
        <w:pageBreakBefore w:val="0"/>
        <w:kinsoku/>
        <w:wordWrap/>
        <w:overflowPunct/>
        <w:topLinePunct w:val="0"/>
        <w:bidi w:val="0"/>
        <w:snapToGrid/>
        <w:spacing w:line="600" w:lineRule="exact"/>
        <w:ind w:left="0" w:leftChars="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根据长春市全面自查“两高项目”工作部署及省发改委确定的“两高”项目范围，结合区内项目能耗、所属行业等指标，我区立即开展自查工作。经排查，确定我辖区内没有“两高”项目。</w:t>
      </w:r>
    </w:p>
    <w:p>
      <w:pPr>
        <w:keepNext w:val="0"/>
        <w:keepLines w:val="0"/>
        <w:pageBreakBefore w:val="0"/>
        <w:kinsoku/>
        <w:wordWrap/>
        <w:overflowPunct/>
        <w:topLinePunct w:val="0"/>
        <w:bidi w:val="0"/>
        <w:snapToGrid/>
        <w:spacing w:line="600" w:lineRule="exact"/>
        <w:textAlignment w:val="auto"/>
        <w:rPr>
          <w:rFonts w:hint="eastAsia" w:ascii="仿宋_GB2312" w:hAnsi="仿宋_GB2312" w:eastAsia="仿宋_GB2312" w:cs="仿宋_GB2312"/>
          <w:bCs/>
          <w:color w:val="auto"/>
          <w:kern w:val="2"/>
          <w:sz w:val="32"/>
          <w:szCs w:val="32"/>
          <w:lang w:val="en-US" w:eastAsia="zh-CN" w:bidi="ar-SA"/>
        </w:rPr>
      </w:pPr>
    </w:p>
    <w:p>
      <w:pPr>
        <w:pStyle w:val="2"/>
        <w:keepNext w:val="0"/>
        <w:keepLines w:val="0"/>
        <w:pageBreakBefore w:val="0"/>
        <w:kinsoku/>
        <w:wordWrap/>
        <w:overflowPunct/>
        <w:topLinePunct w:val="0"/>
        <w:bidi w:val="0"/>
        <w:snapToGrid/>
        <w:spacing w:line="600" w:lineRule="exact"/>
        <w:textAlignment w:val="auto"/>
        <w:rPr>
          <w:rFonts w:hint="eastAsia"/>
          <w:lang w:val="en-US" w:eastAsia="zh-CN"/>
        </w:rPr>
      </w:pP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60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keepNext w:val="0"/>
        <w:keepLines w:val="0"/>
        <w:pageBreakBefore w:val="0"/>
        <w:kinsoku/>
        <w:wordWrap/>
        <w:overflowPunct/>
        <w:topLinePunct w:val="0"/>
        <w:bidi w:val="0"/>
        <w:spacing w:line="560" w:lineRule="exact"/>
        <w:textAlignment w:val="auto"/>
        <w:rPr>
          <w:rFonts w:hint="default"/>
          <w:lang w:val="en-US" w:eastAsia="zh-CN"/>
        </w:rPr>
      </w:pPr>
      <w:r>
        <w:rPr>
          <w:rFonts w:hint="default"/>
          <w:lang w:val="en-US" w:eastAsia="zh-CN"/>
        </w:rPr>
        <w:br w:type="page"/>
      </w: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长春经济技术开发区承担第二轮中央生态环境保护督察反馈意见整改任务（序号十一）</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十一</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些地方对群众环境诉求重视不够。第一轮督察“回头看”期间，群众举报长春市农安县烧锅镇第二机砖厂取土坑填埋生活垃圾污染地下水问题，农安县政府在未经认真调查的情况下即认定该问题不属实，并予以销号处理。但此次督察发现，2017年至2018年，长春市绿园区城市管理行政执法局在未经任何审批、未采取任何防渗处理措施情况下，将约24万余吨混有大量生活垃圾的建筑垃圾违法填埋在农安县烧锅镇第二机砖厂取土坑，严重威胁地下水安全。</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bCs/>
          <w:sz w:val="32"/>
          <w:szCs w:val="32"/>
        </w:rPr>
      </w:pPr>
      <w:r>
        <w:rPr>
          <w:rFonts w:hint="eastAsia" w:ascii="仿宋_GB2312" w:eastAsia="仿宋_GB2312"/>
          <w:color w:val="auto"/>
          <w:sz w:val="32"/>
          <w:szCs w:val="32"/>
          <w:highlight w:val="none"/>
        </w:rPr>
        <w:t>进一步强化群众环境投诉信访案件办理</w:t>
      </w:r>
      <w:r>
        <w:rPr>
          <w:rFonts w:hint="eastAsia" w:ascii="仿宋_GB2312" w:hAnsi="仿宋_GB2312" w:eastAsia="仿宋_GB2312" w:cs="仿宋_GB2312"/>
          <w:color w:val="auto"/>
          <w:sz w:val="32"/>
          <w:szCs w:val="32"/>
          <w:highlight w:val="none"/>
        </w:rPr>
        <w:t>。</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numPr>
          <w:ilvl w:val="0"/>
          <w:numId w:val="2"/>
        </w:numPr>
        <w:shd w:val="clear"/>
        <w:kinsoku/>
        <w:wordWrap/>
        <w:overflowPunct/>
        <w:topLinePunct w:val="0"/>
        <w:bidi w:val="0"/>
        <w:snapToGrid/>
        <w:spacing w:line="600" w:lineRule="exact"/>
        <w:ind w:firstLine="640" w:firstLineChars="200"/>
        <w:jc w:val="both"/>
        <w:textAlignment w:val="auto"/>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严格按照吉林省生态环境保护督察反馈问题整改工作领导小组办公室印发的《关于进一步做好群众投诉举报案件后续办理工作的函》（吉督改办函〔2021〕12号）《吉林省环境保护督察整改工作领导小组办公室关于认真做好中央环境保护督察问题整改销号工作的通知》有关要求，组织案件办理责任单位落实信访案件办理要求，持续加强中央和省级生态环境保护督察交办的信访案件办理。</w:t>
      </w:r>
    </w:p>
    <w:p>
      <w:pPr>
        <w:keepNext w:val="0"/>
        <w:keepLines w:val="0"/>
        <w:pageBreakBefore w:val="0"/>
        <w:numPr>
          <w:ilvl w:val="0"/>
          <w:numId w:val="0"/>
        </w:numPr>
        <w:shd w:val="clear"/>
        <w:kinsoku/>
        <w:wordWrap/>
        <w:overflowPunct/>
        <w:topLinePunct w:val="0"/>
        <w:bidi w:val="0"/>
        <w:snapToGrid/>
        <w:spacing w:line="600" w:lineRule="exact"/>
        <w:ind w:firstLine="640" w:firstLineChars="200"/>
        <w:jc w:val="both"/>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二）严格落实《长春经济技术开发区生态环境保护督察反馈问题和交办信访案件整改复查复核工作实施方案》《长春市生态环境违法行为有奖举报实施办法（试行）》，组织案件办理责任单位开展复查复核，扎实做好群众举报投诉信访案件办理工作。</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eastAsia="仿宋_GB2312"/>
          <w:bCs/>
          <w:color w:val="auto"/>
          <w:sz w:val="32"/>
          <w:szCs w:val="32"/>
          <w:highlight w:val="none"/>
        </w:rPr>
        <w:t>（三）定期调度信访案件办理进展，对重点、难点信访案件加大调度频次，实行双周调度。充分运用通报、预警、督办、“五化”工作法等机制，压实责任，倒排工期、强力推进。对久拖不决、久办不结、解决问题态度不坚决、敷衍应付等情形，加大督查督办力度，依法严肃追责问责。</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kern w:val="2"/>
          <w:sz w:val="32"/>
          <w:szCs w:val="32"/>
          <w:lang w:val="en-US" w:eastAsia="zh-CN" w:bidi="ar-SA"/>
        </w:rPr>
        <w:t>经开区印发了《关于经开区推进环保督察反馈问题整改预警机制的通知》《长春经济技术开发区关于建立中央环境保护督察整改工作调度制度的通知》《长春经济技术开发区关于进一步执行生态环境保护督察整改工作调度机制的通知》等文件，完善定期调度和研判预警制度，加强督导推动，积极推动信访案件的办理，保证信访案件按照序时进度推进。目前全共2件信访案件正在推进中，其中1件正按序时进度推进，1件逾期，该案件已重新制定整改方案，并积极推动中。</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60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keepNext w:val="0"/>
        <w:keepLines w:val="0"/>
        <w:pageBreakBefore w:val="0"/>
        <w:kinsoku/>
        <w:wordWrap/>
        <w:overflowPunct/>
        <w:topLinePunct w:val="0"/>
        <w:bidi w:val="0"/>
        <w:spacing w:line="560" w:lineRule="exact"/>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br w:type="page"/>
      </w:r>
    </w:p>
    <w:p>
      <w:pPr>
        <w:pStyle w:val="2"/>
        <w:keepNext w:val="0"/>
        <w:keepLines w:val="0"/>
        <w:pageBreakBefore w:val="0"/>
        <w:kinsoku/>
        <w:wordWrap/>
        <w:overflowPunct/>
        <w:topLinePunct w:val="0"/>
        <w:bidi w:val="0"/>
        <w:snapToGrid/>
        <w:spacing w:line="580" w:lineRule="exact"/>
        <w:textAlignment w:val="auto"/>
        <w:rPr>
          <w:rFonts w:hint="eastAsia"/>
          <w:lang w:eastAsia="zh-CN"/>
        </w:rPr>
      </w:pPr>
    </w:p>
    <w:p>
      <w:pPr>
        <w:keepNext w:val="0"/>
        <w:keepLines w:val="0"/>
        <w:pageBreakBefore w:val="0"/>
        <w:widowControl/>
        <w:kinsoku/>
        <w:wordWrap/>
        <w:overflowPunct/>
        <w:topLinePunct w:val="0"/>
        <w:bidi w:val="0"/>
        <w:snapToGrid/>
        <w:spacing w:line="58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长春经济技术开发区承担第二轮中央生态环境保护督察反馈意见整改任务（序号十八）</w:t>
      </w:r>
    </w:p>
    <w:p>
      <w:pPr>
        <w:keepNext w:val="0"/>
        <w:keepLines w:val="0"/>
        <w:pageBreakBefore w:val="0"/>
        <w:widowControl/>
        <w:kinsoku/>
        <w:wordWrap/>
        <w:overflowPunct/>
        <w:topLinePunct w:val="0"/>
        <w:bidi w:val="0"/>
        <w:snapToGrid/>
        <w:spacing w:line="58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58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58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十八</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58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部分区域水质反弹明显。2020年，全省有12个国控断面水质未达到目标要求，其中长春市雾开河十三家子大桥、吉林市挡石河兰家等4个断面水质仍为劣Ⅴ类。2021年1月至8月，全省18个国控断面水质同比发生恶化，其中松花江二级支流伊通河靠山大桥断面、杨家崴子断面水质由Ⅳ类分别降为Ⅴ类、劣Ⅴ类。</w:t>
      </w:r>
    </w:p>
    <w:p>
      <w:pPr>
        <w:keepNext w:val="0"/>
        <w:keepLines w:val="0"/>
        <w:pageBreakBefore w:val="0"/>
        <w:numPr>
          <w:ilvl w:val="0"/>
          <w:numId w:val="0"/>
        </w:numPr>
        <w:kinsoku/>
        <w:wordWrap/>
        <w:overflowPunct/>
        <w:topLinePunct w:val="0"/>
        <w:bidi w:val="0"/>
        <w:snapToGrid/>
        <w:spacing w:line="580" w:lineRule="exact"/>
        <w:ind w:leftChars="200" w:firstLine="320" w:firstLineChars="1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仿宋_GB2312" w:hAnsi="仿宋" w:eastAsia="仿宋_GB2312" w:cs="仿宋_GB2312"/>
          <w:bCs/>
          <w:color w:val="auto"/>
          <w:sz w:val="32"/>
          <w:szCs w:val="32"/>
          <w:highlight w:val="none"/>
        </w:rPr>
      </w:pPr>
      <w:r>
        <w:rPr>
          <w:rFonts w:hint="eastAsia" w:ascii="仿宋_GB2312" w:hAnsi="仿宋" w:eastAsia="仿宋_GB2312" w:cs="仿宋_GB2312"/>
          <w:bCs/>
          <w:color w:val="auto"/>
          <w:sz w:val="32"/>
          <w:szCs w:val="32"/>
          <w:highlight w:val="none"/>
        </w:rPr>
        <w:t>2022年12月底，</w:t>
      </w:r>
      <w:r>
        <w:rPr>
          <w:rFonts w:hint="eastAsia" w:ascii="仿宋_GB2312" w:hAnsi="仿宋" w:eastAsia="仿宋_GB2312" w:cs="仿宋_GB2312"/>
          <w:bCs/>
          <w:color w:val="auto"/>
          <w:sz w:val="32"/>
          <w:szCs w:val="32"/>
          <w:highlight w:val="none"/>
          <w:lang w:eastAsia="zh-CN"/>
        </w:rPr>
        <w:t>辖区内断面</w:t>
      </w:r>
      <w:r>
        <w:rPr>
          <w:rFonts w:hint="eastAsia" w:ascii="仿宋_GB2312" w:hAnsi="仿宋" w:eastAsia="仿宋_GB2312" w:cs="仿宋_GB2312"/>
          <w:bCs/>
          <w:color w:val="auto"/>
          <w:sz w:val="32"/>
          <w:szCs w:val="32"/>
          <w:highlight w:val="none"/>
        </w:rPr>
        <w:t>水质持续改善，年均值达到</w:t>
      </w:r>
      <w:r>
        <w:rPr>
          <w:rFonts w:hint="eastAsia" w:ascii="仿宋_GB2312" w:hAnsi="仿宋" w:eastAsia="仿宋_GB2312" w:cs="仿宋_GB2312"/>
          <w:bCs/>
          <w:color w:val="auto"/>
          <w:sz w:val="32"/>
          <w:szCs w:val="32"/>
          <w:highlight w:val="none"/>
          <w:lang w:eastAsia="zh-CN"/>
        </w:rPr>
        <w:t>市</w:t>
      </w:r>
      <w:r>
        <w:rPr>
          <w:rFonts w:hint="eastAsia" w:ascii="仿宋_GB2312" w:hAnsi="仿宋" w:eastAsia="仿宋_GB2312" w:cs="仿宋_GB2312"/>
          <w:bCs/>
          <w:color w:val="auto"/>
          <w:sz w:val="32"/>
          <w:szCs w:val="32"/>
          <w:highlight w:val="none"/>
        </w:rPr>
        <w:t>考核目标要求。</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widowControl w:val="0"/>
        <w:numPr>
          <w:ilvl w:val="0"/>
          <w:numId w:val="3"/>
        </w:numPr>
        <w:shd w:val="clear"/>
        <w:kinsoku/>
        <w:wordWrap/>
        <w:overflowPunct/>
        <w:topLinePunct w:val="0"/>
        <w:bidi w:val="0"/>
        <w:snapToGrid/>
        <w:spacing w:line="58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本着“属地负责、分段治理”的原则，对市考核断面实施严格水质管控措施。</w:t>
      </w:r>
    </w:p>
    <w:p>
      <w:pPr>
        <w:keepNext w:val="0"/>
        <w:keepLines w:val="0"/>
        <w:pageBreakBefore w:val="0"/>
        <w:widowControl w:val="0"/>
        <w:numPr>
          <w:ilvl w:val="0"/>
          <w:numId w:val="3"/>
        </w:numPr>
        <w:shd w:val="clear"/>
        <w:kinsoku/>
        <w:wordWrap/>
        <w:overflowPunct/>
        <w:topLinePunct w:val="0"/>
        <w:bidi w:val="0"/>
        <w:snapToGrid/>
        <w:spacing w:line="58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持续开展“查、测、溯、治、督、评”工作，及时发现污染问题，督办有关单位整改，并进行通报。加大污染源监管力度，对违法排污行为“零容忍”。参照辽河流域，督促帮扶污水处理厂和重点排水企业执行超低排放标准。</w:t>
      </w:r>
    </w:p>
    <w:p>
      <w:pPr>
        <w:keepNext w:val="0"/>
        <w:keepLines w:val="0"/>
        <w:pageBreakBefore w:val="0"/>
        <w:widowControl w:val="0"/>
        <w:numPr>
          <w:ilvl w:val="0"/>
          <w:numId w:val="3"/>
        </w:numPr>
        <w:shd w:val="clear"/>
        <w:kinsoku/>
        <w:wordWrap/>
        <w:overflowPunct/>
        <w:topLinePunct w:val="0"/>
        <w:bidi w:val="0"/>
        <w:snapToGrid/>
        <w:spacing w:line="58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积极开展水质分析工作，及时转发国控断面水质状况，保证辖区市考断面长期稳定达标。</w:t>
      </w:r>
      <w:r>
        <w:rPr>
          <w:rFonts w:hint="eastAsia" w:ascii="仿宋_GB2312" w:hAnsi="仿宋" w:eastAsia="仿宋_GB2312" w:cs="仿宋"/>
          <w:sz w:val="32"/>
          <w:szCs w:val="32"/>
          <w:lang w:eastAsia="zh-CN"/>
        </w:rPr>
        <w:t>发现问题及时启动协调联动机制，履行联席会议制度，第一时间处理整改。</w:t>
      </w:r>
    </w:p>
    <w:p>
      <w:pPr>
        <w:keepNext w:val="0"/>
        <w:keepLines w:val="0"/>
        <w:pageBreakBefore w:val="0"/>
        <w:widowControl w:val="0"/>
        <w:numPr>
          <w:ilvl w:val="0"/>
          <w:numId w:val="3"/>
        </w:numPr>
        <w:shd w:val="clear"/>
        <w:kinsoku/>
        <w:wordWrap/>
        <w:overflowPunct/>
        <w:topLinePunct w:val="0"/>
        <w:bidi w:val="0"/>
        <w:snapToGrid/>
        <w:spacing w:line="580" w:lineRule="exact"/>
        <w:ind w:left="0" w:leftChars="0"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按照《长春市雾开河十三家子大桥国考断面劣五类水体专项治理和水质巩固提升实施方案（2021-2023年）》要求，落实“属地负责，分段治理”要求，做好干雾海河道管控工作，为十三家子断面水质提升作出贡献。</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黑体" w:hAnsi="黑体" w:eastAsia="黑体"/>
          <w:bCs/>
          <w:sz w:val="32"/>
          <w:highlight w:val="none"/>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按照《长春市雾开河十三家子大桥国考断面劣五类水体专项治理和水质巩固提升实施方案（2021-2023年）》项目清单，经开区承担兴隆山污水处理厂一期提升二期扩建项目，已于2020年底完成。</w:t>
      </w:r>
    </w:p>
    <w:p>
      <w:pPr>
        <w:pStyle w:val="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kern w:val="2"/>
          <w:sz w:val="32"/>
          <w:szCs w:val="32"/>
          <w:lang w:val="en-US" w:eastAsia="zh-CN" w:bidi="ar-SA"/>
        </w:rPr>
        <w:t>经开区组织相关部门积极做好河道管控工作，2021年7月16日印发《长春经济技术开发区雾开河十三家子大桥国考断面劣五类水体专项治理和水质提升巩固实施方案（2021-2023年）》（长经环领办〔2021〕7号） ，经开区将持续做好十三家子断面水质提升工作。</w:t>
      </w: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58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58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58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58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keepNext w:val="0"/>
        <w:keepLines w:val="0"/>
        <w:pageBreakBefore w:val="0"/>
        <w:kinsoku/>
        <w:wordWrap/>
        <w:overflowPunct/>
        <w:topLinePunct w:val="0"/>
        <w:bidi w:val="0"/>
        <w:spacing w:line="560" w:lineRule="exact"/>
        <w:textAlignment w:val="auto"/>
        <w:rPr>
          <w:rFonts w:hint="eastAsia"/>
          <w:lang w:val="en-US" w:eastAsia="zh-CN"/>
        </w:rPr>
      </w:pPr>
      <w:r>
        <w:rPr>
          <w:rFonts w:hint="eastAsia" w:ascii="仿宋_GB2312" w:eastAsia="仿宋_GB2312" w:hAnsiTheme="minorHAnsi" w:cstheme="minorBidi"/>
          <w:color w:val="auto"/>
          <w:kern w:val="2"/>
          <w:sz w:val="32"/>
          <w:szCs w:val="32"/>
          <w:highlight w:val="none"/>
          <w:lang w:val="en-US" w:eastAsia="zh-CN" w:bidi="ar-SA"/>
        </w:rPr>
        <w:br w:type="page"/>
      </w:r>
    </w:p>
    <w:p>
      <w:pPr>
        <w:keepNext w:val="0"/>
        <w:keepLines w:val="0"/>
        <w:pageBreakBefore w:val="0"/>
        <w:widowControl/>
        <w:kinsoku/>
        <w:wordWrap/>
        <w:overflowPunct/>
        <w:topLinePunct w:val="0"/>
        <w:bidi w:val="0"/>
        <w:snapToGrid/>
        <w:spacing w:line="56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长春经济技术开发区承担第二轮中央生态环境保护督察反馈意见整改任务（序号二十一）</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二十一</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吉林省自然生态环境本底良好，但生态环境保护监管水平仍有差距，自然保护区、湿地违法开发建设问题较为突出，土地复垦和矿山修复等工作存在较大差距。</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 w:eastAsia="仿宋_GB2312" w:cs="仿宋_GB2312"/>
          <w:bCs/>
          <w:color w:val="auto"/>
          <w:sz w:val="32"/>
          <w:szCs w:val="32"/>
          <w:highlight w:val="none"/>
          <w:lang w:eastAsia="zh-CN"/>
        </w:rPr>
      </w:pPr>
      <w:r>
        <w:rPr>
          <w:rFonts w:hint="eastAsia" w:ascii="仿宋_GB2312" w:hAnsi="仿宋" w:eastAsia="仿宋_GB2312" w:cs="仿宋_GB2312"/>
          <w:bCs/>
          <w:color w:val="auto"/>
          <w:sz w:val="32"/>
          <w:szCs w:val="32"/>
          <w:highlight w:val="none"/>
          <w:lang w:eastAsia="zh-CN"/>
        </w:rPr>
        <w:t>有效解决自然保护区、湿地违法开发建设问题，按时间节点完成土地复垦和矿山修复工作。</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2022年8月底前，各辖区分别开展湿地违法开发建设活动自查自纠和湿地保护专项检查，及时发现并查处违法开发建设和破坏湿地问题，建立问题清单实施动态管理，强力推动整改。</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按照长春市湿地图斑显示，我区现有湿地2块，均为伊通河右岸河流性湿地。由于流经我区的伊通河为城区段，河道防洪和生态景观工程已全部完成，伊通河管理委员会具体负责水面、河道、绿化及两侧外延道路的维护监管。借助属地河长制巡河力量，我区定期对伊通河右岸开展全面巡查，未发现毁湿情况。</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kern w:val="2"/>
          <w:sz w:val="32"/>
          <w:szCs w:val="32"/>
          <w:lang w:val="en-US" w:eastAsia="zh-CN" w:bidi="ar-SA"/>
        </w:rPr>
        <w:t>我区按照全市森林、草原、湿地调查监测工作的要求部署，已开展湿地外业调查。</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60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keepNext w:val="0"/>
        <w:keepLines w:val="0"/>
        <w:pageBreakBefore w:val="0"/>
        <w:widowControl/>
        <w:kinsoku/>
        <w:wordWrap/>
        <w:overflowPunct/>
        <w:topLinePunct w:val="0"/>
        <w:bidi w:val="0"/>
        <w:snapToGrid/>
        <w:spacing w:line="600" w:lineRule="exact"/>
        <w:jc w:val="center"/>
        <w:textAlignment w:val="auto"/>
        <w:rPr>
          <w:rFonts w:hint="eastAsia"/>
          <w:lang w:val="en-US" w:eastAsia="zh-CN"/>
        </w:rPr>
      </w:pPr>
      <w:r>
        <w:rPr>
          <w:rFonts w:hint="eastAsia"/>
          <w:lang w:val="en-US" w:eastAsia="zh-CN"/>
        </w:rPr>
        <w:br w:type="page"/>
      </w:r>
    </w:p>
    <w:p>
      <w:pPr>
        <w:keepNext w:val="0"/>
        <w:keepLines w:val="0"/>
        <w:pageBreakBefore w:val="0"/>
        <w:widowControl/>
        <w:kinsoku/>
        <w:wordWrap/>
        <w:overflowPunct/>
        <w:topLinePunct w:val="0"/>
        <w:bidi w:val="0"/>
        <w:snapToGrid/>
        <w:spacing w:line="600" w:lineRule="exact"/>
        <w:jc w:val="center"/>
        <w:textAlignment w:val="auto"/>
        <w:rPr>
          <w:rFonts w:hint="eastAsia"/>
          <w:lang w:val="en-US"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长春经济技术开发区承担第二轮中央生态环境保护督察反馈意见整改任务（序号二十四）</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二十四</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毁林毁草多发频发。吉林省林业、草原资源丰富，但一直以来破坏草原、林地问题多发频发。2017年以来，吉林省查处各类破坏草原违法案件348起，共计破坏草原5.8万亩，其中非法开垦草原面积约4万亩；查处破坏林地案件13464起，破坏林地面积约3万亩。此次督察进驻期间，涉及毁林、毁草的信访案件分别高达626起、149起。</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强化管理，</w:t>
      </w:r>
      <w:r>
        <w:rPr>
          <w:rFonts w:hint="eastAsia" w:ascii="仿宋_GB2312" w:eastAsia="仿宋_GB2312"/>
          <w:color w:val="000000" w:themeColor="text1"/>
          <w:sz w:val="32"/>
          <w:szCs w:val="32"/>
          <w14:textFill>
            <w14:solidFill>
              <w14:schemeClr w14:val="tx1"/>
            </w14:solidFill>
          </w14:textFill>
        </w:rPr>
        <w:t>毁林毁草</w:t>
      </w:r>
      <w:r>
        <w:rPr>
          <w:rFonts w:hint="eastAsia" w:ascii="仿宋_GB2312" w:eastAsia="仿宋_GB2312"/>
          <w:color w:val="000000" w:themeColor="text1"/>
          <w:sz w:val="32"/>
          <w:szCs w:val="32"/>
          <w:lang w:eastAsia="zh-CN"/>
          <w14:textFill>
            <w14:solidFill>
              <w14:schemeClr w14:val="tx1"/>
            </w14:solidFill>
          </w14:textFill>
        </w:rPr>
        <w:t>违法行为有效遏制</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widowControl/>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（一）2022年8月底前，按照省林草局工作安排，开展2017年以来破坏林地、草原案件查处整改工作“回头看”，完成破坏林地、草原案件核实处理工作，查缺补漏，持续释放对破坏林草资源的高压严打信号。</w:t>
      </w:r>
    </w:p>
    <w:p>
      <w:pPr>
        <w:keepNext w:val="0"/>
        <w:keepLines w:val="0"/>
        <w:pageBreakBefore w:val="0"/>
        <w:widowControl/>
        <w:numPr>
          <w:ilvl w:val="0"/>
          <w:numId w:val="0"/>
        </w:numPr>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对群众举报案件中涉及林地（或森林）的案件线索，及时核实举报内容进行调查处理，依据《森林法》进行行政处罚，对构成刑事犯罪的案件移交公安机关进行处理。对第二轮中央环保督察期间举报的毁林毁草信访案件，实行台账式、清单式管理，落实整改主体，整改责任，完成一件销号一件，建立“一案一档”。</w:t>
      </w:r>
    </w:p>
    <w:p>
      <w:pPr>
        <w:keepNext w:val="0"/>
        <w:keepLines w:val="0"/>
        <w:pageBreakBefore w:val="0"/>
        <w:widowControl/>
        <w:numPr>
          <w:ilvl w:val="0"/>
          <w:numId w:val="0"/>
        </w:numPr>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（三）开展毁林毁草专项排查行动。</w:t>
      </w:r>
      <w:r>
        <w:rPr>
          <w:rFonts w:hint="eastAsia" w:ascii="仿宋_GB2312" w:hAnsi="黑体" w:eastAsia="仿宋_GB2312"/>
          <w:sz w:val="32"/>
          <w:szCs w:val="32"/>
          <w:lang w:eastAsia="zh-CN"/>
        </w:rPr>
        <w:t>按照</w:t>
      </w:r>
      <w:r>
        <w:rPr>
          <w:rFonts w:ascii="仿宋_GB2312" w:hAnsi="黑体" w:eastAsia="仿宋_GB2312"/>
          <w:sz w:val="32"/>
          <w:szCs w:val="32"/>
        </w:rPr>
        <w:t>《</w:t>
      </w:r>
      <w:r>
        <w:rPr>
          <w:rFonts w:hint="eastAsia" w:ascii="仿宋_GB2312" w:hAnsi="黑体" w:eastAsia="仿宋_GB2312"/>
          <w:sz w:val="32"/>
          <w:szCs w:val="32"/>
        </w:rPr>
        <w:t>长春市林业和园林局关于开展排查破坏自然保护地及毁林毁草问题的通知</w:t>
      </w:r>
      <w:r>
        <w:rPr>
          <w:rFonts w:ascii="仿宋_GB2312" w:hAnsi="黑体" w:eastAsia="仿宋_GB2312"/>
          <w:sz w:val="32"/>
          <w:szCs w:val="32"/>
        </w:rPr>
        <w:t>》</w:t>
      </w:r>
      <w:r>
        <w:rPr>
          <w:rFonts w:hint="eastAsia" w:ascii="仿宋_GB2312" w:hAnsi="黑体" w:eastAsia="仿宋_GB2312"/>
          <w:sz w:val="32"/>
          <w:szCs w:val="32"/>
        </w:rPr>
        <w:t>（长林园发【2022】7号）</w:t>
      </w:r>
      <w:r>
        <w:rPr>
          <w:rFonts w:hint="eastAsia" w:ascii="仿宋_GB2312" w:hAnsi="黑体" w:eastAsia="仿宋_GB2312"/>
          <w:sz w:val="32"/>
          <w:szCs w:val="32"/>
          <w:lang w:eastAsia="zh-CN"/>
        </w:rPr>
        <w:t>要求，按时</w:t>
      </w:r>
      <w:r>
        <w:rPr>
          <w:rFonts w:hint="eastAsia" w:ascii="仿宋_GB2312" w:eastAsia="仿宋_GB2312"/>
          <w:color w:val="000000" w:themeColor="text1"/>
          <w:sz w:val="32"/>
          <w:szCs w:val="32"/>
          <w14:textFill>
            <w14:solidFill>
              <w14:schemeClr w14:val="tx1"/>
            </w14:solidFill>
          </w14:textFill>
        </w:rPr>
        <w:t>完成本辖区范围内毁林毁草专项排查行动，全面严厉打击破坏森林草原的违法行为。</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对群众举报案件中涉及林地（或森林）的案件线索，及时核实举报内容进行调查处理，依据《森林法》进行行政处罚，对构成刑事犯罪的案件移交公安机关进行处理，目前我区无群众举报的毁林毁草案件。</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经开区已开展毁林毁草专项排查行动，并印发行动方案，辖区内未发现毁林毁草行为。</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60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长春经济技术开发区承担第二轮中央生态环境保护督察反馈意见整改任务（序号二十五）</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二十五</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大气污染防治有待加强。散煤治理严重滞后。长春、白城、通化等市散煤底数不清，替代措施不实，工作进展严重滞后，城乡结合部、城中村等散煤污染问题突出。</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散煤管理职责清、底数明，散煤燃烧得到有效遏制。</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numPr>
          <w:ilvl w:val="0"/>
          <w:numId w:val="0"/>
        </w:numPr>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根据长春市散煤治理牵头部门，结合我区实际</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明确经开区散煤治理牵头部门，研究治理措施及具体责任分工。</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（二）按照市发改委安排部署，进一步提高煤炭洗选比例。</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（三）启动经开北区经北4号锅炉房热源项目，2022年12月底前，力争实现新增生物质清洁能源集中供热能力</w:t>
      </w:r>
      <w:r>
        <w:rPr>
          <w:rFonts w:hint="eastAsia" w:ascii="仿宋_GB2312" w:eastAsia="仿宋_GB2312"/>
          <w:color w:val="000000" w:themeColor="text1"/>
          <w:sz w:val="32"/>
          <w:szCs w:val="32"/>
          <w:lang w:val="en-US" w:eastAsia="zh-CN"/>
          <w14:textFill>
            <w14:solidFill>
              <w14:schemeClr w14:val="tx1"/>
            </w14:solidFill>
          </w14:textFill>
        </w:rPr>
        <w:t>58</w:t>
      </w:r>
      <w:r>
        <w:rPr>
          <w:rFonts w:hint="eastAsia" w:ascii="仿宋_GB2312" w:eastAsia="仿宋_GB2312"/>
          <w:color w:val="000000" w:themeColor="text1"/>
          <w:sz w:val="32"/>
          <w:szCs w:val="32"/>
          <w14:textFill>
            <w14:solidFill>
              <w14:schemeClr w14:val="tx1"/>
            </w14:solidFill>
          </w14:textFill>
        </w:rPr>
        <w:t>兆瓦（</w:t>
      </w: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0蒸吨），实现长春兴隆综合保税区区域内集中供热；结合现状供热情况，优先将城乡结合部具备集中采暖条件的建筑纳入集中供热管网。</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（四）加大排查力度，充分摸清辖区内加工制作和销售商品煤企业户数，并建立监管档案；实行动态监管，实时掌握各相关企业的生产和销售情况；依据</w:t>
      </w:r>
      <w:r>
        <w:rPr>
          <w:rFonts w:hint="eastAsia" w:ascii="仿宋_GB2312" w:eastAsia="仿宋_GB2312"/>
          <w:color w:val="000000" w:themeColor="text1"/>
          <w:sz w:val="32"/>
          <w:szCs w:val="32"/>
          <w:lang w:eastAsia="zh-CN"/>
          <w14:textFill>
            <w14:solidFill>
              <w14:schemeClr w14:val="tx1"/>
            </w14:solidFill>
          </w14:textFill>
        </w:rPr>
        <w:t>长春市市场监督管理</w:t>
      </w:r>
      <w:r>
        <w:rPr>
          <w:rFonts w:hint="eastAsia" w:ascii="仿宋_GB2312" w:eastAsia="仿宋_GB2312"/>
          <w:color w:val="000000" w:themeColor="text1"/>
          <w:sz w:val="32"/>
          <w:szCs w:val="32"/>
          <w14:textFill>
            <w14:solidFill>
              <w14:schemeClr w14:val="tx1"/>
            </w14:solidFill>
          </w14:textFill>
        </w:rPr>
        <w:t>局监督抽样计划开展监督抽查；严格执法，对抽检不合格的企业加大处罚力度。</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（五）开展燃煤小锅炉专项检查。严格查处生物质锅炉偷烧散煤、垃圾、工业固体废物等其他物料的违法行为，市区禁止新建40蒸吨/小时以下燃煤锅炉，依法淘汰违规建设的燃煤小锅炉。</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000000" w:themeColor="text1"/>
          <w:sz w:val="32"/>
          <w:szCs w:val="32"/>
          <w14:textFill>
            <w14:solidFill>
              <w14:schemeClr w14:val="tx1"/>
            </w14:solidFill>
          </w14:textFill>
        </w:rPr>
        <w:t>（六）大力推动煤炭清洁高效利用，积极稳妥实施散煤治理，建立完善散煤监管体系，合理划定禁止散烧区域，有序推进散煤替代，逐步削减小型燃煤锅炉、民用散煤用煤量。</w:t>
      </w:r>
      <w:r>
        <w:rPr>
          <w:rFonts w:hint="eastAsia" w:ascii="仿宋_GB2312" w:eastAsia="仿宋_GB2312"/>
          <w:color w:val="auto"/>
          <w:sz w:val="32"/>
          <w:szCs w:val="32"/>
          <w:highlight w:val="none"/>
          <w:lang w:val="en-US" w:eastAsia="zh-CN"/>
        </w:rPr>
        <w:t xml:space="preserve">       </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经开区从多维度对散煤使用情况进行监管</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一、从严从实开展小锅炉监管工作。按照长春市政府禁烧区划定要求，于2019年将全区255台20吨以下燃煤锅炉，以拆除和改电、天然气、生物质等清洁供暖方式完成整改。</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二、经开区对煤炭质量进行监管，按照《长春市市场监督管理局经济技术开发区分局煤炭产品质量监管工作实施方案》</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对本辖区煤炭加工企业、销售主体的登记注册、生产经营情况进行排查，摸清本辖区煤炭加工企业、销售主体底数，建立和完善辖区内煤炭加工企业、销售主体监管台账，并实行动态管理，随时掌握加工企业、销售主体数量变化情况。经排查，未发现辖区内有加工、制作煤炭产品企业。同时加大抽样检查频次、保证煤炭质量。分局每年都按照市局的监督抽查计划，与相关检验机构一起对辖区内的煤炭销售企业所销售的煤炭进行抽样检查。至今未发现辖区内各销售企业所销售的煤炭产品质量不合格。</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加快清洁煤配送中心建设。经过对我区燃煤区域用量、道路交通、加工、存储等情况前期摸底调查，明确兴隆山镇及长吉南线沿线为我区主要燃煤集中区域。根据我区用煤实际并结合长春市洁净煤供应总体供给需求布局情况，分别与吉林乐天环保节能科技有限公司、吉林省国明经贸有限公司签署合作协议，共建“长春经济技术开发区洁净煤配送中心”，保证清洁煤配套供应。</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根据《长春市清洁煤炭体系建设工作方案》（长发改能联[2021]436号）文件精神，经开区企业及居民可使用“长春市清洁燃料供应中心”进行清洁煤配套供应。经开区最终选定“长春市清洁燃料供应中心第三经销站仓储场（煤棚面积4675平米，储备能力2万吨。）”及“长春市清洁燃料供应中心第十五供应站仓储场（煤棚面积2350平米，储备能力1万吨。）”等2个清洁煤配送点，进一步完善了我区清洁燃料供应体系，推进清洁能源供给公共服务能力等方面的建设。</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开展节能化改造。引导企业使用电采暖方式供热。为积极引导企业使用可再生清洁能源进行供暖。组织符合条件的项目单位申报电能清洁供暖奖补资金。截至目前，区内共有9个项目建成投入使用。经开区经发局组织项目单位累计申请补助资金1591.8万元,补助资金已全部到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kern w:val="2"/>
          <w:sz w:val="32"/>
          <w:szCs w:val="32"/>
          <w:lang w:val="en-US" w:eastAsia="zh-CN" w:bidi="ar-SA"/>
        </w:rPr>
        <w:t>五、优先支持太阳能项目。积极推进光伏发电项目建设，目前吉林天朗晶能隆光伏发电有限公司1.5MW分布式并网光伏发电项目、长春经济技术开发区中小企业屋顶分布式光伏电站、长春爱尔铃克铃尔有限公司3MW分布式光伏电站、福耀集团长春有限公司10.4MW屋顶分布式光伏发电项目等7个项目备案工作已全部完成，目前长春爱尔铃克铃尔有限公司3MW分布式光伏电站已开工建设，吉林天朗晶能隆光伏发电有限公司1.5MW分布式并网光伏发电项目已建成投入使用。</w:t>
      </w: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autoSpaceDE/>
        <w:autoSpaceDN/>
        <w:bidi w:val="0"/>
        <w:adjustRightInd/>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pStyle w:val="2"/>
        <w:rPr>
          <w:rFonts w:hint="eastAsia" w:ascii="仿宋_GB2312" w:hAnsi="仿宋_GB2312" w:eastAsia="仿宋_GB2312" w:cs="仿宋_GB2312"/>
          <w:b w:val="0"/>
          <w:bCs w:val="0"/>
          <w:sz w:val="32"/>
          <w:szCs w:val="32"/>
          <w:lang w:val="en-US" w:eastAsia="zh-CN"/>
        </w:rPr>
      </w:pPr>
    </w:p>
    <w:p>
      <w:pPr>
        <w:pStyle w:val="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3"/>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长春经济技术开发区承担第二轮中央生态环境保护督察反馈意见整改任务（序号二十八）</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二十八</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黑土地保护部分措施落实不到位。《吉林省黑土地保护条例》已颁布实施3年，但配套措施推进缓慢，部分工作落实不到位。截至督察进驻时，省级黑土地保护总体规划仍未完成编制，黑土地保护责任考核和督察工作体系还不健全，黑土地质量监测和信息发布、质量标准和分等定级技术规范等配套制度均未建立。</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黑土地保护制度进一步完善，保护措施得到有效落实。</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认真学习领会习近平总书记关于黑土地保护和视察吉林的重要讲话重要指示精神、《吉林省黑土地保护条例》及《中共长春市委长春市人民政府关于全面加强黑土地保护的实施意见》，提高思想认识，坚定不移地把黑土地保护好、利用好，使之造福人民。</w:t>
      </w:r>
    </w:p>
    <w:p>
      <w:pPr>
        <w:keepNext w:val="0"/>
        <w:keepLines w:val="0"/>
        <w:pageBreakBefore w:val="0"/>
        <w:shd w:val="clear"/>
        <w:kinsoku/>
        <w:wordWrap/>
        <w:overflowPunct/>
        <w:topLinePunct w:val="0"/>
        <w:bidi w:val="0"/>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2022年12月底前，在市农业农村局的组织指导下，完成黑土地保护规划编制，完善黑土地保护制度体系。</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kern w:val="2"/>
          <w:sz w:val="32"/>
          <w:szCs w:val="32"/>
          <w:lang w:val="en-US" w:eastAsia="zh-CN" w:bidi="ar-SA"/>
        </w:rPr>
        <w:t>经开区已于2022年12月完成了黑土地保护规划编制工作，完善了黑土地保护制度体系。</w:t>
      </w: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60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2023年2月20日</w:t>
      </w: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p>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长春经济技术开发区承担第二轮中央生态环境保护督察反馈意见整改任务（序号二十九）</w:t>
      </w:r>
    </w:p>
    <w:p>
      <w:pPr>
        <w:keepNext w:val="0"/>
        <w:keepLines w:val="0"/>
        <w:pageBreakBefore w:val="0"/>
        <w:widowControl/>
        <w:kinsoku/>
        <w:wordWrap/>
        <w:overflowPunct/>
        <w:topLinePunct w:val="0"/>
        <w:bidi w:val="0"/>
        <w:snapToGrid/>
        <w:spacing w:line="600" w:lineRule="exact"/>
        <w:ind w:left="0" w:leftChars="0" w:firstLine="880" w:firstLineChars="20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完成情况公示</w:t>
      </w: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ascii="仿宋_GB2312" w:hAnsi="宋体" w:eastAsia="仿宋_GB2312" w:cs="仿宋_GB2312"/>
          <w:i w:val="0"/>
          <w:iCs w:val="0"/>
          <w:caps w:val="0"/>
          <w:color w:val="000000"/>
          <w:spacing w:val="0"/>
          <w:sz w:val="32"/>
          <w:szCs w:val="32"/>
          <w:highlight w:val="none"/>
          <w:shd w:val="clear" w:fill="FFFFFF"/>
        </w:rPr>
      </w:pPr>
    </w:p>
    <w:p>
      <w:pPr>
        <w:pStyle w:val="2"/>
        <w:keepNext w:val="0"/>
        <w:keepLines w:val="0"/>
        <w:pageBreakBefore w:val="0"/>
        <w:kinsoku/>
        <w:wordWrap/>
        <w:overflowPunct/>
        <w:topLinePunct w:val="0"/>
        <w:bidi w:val="0"/>
        <w:snapToGrid/>
        <w:spacing w:line="600" w:lineRule="exact"/>
        <w:ind w:left="0" w:leftChars="0" w:firstLine="640" w:firstLineChars="200"/>
        <w:textAlignment w:val="auto"/>
        <w:rPr>
          <w:rFonts w:hint="eastAsia"/>
          <w:highlight w:val="none"/>
        </w:rPr>
      </w:pPr>
      <w:r>
        <w:rPr>
          <w:rFonts w:ascii="仿宋_GB2312" w:hAnsi="宋体" w:eastAsia="仿宋_GB2312" w:cs="仿宋_GB2312"/>
          <w:i w:val="0"/>
          <w:iCs w:val="0"/>
          <w:caps w:val="0"/>
          <w:color w:val="000000"/>
          <w:spacing w:val="0"/>
          <w:sz w:val="32"/>
          <w:szCs w:val="32"/>
          <w:highlight w:val="none"/>
          <w:shd w:val="clear" w:fill="FFFFFF"/>
        </w:rPr>
        <w:t>根据《吉林省环境保护督察反馈问题整改工作领导小组办公室关于认真做好中央环保督察反馈问题整改销号工作的通知》（</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2018</w:t>
      </w:r>
      <w:r>
        <w:rPr>
          <w:rFonts w:hint="eastAsia" w:ascii="仿宋_GB2312" w:hAnsi="宋体" w:eastAsia="仿宋_GB2312" w:cs="仿宋_GB2312"/>
          <w:i w:val="0"/>
          <w:iCs w:val="0"/>
          <w:caps w:val="0"/>
          <w:color w:val="000000"/>
          <w:spacing w:val="0"/>
          <w:sz w:val="32"/>
          <w:szCs w:val="32"/>
          <w:highlight w:val="none"/>
          <w:shd w:val="clear" w:fill="FFFFFF"/>
        </w:rPr>
        <w:t>〕</w:t>
      </w:r>
      <w:r>
        <w:rPr>
          <w:rFonts w:hint="eastAsia" w:ascii="仿宋_GB2312" w:hAnsi="宋体" w:eastAsia="仿宋_GB2312" w:cs="仿宋_GB2312"/>
          <w:i w:val="0"/>
          <w:iCs w:val="0"/>
          <w:caps w:val="0"/>
          <w:color w:val="000000"/>
          <w:spacing w:val="0"/>
          <w:sz w:val="32"/>
          <w:szCs w:val="32"/>
          <w:highlight w:val="none"/>
          <w:shd w:val="clear" w:fill="FFFFFF"/>
          <w:lang w:val="en-US"/>
        </w:rPr>
        <w:t>13</w:t>
      </w:r>
      <w:r>
        <w:rPr>
          <w:rFonts w:hint="eastAsia" w:ascii="仿宋_GB2312" w:hAnsi="宋体" w:eastAsia="仿宋_GB2312" w:cs="仿宋_GB2312"/>
          <w:i w:val="0"/>
          <w:iCs w:val="0"/>
          <w:caps w:val="0"/>
          <w:color w:val="000000"/>
          <w:spacing w:val="0"/>
          <w:sz w:val="32"/>
          <w:szCs w:val="32"/>
          <w:highlight w:val="none"/>
          <w:shd w:val="clear" w:fill="FFFFFF"/>
        </w:rPr>
        <w:t>号）要求，现对</w:t>
      </w:r>
      <w:r>
        <w:rPr>
          <w:rFonts w:hint="eastAsia" w:ascii="仿宋_GB2312" w:hAnsi="宋体" w:eastAsia="仿宋_GB2312" w:cs="仿宋_GB2312"/>
          <w:i w:val="0"/>
          <w:iCs w:val="0"/>
          <w:caps w:val="0"/>
          <w:color w:val="000000"/>
          <w:spacing w:val="0"/>
          <w:sz w:val="32"/>
          <w:szCs w:val="32"/>
          <w:highlight w:val="none"/>
          <w:shd w:val="clear" w:fill="FFFFFF"/>
          <w:lang w:eastAsia="zh-CN"/>
        </w:rPr>
        <w:t>长春经济技术开发区</w:t>
      </w:r>
      <w:r>
        <w:rPr>
          <w:rFonts w:hint="eastAsia" w:ascii="仿宋_GB2312" w:hAnsi="宋体" w:eastAsia="仿宋_GB2312" w:cs="仿宋_GB2312"/>
          <w:i w:val="0"/>
          <w:iCs w:val="0"/>
          <w:caps w:val="0"/>
          <w:color w:val="000000"/>
          <w:spacing w:val="0"/>
          <w:sz w:val="32"/>
          <w:szCs w:val="32"/>
          <w:highlight w:val="none"/>
          <w:shd w:val="clear" w:fill="FFFFFF"/>
        </w:rPr>
        <w:t>承担</w:t>
      </w:r>
      <w:r>
        <w:rPr>
          <w:rFonts w:hint="eastAsia" w:ascii="仿宋_GB2312" w:hAnsi="宋体" w:eastAsia="仿宋_GB2312" w:cs="仿宋_GB2312"/>
          <w:i w:val="0"/>
          <w:iCs w:val="0"/>
          <w:caps w:val="0"/>
          <w:color w:val="000000"/>
          <w:spacing w:val="0"/>
          <w:sz w:val="32"/>
          <w:szCs w:val="32"/>
          <w:highlight w:val="none"/>
          <w:shd w:val="clear" w:fill="FFFFFF"/>
          <w:lang w:eastAsia="zh-CN"/>
        </w:rPr>
        <w:t>第二轮中央生态环境保护督察反馈意见</w:t>
      </w:r>
      <w:r>
        <w:rPr>
          <w:rFonts w:hint="eastAsia" w:ascii="仿宋_GB2312" w:hAnsi="宋体" w:eastAsia="仿宋_GB2312" w:cs="仿宋_GB2312"/>
          <w:i w:val="0"/>
          <w:iCs w:val="0"/>
          <w:caps w:val="0"/>
          <w:color w:val="000000"/>
          <w:spacing w:val="0"/>
          <w:sz w:val="32"/>
          <w:szCs w:val="32"/>
          <w:highlight w:val="none"/>
          <w:shd w:val="clear" w:fill="FFFFFF"/>
        </w:rPr>
        <w:t>整改任务（序号</w:t>
      </w:r>
      <w:r>
        <w:rPr>
          <w:rFonts w:hint="eastAsia" w:ascii="仿宋_GB2312" w:hAnsi="宋体" w:eastAsia="仿宋_GB2312" w:cs="仿宋_GB2312"/>
          <w:i w:val="0"/>
          <w:iCs w:val="0"/>
          <w:caps w:val="0"/>
          <w:color w:val="000000"/>
          <w:spacing w:val="0"/>
          <w:sz w:val="32"/>
          <w:szCs w:val="32"/>
          <w:highlight w:val="none"/>
          <w:shd w:val="clear" w:fill="FFFFFF"/>
          <w:lang w:eastAsia="zh-CN"/>
        </w:rPr>
        <w:t>二十九</w:t>
      </w:r>
      <w:r>
        <w:rPr>
          <w:rFonts w:hint="eastAsia" w:ascii="仿宋_GB2312" w:hAnsi="宋体" w:eastAsia="仿宋_GB2312" w:cs="仿宋_GB2312"/>
          <w:i w:val="0"/>
          <w:iCs w:val="0"/>
          <w:caps w:val="0"/>
          <w:color w:val="000000"/>
          <w:spacing w:val="0"/>
          <w:sz w:val="32"/>
          <w:szCs w:val="32"/>
          <w:highlight w:val="none"/>
          <w:shd w:val="clear" w:fill="FFFFFF"/>
        </w:rPr>
        <w:t>）完成情况予以公示。</w:t>
      </w:r>
    </w:p>
    <w:p>
      <w:pPr>
        <w:keepNext w:val="0"/>
        <w:keepLines w:val="0"/>
        <w:pageBreakBefore w:val="0"/>
        <w:numPr>
          <w:ilvl w:val="0"/>
          <w:numId w:val="0"/>
        </w:numPr>
        <w:kinsoku/>
        <w:wordWrap/>
        <w:overflowPunct/>
        <w:topLinePunct w:val="0"/>
        <w:bidi w:val="0"/>
        <w:snapToGrid/>
        <w:spacing w:line="600" w:lineRule="exact"/>
        <w:ind w:leftChars="200" w:firstLine="320" w:firstLineChars="100"/>
        <w:textAlignment w:val="auto"/>
        <w:rPr>
          <w:rFonts w:hint="eastAsia" w:ascii="黑体" w:hAnsi="黑体" w:eastAsia="黑体"/>
          <w:bCs/>
          <w:sz w:val="32"/>
          <w:highlight w:val="none"/>
        </w:rPr>
      </w:pPr>
      <w:r>
        <w:rPr>
          <w:rFonts w:hint="eastAsia" w:ascii="黑体" w:hAnsi="黑体" w:eastAsia="黑体"/>
          <w:bCs/>
          <w:sz w:val="32"/>
          <w:highlight w:val="none"/>
          <w:lang w:eastAsia="zh-CN"/>
        </w:rPr>
        <w:t>一、</w:t>
      </w:r>
      <w:r>
        <w:rPr>
          <w:rFonts w:hint="eastAsia" w:ascii="黑体" w:hAnsi="黑体" w:eastAsia="黑体"/>
          <w:bCs/>
          <w:sz w:val="32"/>
          <w:highlight w:val="none"/>
        </w:rPr>
        <w:t>整改任务</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表土剥离制度落实不到位，导致部分地区黑土地遭到压覆、破坏。据省自然资源部门统计，2018年至2020年吉林省建设项目占用黑土地应剥未剥面积达1272公顷。</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lang w:val="en-US" w:eastAsia="zh-CN"/>
        </w:rPr>
      </w:pPr>
      <w:r>
        <w:rPr>
          <w:rFonts w:hint="eastAsia" w:ascii="黑体" w:hAnsi="黑体" w:eastAsia="黑体"/>
          <w:bCs/>
          <w:sz w:val="32"/>
          <w:highlight w:val="none"/>
          <w:lang w:eastAsia="zh-CN"/>
        </w:rPr>
        <w:t>二、</w:t>
      </w:r>
      <w:r>
        <w:rPr>
          <w:rFonts w:hint="eastAsia" w:ascii="黑体" w:hAnsi="黑体" w:eastAsia="黑体"/>
          <w:bCs/>
          <w:sz w:val="32"/>
          <w:highlight w:val="none"/>
        </w:rPr>
        <w:t>整改目标</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表土剥离制度进一步完善。</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Cs/>
          <w:sz w:val="32"/>
          <w:highlight w:val="none"/>
        </w:rPr>
      </w:pPr>
      <w:r>
        <w:rPr>
          <w:rFonts w:hint="eastAsia" w:ascii="黑体" w:hAnsi="黑体" w:eastAsia="黑体" w:cs="黑体"/>
          <w:sz w:val="32"/>
          <w:szCs w:val="32"/>
          <w:lang w:eastAsia="zh-CN"/>
        </w:rPr>
        <w:t>三、</w:t>
      </w:r>
      <w:r>
        <w:rPr>
          <w:rFonts w:hint="eastAsia" w:ascii="黑体" w:hAnsi="黑体" w:eastAsia="黑体" w:cs="黑体"/>
          <w:sz w:val="32"/>
          <w:szCs w:val="32"/>
          <w:highlight w:val="none"/>
        </w:rPr>
        <w:t>整改措施</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（一）落实属地政府责任制，按照文件规定，对建设占用耕地应剥未剥项目开展表土剥离工作。</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（二）2022年8月底前，按照市规划与自然资源局要求对应剥未剥情况，制定整改方案，进行分类整改。</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1.2022年8月底前，对依申请已实施剥离暂未组织验收的项目，尽快完成剥离并组织验收。</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2.2022年8月底前，因违法用地导致无法剥离的，未处罚的按《土地管理法》和《吉林省黑土地保护条例》处罚。</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3.2022年8月底前，未按照《吉林省黑土地保护条例》要求实施剥离的，按《吉林省黑土地保护条例》处罚。</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bCs/>
          <w:sz w:val="32"/>
          <w:highlight w:val="none"/>
        </w:rPr>
      </w:pPr>
      <w:r>
        <w:rPr>
          <w:rFonts w:hint="eastAsia" w:ascii="黑体" w:hAnsi="黑体" w:eastAsia="黑体"/>
          <w:bCs/>
          <w:sz w:val="32"/>
          <w:highlight w:val="none"/>
          <w:lang w:eastAsia="zh-CN"/>
        </w:rPr>
        <w:t>四、</w:t>
      </w:r>
      <w:r>
        <w:rPr>
          <w:rFonts w:hint="eastAsia" w:ascii="黑体" w:hAnsi="黑体" w:eastAsia="黑体"/>
          <w:bCs/>
          <w:sz w:val="32"/>
          <w:highlight w:val="none"/>
        </w:rPr>
        <w:t>整改完成情况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经与市规自局核实，我区涉及①北区丙十三街等2条道路项目和沈阳大路项目表土剥离工作。其中北区丙十三街等2条道路项目为道路用地项目，占用耕地面积0.3871公顷，应剥离表土面积0.3871公顷，实际剥离表土面积0.3871公顷。剥离表土已用于绿化，即剥即用。②沈阳大路项目为道路用地项目，占用耕地面积0.6868公顷，应剥离表土面积0.6868公顷，实际剥离表土面积0.6868公顷。剥离表土已用于绿化，即剥即用。目前市规自局已组织相关领域专家对上述两个表土剥离项目进行了验收。</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auto"/>
          <w:kern w:val="2"/>
          <w:sz w:val="32"/>
          <w:szCs w:val="32"/>
          <w:lang w:val="en-US" w:eastAsia="zh-CN" w:bidi="ar-SA"/>
        </w:rPr>
        <w:t>我区在办理批次用地手续前将按照省市要求编制表土剥离方案，依据省表土剥离管理办法履行表土剥离验收程序。</w:t>
      </w: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600" w:lineRule="exact"/>
        <w:ind w:left="0" w:left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长春经济技术开发区</w:t>
      </w:r>
    </w:p>
    <w:p>
      <w:pPr>
        <w:pStyle w:val="3"/>
        <w:keepNext w:val="0"/>
        <w:keepLines w:val="0"/>
        <w:pageBreakBefore w:val="0"/>
        <w:kinsoku/>
        <w:wordWrap/>
        <w:overflowPunct/>
        <w:topLinePunct w:val="0"/>
        <w:bidi w:val="0"/>
        <w:snapToGrid/>
        <w:spacing w:line="600" w:lineRule="exact"/>
        <w:ind w:left="0"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环保督察反馈问题整改工作领导小组</w:t>
      </w:r>
    </w:p>
    <w:p>
      <w:pPr>
        <w:pStyle w:val="3"/>
        <w:keepNext w:val="0"/>
        <w:keepLines w:val="0"/>
        <w:pageBreakBefore w:val="0"/>
        <w:kinsoku/>
        <w:wordWrap/>
        <w:overflowPunct/>
        <w:topLinePunct w:val="0"/>
        <w:bidi w:val="0"/>
        <w:snapToGrid/>
        <w:spacing w:line="600" w:lineRule="exact"/>
        <w:ind w:left="0" w:leftChars="0"/>
        <w:jc w:val="center"/>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2023年2月20</w:t>
      </w:r>
      <w:bookmarkStart w:id="0" w:name="_GoBack"/>
      <w:bookmarkEnd w:id="0"/>
      <w:r>
        <w:rPr>
          <w:rFonts w:hint="eastAsia" w:ascii="仿宋_GB2312" w:hAnsi="仿宋_GB2312" w:eastAsia="仿宋_GB2312" w:cs="仿宋_GB2312"/>
          <w:b w:val="0"/>
          <w:bCs w:val="0"/>
          <w:sz w:val="32"/>
          <w:szCs w:val="32"/>
          <w:lang w:val="en-US" w:eastAsia="zh-CN"/>
        </w:rPr>
        <w:t>日</w:t>
      </w:r>
    </w:p>
    <w:p>
      <w:pPr>
        <w:pStyle w:val="2"/>
        <w:keepNext w:val="0"/>
        <w:keepLines w:val="0"/>
        <w:pageBreakBefore w:val="0"/>
        <w:kinsoku/>
        <w:wordWrap/>
        <w:overflowPunct/>
        <w:topLinePunct w:val="0"/>
        <w:bidi w:val="0"/>
        <w:snapToGrid/>
        <w:spacing w:line="600" w:lineRule="exact"/>
        <w:textAlignment w:val="auto"/>
        <w:rPr>
          <w:rFonts w:hint="eastAsia"/>
          <w:lang w:val="en-US" w:eastAsia="zh-CN"/>
        </w:rPr>
      </w:pPr>
    </w:p>
    <w:p>
      <w:pPr>
        <w:pStyle w:val="3"/>
        <w:keepNext w:val="0"/>
        <w:keepLines w:val="0"/>
        <w:pageBreakBefore w:val="0"/>
        <w:kinsoku/>
        <w:wordWrap/>
        <w:overflowPunct/>
        <w:topLinePunct w:val="0"/>
        <w:bidi w:val="0"/>
        <w:snapToGrid/>
        <w:spacing w:line="600" w:lineRule="exact"/>
        <w:textAlignment w:val="auto"/>
        <w:rPr>
          <w:rFonts w:hint="eastAsia"/>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B6AB9"/>
    <w:multiLevelType w:val="singleLevel"/>
    <w:tmpl w:val="BF0B6AB9"/>
    <w:lvl w:ilvl="0" w:tentative="0">
      <w:start w:val="1"/>
      <w:numFmt w:val="chineseCounting"/>
      <w:suff w:val="nothing"/>
      <w:lvlText w:val="（%1）"/>
      <w:lvlJc w:val="left"/>
      <w:rPr>
        <w:rFonts w:hint="eastAsia"/>
      </w:rPr>
    </w:lvl>
  </w:abstractNum>
  <w:abstractNum w:abstractNumId="1">
    <w:nsid w:val="EC734606"/>
    <w:multiLevelType w:val="singleLevel"/>
    <w:tmpl w:val="EC734606"/>
    <w:lvl w:ilvl="0" w:tentative="0">
      <w:start w:val="1"/>
      <w:numFmt w:val="chineseCounting"/>
      <w:suff w:val="nothing"/>
      <w:lvlText w:val="（%1）"/>
      <w:lvlJc w:val="left"/>
      <w:rPr>
        <w:rFonts w:hint="eastAsia"/>
      </w:rPr>
    </w:lvl>
  </w:abstractNum>
  <w:abstractNum w:abstractNumId="2">
    <w:nsid w:val="4D796E68"/>
    <w:multiLevelType w:val="singleLevel"/>
    <w:tmpl w:val="4D796E6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ZDk1NWFkYmE2NmUyMmNmODVjOGU4OTBlNTA4ZjAifQ=="/>
    <w:docVar w:name="KSO_WPS_MARK_KEY" w:val="5c4dbc61-9bcf-4d08-8f9a-c20cb1f9b76e"/>
  </w:docVars>
  <w:rsids>
    <w:rsidRoot w:val="2A7E57F0"/>
    <w:rsid w:val="026B44EA"/>
    <w:rsid w:val="04FC2F00"/>
    <w:rsid w:val="09EB2C7F"/>
    <w:rsid w:val="0CB97065"/>
    <w:rsid w:val="0D0E115E"/>
    <w:rsid w:val="11050808"/>
    <w:rsid w:val="11877731"/>
    <w:rsid w:val="1256784C"/>
    <w:rsid w:val="16C50F7C"/>
    <w:rsid w:val="17BD4979"/>
    <w:rsid w:val="1A2175FB"/>
    <w:rsid w:val="1D28764A"/>
    <w:rsid w:val="1D735111"/>
    <w:rsid w:val="1E2307E2"/>
    <w:rsid w:val="206D50AB"/>
    <w:rsid w:val="208C08C0"/>
    <w:rsid w:val="20BA367F"/>
    <w:rsid w:val="25067167"/>
    <w:rsid w:val="25A81599"/>
    <w:rsid w:val="296323DA"/>
    <w:rsid w:val="2A7E57F0"/>
    <w:rsid w:val="2D7753C8"/>
    <w:rsid w:val="2DB83119"/>
    <w:rsid w:val="2FB5294A"/>
    <w:rsid w:val="30316D8E"/>
    <w:rsid w:val="32132BEF"/>
    <w:rsid w:val="34346E4D"/>
    <w:rsid w:val="351078BA"/>
    <w:rsid w:val="39783C80"/>
    <w:rsid w:val="3BC136BC"/>
    <w:rsid w:val="3EAD7F28"/>
    <w:rsid w:val="418A5308"/>
    <w:rsid w:val="41CE5728"/>
    <w:rsid w:val="422F6A5C"/>
    <w:rsid w:val="46087DBD"/>
    <w:rsid w:val="491D214E"/>
    <w:rsid w:val="4A287156"/>
    <w:rsid w:val="4CC31472"/>
    <w:rsid w:val="4E2B6A9B"/>
    <w:rsid w:val="4EDE059E"/>
    <w:rsid w:val="527E2FEB"/>
    <w:rsid w:val="559F7911"/>
    <w:rsid w:val="577B076B"/>
    <w:rsid w:val="581F5A1A"/>
    <w:rsid w:val="58FE4E84"/>
    <w:rsid w:val="59367040"/>
    <w:rsid w:val="59CD178A"/>
    <w:rsid w:val="5A460C39"/>
    <w:rsid w:val="5B4D4167"/>
    <w:rsid w:val="5CF10E3E"/>
    <w:rsid w:val="5D8440F2"/>
    <w:rsid w:val="61191503"/>
    <w:rsid w:val="61493688"/>
    <w:rsid w:val="66683D1C"/>
    <w:rsid w:val="72671BC0"/>
    <w:rsid w:val="756878A0"/>
    <w:rsid w:val="762F76F3"/>
    <w:rsid w:val="76E60E81"/>
    <w:rsid w:val="77A80CB1"/>
    <w:rsid w:val="7B33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index 5"/>
    <w:basedOn w:val="1"/>
    <w:next w:val="1"/>
    <w:semiHidden/>
    <w:unhideWhenUsed/>
    <w:qFormat/>
    <w:uiPriority w:val="99"/>
    <w:pPr>
      <w:ind w:left="800" w:leftChars="8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2"/>
    <w:basedOn w:val="1"/>
    <w:next w:val="1"/>
    <w:qFormat/>
    <w:uiPriority w:val="39"/>
    <w:pPr>
      <w:ind w:left="420" w:leftChars="200"/>
    </w:pPr>
    <w:rPr>
      <w:rFonts w:cs="Calibri"/>
      <w:szCs w:val="20"/>
    </w:rPr>
  </w:style>
  <w:style w:type="paragraph" w:styleId="7">
    <w:name w:val="Normal (Web)"/>
    <w:basedOn w:val="1"/>
    <w:qFormat/>
    <w:uiPriority w:val="99"/>
    <w:rPr>
      <w:sz w:val="24"/>
    </w:rPr>
  </w:style>
  <w:style w:type="table" w:customStyle="1" w:styleId="10">
    <w:name w:val="网格型1"/>
    <w:basedOn w:val="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啊"/>
    <w:basedOn w:val="1"/>
    <w:qFormat/>
    <w:uiPriority w:val="0"/>
    <w:pPr>
      <w:spacing w:line="588" w:lineRule="exact"/>
      <w:ind w:firstLine="1134"/>
      <w:contextualSpacing/>
    </w:pPr>
    <w:rPr>
      <w:rFonts w:ascii="Times New Roman" w:hAnsi="Times New Roman" w:eastAsia="方正仿宋_GBK" w:cs="Times New Roman"/>
      <w:color w:val="00000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7330</Words>
  <Characters>7592</Characters>
  <Lines>0</Lines>
  <Paragraphs>0</Paragraphs>
  <TotalTime>2</TotalTime>
  <ScaleCrop>false</ScaleCrop>
  <LinksUpToDate>false</LinksUpToDate>
  <CharactersWithSpaces>8260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2021-12-06T01:19:00Z</dcterms:created>
  <dc:creator>萌萌哒学霸</dc:creator>
  <cp:lastModifiedBy>Administrator</cp:lastModifiedBy>
  <cp:lastPrinted>2022-12-08T07:59:00Z</cp:lastPrinted>
  <dcterms:modified xsi:type="dcterms:W3CDTF">2023-03-10T01:32:58Z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A0B92D54F4B6434B8B723D22F6DD6DA5</vt:lpwstr>
  </property>
</Properties>
</file>