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40"/>
          <w:szCs w:val="40"/>
        </w:rPr>
      </w:pPr>
      <w:r>
        <w:rPr>
          <w:sz w:val="40"/>
          <w:szCs w:val="40"/>
        </w:rPr>
        <w:t>长春经济技术开发区助力科技创新城建设促进科技创新高质量发展若干政策</w:t>
      </w:r>
    </w:p>
    <w:p/>
    <w:p>
      <w:pPr>
        <w:pStyle w:val="5"/>
        <w:keepNext w:val="0"/>
        <w:keepLines w:val="0"/>
        <w:widowControl/>
        <w:suppressLineNumbers w:val="0"/>
        <w:jc w:val="both"/>
        <w:rPr>
          <w:sz w:val="28"/>
          <w:szCs w:val="28"/>
        </w:rPr>
      </w:pPr>
      <w:r>
        <w:rPr>
          <w:rFonts w:ascii="仿宋_GB2312" w:eastAsia="仿宋_GB2312" w:cs="仿宋_GB2312"/>
          <w:sz w:val="28"/>
          <w:szCs w:val="28"/>
        </w:rPr>
        <w:t>为进一步提升企业技术创新能力，充分激发企业创新创业活力，聚力长春</w:t>
      </w:r>
      <w:r>
        <w:rPr>
          <w:rFonts w:hint="eastAsia" w:ascii="仿宋_GB2312" w:eastAsia="仿宋_GB2312" w:cs="仿宋_GB2312"/>
          <w:sz w:val="28"/>
          <w:szCs w:val="28"/>
        </w:rPr>
        <w:t>“科技创新城”核心区建设，引领经济社会高质量发展，结合经开区实际，特制定如下政策。</w:t>
      </w:r>
      <w:r>
        <w:rPr>
          <w:sz w:val="28"/>
          <w:szCs w:val="28"/>
        </w:rPr>
        <w:t> </w:t>
      </w:r>
      <w:bookmarkStart w:id="0" w:name="_GoBack"/>
      <w:bookmarkEnd w:id="0"/>
    </w:p>
    <w:p>
      <w:pPr>
        <w:pStyle w:val="5"/>
        <w:keepNext w:val="0"/>
        <w:keepLines w:val="0"/>
        <w:widowControl/>
        <w:suppressLineNumbers w:val="0"/>
        <w:jc w:val="both"/>
        <w:rPr>
          <w:sz w:val="28"/>
          <w:szCs w:val="28"/>
        </w:rPr>
      </w:pPr>
      <w:r>
        <w:rPr>
          <w:sz w:val="28"/>
          <w:szCs w:val="28"/>
        </w:rPr>
        <w:t>一、</w:t>
      </w:r>
      <w:r>
        <w:rPr>
          <w:rFonts w:ascii="黑体" w:hAnsi="宋体" w:eastAsia="黑体" w:cs="黑体"/>
          <w:sz w:val="28"/>
          <w:szCs w:val="28"/>
        </w:rPr>
        <w:t>培育高新技术企业</w:t>
      </w:r>
      <w:r>
        <w:rPr>
          <w:sz w:val="28"/>
          <w:szCs w:val="28"/>
        </w:rPr>
        <w:t> </w:t>
      </w:r>
    </w:p>
    <w:p>
      <w:pPr>
        <w:pStyle w:val="5"/>
        <w:keepNext w:val="0"/>
        <w:keepLines w:val="0"/>
        <w:widowControl/>
        <w:suppressLineNumbers w:val="0"/>
        <w:jc w:val="both"/>
        <w:rPr>
          <w:sz w:val="28"/>
          <w:szCs w:val="28"/>
        </w:rPr>
      </w:pPr>
      <w:r>
        <w:rPr>
          <w:sz w:val="28"/>
          <w:szCs w:val="28"/>
        </w:rPr>
        <w:t>1、</w:t>
      </w:r>
      <w:r>
        <w:rPr>
          <w:rFonts w:hint="eastAsia" w:ascii="仿宋_GB2312" w:eastAsia="仿宋_GB2312" w:cs="仿宋_GB2312"/>
          <w:sz w:val="28"/>
          <w:szCs w:val="28"/>
        </w:rPr>
        <w:t>对新认定的国家高新技术企业，给予企业核心管理团队一次性10万元奖励。</w:t>
      </w:r>
      <w:r>
        <w:rPr>
          <w:sz w:val="28"/>
          <w:szCs w:val="28"/>
        </w:rPr>
        <w:t> </w:t>
      </w:r>
    </w:p>
    <w:p>
      <w:pPr>
        <w:pStyle w:val="5"/>
        <w:keepNext w:val="0"/>
        <w:keepLines w:val="0"/>
        <w:widowControl/>
        <w:suppressLineNumbers w:val="0"/>
        <w:jc w:val="both"/>
        <w:rPr>
          <w:sz w:val="28"/>
          <w:szCs w:val="28"/>
        </w:rPr>
      </w:pPr>
      <w:r>
        <w:rPr>
          <w:sz w:val="28"/>
          <w:szCs w:val="28"/>
        </w:rPr>
        <w:t>二、</w:t>
      </w:r>
      <w:r>
        <w:rPr>
          <w:rFonts w:hint="eastAsia" w:ascii="黑体" w:hAnsi="宋体" w:eastAsia="黑体" w:cs="黑体"/>
          <w:sz w:val="28"/>
          <w:szCs w:val="28"/>
        </w:rPr>
        <w:t>表彰科学技术进步奖</w:t>
      </w:r>
      <w:r>
        <w:rPr>
          <w:sz w:val="28"/>
          <w:szCs w:val="28"/>
        </w:rPr>
        <w:t> </w:t>
      </w:r>
    </w:p>
    <w:p>
      <w:pPr>
        <w:pStyle w:val="5"/>
        <w:keepNext w:val="0"/>
        <w:keepLines w:val="0"/>
        <w:widowControl/>
        <w:suppressLineNumbers w:val="0"/>
        <w:jc w:val="both"/>
        <w:rPr>
          <w:sz w:val="28"/>
          <w:szCs w:val="28"/>
        </w:rPr>
      </w:pPr>
      <w:r>
        <w:rPr>
          <w:sz w:val="28"/>
          <w:szCs w:val="28"/>
        </w:rPr>
        <w:t>2、</w:t>
      </w:r>
      <w:r>
        <w:rPr>
          <w:rFonts w:hint="eastAsia" w:ascii="仿宋_GB2312" w:eastAsia="仿宋_GB2312" w:cs="仿宋_GB2312"/>
          <w:sz w:val="28"/>
          <w:szCs w:val="28"/>
        </w:rPr>
        <w:t>对企业荣获国家、省科技进步奖一等奖（或特等奖）、二等奖、三等奖，对承担单位（国家级前三位承担单位，省级第一承担单位）分别按照国家级50万元、30万元、10万元，省级15万元、10万元、5万元标准给予核心管理团队一次性奖励。</w:t>
      </w:r>
      <w:r>
        <w:rPr>
          <w:sz w:val="28"/>
          <w:szCs w:val="28"/>
        </w:rPr>
        <w:t> </w:t>
      </w:r>
    </w:p>
    <w:p>
      <w:pPr>
        <w:pStyle w:val="5"/>
        <w:keepNext w:val="0"/>
        <w:keepLines w:val="0"/>
        <w:widowControl/>
        <w:suppressLineNumbers w:val="0"/>
        <w:jc w:val="both"/>
        <w:rPr>
          <w:sz w:val="28"/>
          <w:szCs w:val="28"/>
        </w:rPr>
      </w:pPr>
      <w:r>
        <w:rPr>
          <w:sz w:val="28"/>
          <w:szCs w:val="28"/>
        </w:rPr>
        <w:t>三、</w:t>
      </w:r>
      <w:r>
        <w:rPr>
          <w:rFonts w:hint="eastAsia" w:ascii="黑体" w:hAnsi="宋体" w:eastAsia="黑体" w:cs="黑体"/>
          <w:sz w:val="28"/>
          <w:szCs w:val="28"/>
        </w:rPr>
        <w:t>支持创新创业平台建设</w:t>
      </w:r>
      <w:r>
        <w:rPr>
          <w:sz w:val="28"/>
          <w:szCs w:val="28"/>
        </w:rPr>
        <w:t> </w:t>
      </w:r>
    </w:p>
    <w:p>
      <w:pPr>
        <w:pStyle w:val="5"/>
        <w:keepNext w:val="0"/>
        <w:keepLines w:val="0"/>
        <w:widowControl/>
        <w:suppressLineNumbers w:val="0"/>
        <w:jc w:val="both"/>
        <w:rPr>
          <w:sz w:val="28"/>
          <w:szCs w:val="28"/>
        </w:rPr>
      </w:pPr>
      <w:r>
        <w:rPr>
          <w:rFonts w:hint="eastAsia" w:ascii="仿宋_GB2312" w:eastAsia="仿宋_GB2312" w:cs="仿宋_GB2312"/>
          <w:sz w:val="28"/>
          <w:szCs w:val="28"/>
        </w:rPr>
        <w:t xml:space="preserve">3、由经开区推荐并首次认定的国家级和省级科技企业孵化器，分别给予企业核心管理团队50万元、20万元一次性奖励。 </w:t>
      </w:r>
      <w:r>
        <w:rPr>
          <w:sz w:val="28"/>
          <w:szCs w:val="28"/>
        </w:rPr>
        <w:t> </w:t>
      </w:r>
    </w:p>
    <w:p>
      <w:pPr>
        <w:pStyle w:val="5"/>
        <w:keepNext w:val="0"/>
        <w:keepLines w:val="0"/>
        <w:widowControl/>
        <w:suppressLineNumbers w:val="0"/>
        <w:jc w:val="both"/>
        <w:rPr>
          <w:sz w:val="28"/>
          <w:szCs w:val="28"/>
        </w:rPr>
      </w:pPr>
      <w:r>
        <w:rPr>
          <w:rFonts w:hint="eastAsia" w:ascii="仿宋_GB2312" w:eastAsia="仿宋_GB2312" w:cs="仿宋_GB2312"/>
          <w:sz w:val="28"/>
          <w:szCs w:val="28"/>
        </w:rPr>
        <w:t>4、国家级和省级科技企业孵化器，每引进或培育一户国家高新技术企业、省级以上“专精特新”企业、入统入库企业，给予企业核心管理团队5万元一次性奖励。</w:t>
      </w:r>
      <w:r>
        <w:rPr>
          <w:sz w:val="28"/>
          <w:szCs w:val="28"/>
        </w:rPr>
        <w:t> </w:t>
      </w:r>
    </w:p>
    <w:p>
      <w:pPr>
        <w:pStyle w:val="5"/>
        <w:keepNext w:val="0"/>
        <w:keepLines w:val="0"/>
        <w:widowControl/>
        <w:suppressLineNumbers w:val="0"/>
        <w:jc w:val="both"/>
        <w:rPr>
          <w:sz w:val="28"/>
          <w:szCs w:val="28"/>
        </w:rPr>
      </w:pPr>
      <w:r>
        <w:rPr>
          <w:sz w:val="28"/>
          <w:szCs w:val="28"/>
        </w:rPr>
        <w:t>四、</w:t>
      </w:r>
      <w:r>
        <w:rPr>
          <w:rFonts w:hint="eastAsia" w:ascii="黑体" w:hAnsi="宋体" w:eastAsia="黑体" w:cs="黑体"/>
          <w:sz w:val="28"/>
          <w:szCs w:val="28"/>
        </w:rPr>
        <w:t>培育高成长性企业</w:t>
      </w:r>
      <w:r>
        <w:rPr>
          <w:sz w:val="28"/>
          <w:szCs w:val="28"/>
        </w:rPr>
        <w:t> </w:t>
      </w:r>
    </w:p>
    <w:p>
      <w:pPr>
        <w:pStyle w:val="5"/>
        <w:keepNext w:val="0"/>
        <w:keepLines w:val="0"/>
        <w:widowControl/>
        <w:suppressLineNumbers w:val="0"/>
        <w:jc w:val="both"/>
        <w:rPr>
          <w:sz w:val="28"/>
          <w:szCs w:val="28"/>
        </w:rPr>
      </w:pPr>
      <w:r>
        <w:rPr>
          <w:sz w:val="28"/>
          <w:szCs w:val="28"/>
        </w:rPr>
        <w:t>5、</w:t>
      </w:r>
      <w:r>
        <w:rPr>
          <w:rFonts w:hint="eastAsia" w:ascii="仿宋_GB2312" w:eastAsia="仿宋_GB2312" w:cs="仿宋_GB2312"/>
          <w:sz w:val="28"/>
          <w:szCs w:val="28"/>
        </w:rPr>
        <w:t>对新认定的独角兽企业，给予企业核心管理团队500万元一次性奖励。</w:t>
      </w:r>
      <w:r>
        <w:rPr>
          <w:sz w:val="28"/>
          <w:szCs w:val="28"/>
        </w:rPr>
        <w:t> </w:t>
      </w:r>
    </w:p>
    <w:p>
      <w:pPr>
        <w:pStyle w:val="5"/>
        <w:keepNext w:val="0"/>
        <w:keepLines w:val="0"/>
        <w:widowControl/>
        <w:suppressLineNumbers w:val="0"/>
        <w:jc w:val="both"/>
        <w:rPr>
          <w:sz w:val="28"/>
          <w:szCs w:val="28"/>
        </w:rPr>
      </w:pPr>
      <w:r>
        <w:rPr>
          <w:sz w:val="28"/>
          <w:szCs w:val="28"/>
        </w:rPr>
        <w:t>五、</w:t>
      </w:r>
      <w:r>
        <w:rPr>
          <w:rFonts w:hint="eastAsia" w:ascii="黑体" w:hAnsi="宋体" w:eastAsia="黑体" w:cs="黑体"/>
          <w:sz w:val="28"/>
          <w:szCs w:val="28"/>
        </w:rPr>
        <w:t>附则</w:t>
      </w:r>
      <w:r>
        <w:rPr>
          <w:sz w:val="28"/>
          <w:szCs w:val="28"/>
        </w:rPr>
        <w:t> </w:t>
      </w:r>
    </w:p>
    <w:p>
      <w:pPr>
        <w:pStyle w:val="5"/>
        <w:keepNext w:val="0"/>
        <w:keepLines w:val="0"/>
        <w:widowControl/>
        <w:suppressLineNumbers w:val="0"/>
        <w:jc w:val="both"/>
        <w:rPr>
          <w:sz w:val="28"/>
          <w:szCs w:val="28"/>
        </w:rPr>
      </w:pPr>
      <w:r>
        <w:rPr>
          <w:sz w:val="28"/>
          <w:szCs w:val="28"/>
        </w:rPr>
        <w:t>6、</w:t>
      </w:r>
      <w:r>
        <w:rPr>
          <w:rFonts w:hint="eastAsia" w:ascii="仿宋_GB2312" w:eastAsia="仿宋_GB2312" w:cs="仿宋_GB2312"/>
          <w:sz w:val="28"/>
          <w:szCs w:val="28"/>
        </w:rPr>
        <w:t>本政策由长春经济技术开发区经济发展和科技创新局负责解释。本政策条款除特殊说明外仅适用于在经开区内具有独立法人资格的企业（适用政策企业的认定标准由经开区管委会另行确定）。</w:t>
      </w:r>
      <w:r>
        <w:rPr>
          <w:sz w:val="28"/>
          <w:szCs w:val="28"/>
        </w:rPr>
        <w:t> </w:t>
      </w:r>
    </w:p>
    <w:p>
      <w:pPr>
        <w:pStyle w:val="5"/>
        <w:keepNext w:val="0"/>
        <w:keepLines w:val="0"/>
        <w:widowControl/>
        <w:suppressLineNumbers w:val="0"/>
        <w:jc w:val="both"/>
        <w:rPr>
          <w:sz w:val="28"/>
          <w:szCs w:val="28"/>
        </w:rPr>
      </w:pPr>
      <w:r>
        <w:rPr>
          <w:sz w:val="28"/>
          <w:szCs w:val="28"/>
        </w:rPr>
        <w:t>7、</w:t>
      </w:r>
      <w:r>
        <w:rPr>
          <w:rFonts w:hint="eastAsia" w:ascii="仿宋_GB2312" w:eastAsia="仿宋_GB2312" w:cs="仿宋_GB2312"/>
          <w:sz w:val="28"/>
          <w:szCs w:val="28"/>
        </w:rPr>
        <w:t>对发生重大环境污染违法违规行为的企业实行“环保”一票否决。</w:t>
      </w:r>
      <w:r>
        <w:rPr>
          <w:sz w:val="28"/>
          <w:szCs w:val="28"/>
        </w:rPr>
        <w:t> </w:t>
      </w:r>
    </w:p>
    <w:p>
      <w:pPr>
        <w:pStyle w:val="5"/>
        <w:keepNext w:val="0"/>
        <w:keepLines w:val="0"/>
        <w:widowControl/>
        <w:suppressLineNumbers w:val="0"/>
        <w:jc w:val="both"/>
        <w:rPr>
          <w:sz w:val="28"/>
          <w:szCs w:val="28"/>
        </w:rPr>
      </w:pPr>
      <w:r>
        <w:rPr>
          <w:sz w:val="28"/>
          <w:szCs w:val="28"/>
        </w:rPr>
        <w:t>8、</w:t>
      </w:r>
      <w:r>
        <w:rPr>
          <w:rFonts w:hint="eastAsia" w:ascii="仿宋_GB2312" w:eastAsia="仿宋_GB2312" w:cs="仿宋_GB2312"/>
          <w:sz w:val="28"/>
          <w:szCs w:val="28"/>
        </w:rPr>
        <w:t>同一政策条款原则上不兼得，就高不就低、同类不叠加、不重复奖励。</w:t>
      </w:r>
      <w:r>
        <w:rPr>
          <w:sz w:val="28"/>
          <w:szCs w:val="28"/>
        </w:rPr>
        <w:t> </w:t>
      </w:r>
    </w:p>
    <w:p>
      <w:pPr>
        <w:pStyle w:val="5"/>
        <w:keepNext w:val="0"/>
        <w:keepLines w:val="0"/>
        <w:widowControl/>
        <w:suppressLineNumbers w:val="0"/>
        <w:jc w:val="both"/>
        <w:rPr>
          <w:sz w:val="28"/>
          <w:szCs w:val="28"/>
        </w:rPr>
      </w:pPr>
      <w:r>
        <w:rPr>
          <w:sz w:val="28"/>
          <w:szCs w:val="28"/>
        </w:rPr>
        <w:t>9、</w:t>
      </w:r>
      <w:r>
        <w:rPr>
          <w:rFonts w:hint="eastAsia" w:ascii="仿宋_GB2312" w:eastAsia="仿宋_GB2312" w:cs="仿宋_GB2312"/>
          <w:sz w:val="28"/>
          <w:szCs w:val="28"/>
        </w:rPr>
        <w:t>重大事项一事一议。</w:t>
      </w:r>
      <w:r>
        <w:rPr>
          <w:sz w:val="28"/>
          <w:szCs w:val="28"/>
        </w:rPr>
        <w:t> </w:t>
      </w:r>
    </w:p>
    <w:p>
      <w:pPr>
        <w:pStyle w:val="5"/>
        <w:keepNext w:val="0"/>
        <w:keepLines w:val="0"/>
        <w:widowControl/>
        <w:suppressLineNumbers w:val="0"/>
        <w:jc w:val="both"/>
        <w:rPr>
          <w:sz w:val="28"/>
          <w:szCs w:val="28"/>
        </w:rPr>
      </w:pPr>
      <w:r>
        <w:rPr>
          <w:sz w:val="28"/>
          <w:szCs w:val="28"/>
        </w:rPr>
        <w:t>10、</w:t>
      </w:r>
      <w:r>
        <w:rPr>
          <w:rFonts w:hint="eastAsia" w:ascii="仿宋_GB2312" w:eastAsia="仿宋_GB2312" w:cs="仿宋_GB2312"/>
          <w:sz w:val="28"/>
          <w:szCs w:val="28"/>
        </w:rPr>
        <w:t>本政策自正式发布之日起开始执行。自2022年10月18日起，符合上述条件未享受相应政策的企业，可参照本政策标准执行。本政策执行之前的其他政策如与本政策内容相冲突的，应以本政策内容为准。但对本政策执行之前，已经发生且符合原政策给付条件的，按照原政策继续执行。</w:t>
      </w:r>
    </w:p>
    <w:p>
      <w:pPr>
        <w:rPr>
          <w:rFonts w:hint="eastAsia"/>
          <w:sz w:val="22"/>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5DE60D-3B95-4C45-9C4D-4052B4A5F3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2" w:fontKey="{0B5473E1-C4A9-4F14-AB9A-DC387575146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MmEzNmMyM2U1OTNmOTM5NGI4YmFiNDRkOTM3MWUifQ=="/>
  </w:docVars>
  <w:rsids>
    <w:rsidRoot w:val="00000000"/>
    <w:rsid w:val="0005147C"/>
    <w:rsid w:val="000527C8"/>
    <w:rsid w:val="057B0236"/>
    <w:rsid w:val="0AC37508"/>
    <w:rsid w:val="0EEC4C50"/>
    <w:rsid w:val="149448C5"/>
    <w:rsid w:val="1B6F64D5"/>
    <w:rsid w:val="1EA71413"/>
    <w:rsid w:val="1EA961EA"/>
    <w:rsid w:val="227026A3"/>
    <w:rsid w:val="23A33207"/>
    <w:rsid w:val="24CC4580"/>
    <w:rsid w:val="31442B17"/>
    <w:rsid w:val="35237BA6"/>
    <w:rsid w:val="382E4F89"/>
    <w:rsid w:val="3CAA770E"/>
    <w:rsid w:val="4138170A"/>
    <w:rsid w:val="425B111C"/>
    <w:rsid w:val="43D10278"/>
    <w:rsid w:val="4E2C4FBC"/>
    <w:rsid w:val="51781F15"/>
    <w:rsid w:val="5DA4604F"/>
    <w:rsid w:val="606E79C6"/>
    <w:rsid w:val="65F70462"/>
    <w:rsid w:val="71297042"/>
    <w:rsid w:val="718C420B"/>
    <w:rsid w:val="79B73334"/>
    <w:rsid w:val="7C2D6D39"/>
    <w:rsid w:val="7CC92D4F"/>
    <w:rsid w:val="7DC25926"/>
    <w:rsid w:val="7FCD6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941</Words>
  <Characters>961</Characters>
  <Lines>0</Lines>
  <Paragraphs>0</Paragraphs>
  <TotalTime>7</TotalTime>
  <ScaleCrop>false</ScaleCrop>
  <LinksUpToDate>false</LinksUpToDate>
  <CharactersWithSpaces>1335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2020-07-23T08:41:00Z</dcterms:created>
  <dc:creator>PC</dc:creator>
  <cp:lastModifiedBy>哲Ge</cp:lastModifiedBy>
  <dcterms:modified xsi:type="dcterms:W3CDTF">2023-11-20T02:45:39Z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09E77F9E2A344E8D84415375B7341196</vt:lpwstr>
  </property>
</Properties>
</file>