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22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sz w:val="36"/>
          <w:szCs w:val="36"/>
          <w:highlight w:val="none"/>
          <w:u w:val="none" w:color="auto"/>
          <w:lang w:eastAsia="zh-CN"/>
        </w:rPr>
        <w:t>吉林省力盛制药有限公司扩建项目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u w:val="none" w:color="auto"/>
          <w:lang w:eastAsia="zh-CN"/>
        </w:rPr>
        <w:t>吉林省力盛制药有限公司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你单位委托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lang w:val="en-US" w:eastAsia="zh-CN"/>
        </w:rPr>
        <w:t>吉林省玖伏环境科技有限公司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编制的《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u w:val="none" w:color="auto"/>
          <w:lang w:eastAsia="zh-CN"/>
        </w:rPr>
        <w:t>吉林省力盛制药有限公司扩建项目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  <w:u w:val="none" w:color="auto"/>
        </w:rPr>
        <w:t>一、项目基本情况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该项目位于长春经济技术开发区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lang w:val="en-US" w:eastAsia="zh-CN"/>
        </w:rPr>
        <w:t>会展大街21号，厂区东侧为会展大街，隔会展大街为长春国际会展中心西四号门，南侧为宴都商务酒店，西侧为高桥街。吉林省力盛制药有限公司厂区总占地面积为10700 m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lang w:val="en-US" w:eastAsia="zh-CN"/>
        </w:rPr>
        <w:t>，总建筑面积约为20102.48m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none" w:color="auto"/>
          <w:lang w:val="en-US" w:eastAsia="zh-CN"/>
        </w:rPr>
        <w:t>，企业拟投资160万元，环保投资10万元，在厂区内闲置位置进行扩建，不增加占地面积，在现有生产规模基础上增加药品种类及相应生产设备。扩建后公司拟设大蜜丸、水蜜丸（小蜜丸、浓缩丸、水丸）、片剂、硬胶囊、糖浆剂（合剂、含漱剂）、颗粒剂、乳膏剂（凝胶剂）、酒剂等8条生产线。产品结构以中成药和化学药为主，现取得药品批准文号95个，包括2个中药合剂产品、2个中药糖浆剂产品、43个中药丸剂（蜜丸）产品、17个中药丸剂（水蜜丸）产品、6个中药丸剂（水丸）产品、1个中药丸剂（浓缩丸）产品、2个中药酒剂产品、4个中药颗粒剂产品、5个中药片剂产品、7个中药硬胶囊品种、1个化药凝胶剂产品、2个乳膏剂（激素类）产品、1个化药含漱剂产品、1个化学药片剂产品，1个化学药硬胶囊剂产品。项目提取浓缩工序采用外委方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厂区原有污水处理站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占地面积81.2m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，日处理废水规模为50吨，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处理工艺采用“水解酸化+接触氧化”。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 w:color="auto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无土建施工工程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，因此，对环境影响较小。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.做好水污染防治工作。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本项目生活污水和生产废水经厂区自建污水处理站处理，达到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</w:rPr>
        <w:t>《混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</w:rPr>
        <w:t>制剂类制药工业水污染物排放标准》（GB21908-2008）表2新建企业水污染物排放限值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eastAsia="zh-CN"/>
        </w:rPr>
        <w:t>要求后，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经市政污水管网排入长春市北郊污水处理厂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eastAsia="zh-CN"/>
        </w:rPr>
        <w:t>处理。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 w:color="auto"/>
        </w:rPr>
        <w:t>.做好大气污染防治工作。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中药材在合坨、制丸等工序过程中产生的中药气味经集气装置收集+活性炭除臭设备处理+24m高排气筒排放，排放浓度执行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《恶臭污染物排放标准》（GB14554-93）二级标准限值要求；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配料、混合、制粒和压片过程产生的少量粉尘经集气装置收集+布袋除尘器处理+24m高排气筒排放，排放浓度执行《制药工业大气污染物排放标准》（GB37823-2019）中表2中“发酵尾气及其他制药废气”排放限值要求；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本项目实验过程均在通风橱中进行，实验过程中会产生少量有机废气，经通风橱负压收集后+过活性炭吸附一体机吸附处理+不低于15m高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</w:rPr>
        <w:t>排气筒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排放，排放浓度执行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u w:val="none" w:color="auto"/>
          <w:lang w:val="en-US" w:eastAsia="zh-CN" w:bidi="ar-SA"/>
        </w:rPr>
        <w:t>《制药工业大气污染物排放标准》（GB37823-2019）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排放相关标准要求；污水处理站废气经负压收集+活性炭吸附装置处理后+15m高排气筒排放，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恶臭气体中氨、硫化氢排放浓度执行《制药工业大气污染物排放标准》(GB37823-2019) 表2中“污水处理站废气”，臭气浓度执行《恶臭污染物排放标准》(GB14554-93) 中排放限值要求。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类区标准要求。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要求设置危险废物暂存场所，并委托有资质的危险废物处理单位处置。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 w:color="auto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 w:color="auto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 w:color="auto"/>
        </w:rPr>
        <w:t>安全培训工作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 w:color="auto"/>
        </w:rPr>
        <w:t>强化环境管理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</w:rPr>
        <w:t>事故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  <w:lang w:eastAsia="zh-CN"/>
        </w:rPr>
        <w:t>的发生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 w:color="auto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变更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自主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验收，经验收合格后方可投入生产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。验收报告完成后及时向社会公开，并接受监督检查。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 w:color="auto"/>
        </w:rPr>
        <w:t>四、《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  <w:t>审批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 w:color="auto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3080" w:firstLineChars="11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 w:color="auto"/>
        </w:rPr>
        <w:t>长春市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 w:color="auto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 w:color="auto"/>
        </w:rPr>
        <w:t>环境局经济技术开发区分局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</w:rPr>
        <w:t>20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 w:color="auto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</w:rPr>
      </w:pPr>
    </w:p>
    <w:tbl>
      <w:tblPr>
        <w:tblStyle w:val="17"/>
        <w:tblpPr w:leftFromText="180" w:rightFromText="180" w:vertAnchor="text" w:horzAnchor="page" w:tblpX="1705" w:tblpY="22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-20"/>
                <w:sz w:val="32"/>
                <w:szCs w:val="32"/>
                <w:u w:val="none" w:color="auto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 w:color="auto"/>
          <w:lang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1336" w:wrap="around" w:vAnchor="text" w:hAnchor="page" w:x="9281" w:y="24"/>
      <w:rPr>
        <w:rStyle w:val="19"/>
        <w:rFonts w:ascii="宋体" w:hAnsi="宋体"/>
        <w:sz w:val="28"/>
      </w:rPr>
    </w:pPr>
    <w:r>
      <w:rPr>
        <w:rStyle w:val="19"/>
        <w:sz w:val="28"/>
      </w:rPr>
      <w:t>––</w:t>
    </w:r>
    <w:r>
      <w:rPr>
        <w:rStyle w:val="19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9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9"/>
        <w:rFonts w:hint="eastAsia"/>
        <w:sz w:val="28"/>
      </w:rPr>
      <w:t xml:space="preserve"> </w:t>
    </w:r>
    <w:r>
      <w:rPr>
        <w:rStyle w:val="19"/>
        <w:sz w:val="28"/>
      </w:rPr>
      <w:t>––</w:t>
    </w:r>
  </w:p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1336" w:wrap="around" w:vAnchor="text" w:hAnchor="page" w:x="1584" w:y="40"/>
      <w:ind w:firstLine="280" w:firstLineChars="100"/>
      <w:rPr>
        <w:rStyle w:val="19"/>
        <w:rFonts w:ascii="宋体" w:hAnsi="宋体"/>
        <w:sz w:val="28"/>
      </w:rPr>
    </w:pP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3B4560"/>
    <w:rsid w:val="02FE3CAF"/>
    <w:rsid w:val="0475625E"/>
    <w:rsid w:val="048B2841"/>
    <w:rsid w:val="04B25F99"/>
    <w:rsid w:val="04D57C3F"/>
    <w:rsid w:val="050B2FEF"/>
    <w:rsid w:val="053512DD"/>
    <w:rsid w:val="053E1765"/>
    <w:rsid w:val="05902BB1"/>
    <w:rsid w:val="06676B70"/>
    <w:rsid w:val="074A3BBE"/>
    <w:rsid w:val="07A11279"/>
    <w:rsid w:val="07B76CEE"/>
    <w:rsid w:val="07D0299A"/>
    <w:rsid w:val="084F6B78"/>
    <w:rsid w:val="09D4311E"/>
    <w:rsid w:val="0AAC29D5"/>
    <w:rsid w:val="0AE64BD6"/>
    <w:rsid w:val="0B725406"/>
    <w:rsid w:val="0BE87634"/>
    <w:rsid w:val="0C207E44"/>
    <w:rsid w:val="0C333808"/>
    <w:rsid w:val="0C380E6F"/>
    <w:rsid w:val="0CDA725C"/>
    <w:rsid w:val="0E4E5793"/>
    <w:rsid w:val="0F881AF8"/>
    <w:rsid w:val="0F8D11D4"/>
    <w:rsid w:val="0FF326B2"/>
    <w:rsid w:val="100210FE"/>
    <w:rsid w:val="109B2A18"/>
    <w:rsid w:val="10E647F0"/>
    <w:rsid w:val="116F23E8"/>
    <w:rsid w:val="13057EB9"/>
    <w:rsid w:val="132249FB"/>
    <w:rsid w:val="133C1412"/>
    <w:rsid w:val="134A0A16"/>
    <w:rsid w:val="137F256B"/>
    <w:rsid w:val="14245BE1"/>
    <w:rsid w:val="144624B1"/>
    <w:rsid w:val="147F601D"/>
    <w:rsid w:val="15442DA1"/>
    <w:rsid w:val="15AE08D7"/>
    <w:rsid w:val="16070E41"/>
    <w:rsid w:val="167270E0"/>
    <w:rsid w:val="180A0F27"/>
    <w:rsid w:val="18B660FA"/>
    <w:rsid w:val="18F25DD8"/>
    <w:rsid w:val="193C4055"/>
    <w:rsid w:val="197A4DFC"/>
    <w:rsid w:val="19E971C4"/>
    <w:rsid w:val="1A3411EE"/>
    <w:rsid w:val="1B1A7868"/>
    <w:rsid w:val="1C8742AC"/>
    <w:rsid w:val="1CA27B15"/>
    <w:rsid w:val="1E061665"/>
    <w:rsid w:val="1E3A434A"/>
    <w:rsid w:val="1FD975E0"/>
    <w:rsid w:val="2085093E"/>
    <w:rsid w:val="20DE1D33"/>
    <w:rsid w:val="210D73EA"/>
    <w:rsid w:val="22520F51"/>
    <w:rsid w:val="2294299F"/>
    <w:rsid w:val="23CA3E39"/>
    <w:rsid w:val="23DD7B14"/>
    <w:rsid w:val="24900C32"/>
    <w:rsid w:val="25397FC2"/>
    <w:rsid w:val="253B4663"/>
    <w:rsid w:val="253D405D"/>
    <w:rsid w:val="276940D9"/>
    <w:rsid w:val="284716D3"/>
    <w:rsid w:val="28C4235A"/>
    <w:rsid w:val="29B77F0B"/>
    <w:rsid w:val="29EE5390"/>
    <w:rsid w:val="2B9F5654"/>
    <w:rsid w:val="2C3F712F"/>
    <w:rsid w:val="2C526E62"/>
    <w:rsid w:val="2C6A3106"/>
    <w:rsid w:val="2DCB0E40"/>
    <w:rsid w:val="2E346CB0"/>
    <w:rsid w:val="2EA0012A"/>
    <w:rsid w:val="2ED1765B"/>
    <w:rsid w:val="2F0C48C7"/>
    <w:rsid w:val="2F437CC2"/>
    <w:rsid w:val="2FA35CF7"/>
    <w:rsid w:val="30476B9F"/>
    <w:rsid w:val="31540F86"/>
    <w:rsid w:val="31A53614"/>
    <w:rsid w:val="31AA079B"/>
    <w:rsid w:val="322F72FD"/>
    <w:rsid w:val="326827FA"/>
    <w:rsid w:val="327F2033"/>
    <w:rsid w:val="32EA4571"/>
    <w:rsid w:val="333F7A14"/>
    <w:rsid w:val="33772554"/>
    <w:rsid w:val="34326548"/>
    <w:rsid w:val="34425186"/>
    <w:rsid w:val="34576B74"/>
    <w:rsid w:val="352365F4"/>
    <w:rsid w:val="353D7F83"/>
    <w:rsid w:val="3785531A"/>
    <w:rsid w:val="378720C1"/>
    <w:rsid w:val="37A32316"/>
    <w:rsid w:val="37DA7D0B"/>
    <w:rsid w:val="380048D5"/>
    <w:rsid w:val="399842BD"/>
    <w:rsid w:val="3A6B7916"/>
    <w:rsid w:val="3AAF622B"/>
    <w:rsid w:val="3B575419"/>
    <w:rsid w:val="3BCD02B3"/>
    <w:rsid w:val="3C2F7B1E"/>
    <w:rsid w:val="3C496A5B"/>
    <w:rsid w:val="3C9B4DAB"/>
    <w:rsid w:val="3D9D235A"/>
    <w:rsid w:val="3DF07608"/>
    <w:rsid w:val="3E455836"/>
    <w:rsid w:val="3F6C08A3"/>
    <w:rsid w:val="3FD65CBD"/>
    <w:rsid w:val="40176267"/>
    <w:rsid w:val="404741AC"/>
    <w:rsid w:val="412B5D43"/>
    <w:rsid w:val="417F4BED"/>
    <w:rsid w:val="429250AA"/>
    <w:rsid w:val="42AE76C4"/>
    <w:rsid w:val="42BE2522"/>
    <w:rsid w:val="42E278AA"/>
    <w:rsid w:val="44322EE5"/>
    <w:rsid w:val="44727C49"/>
    <w:rsid w:val="44E85B2A"/>
    <w:rsid w:val="44FF78B1"/>
    <w:rsid w:val="453C76F4"/>
    <w:rsid w:val="46761547"/>
    <w:rsid w:val="47090753"/>
    <w:rsid w:val="47451645"/>
    <w:rsid w:val="47566FF1"/>
    <w:rsid w:val="476A671E"/>
    <w:rsid w:val="47D81368"/>
    <w:rsid w:val="485548C0"/>
    <w:rsid w:val="485D1638"/>
    <w:rsid w:val="48C76C23"/>
    <w:rsid w:val="49107C37"/>
    <w:rsid w:val="49470F79"/>
    <w:rsid w:val="49B4602B"/>
    <w:rsid w:val="49D95DD5"/>
    <w:rsid w:val="4B9E7C57"/>
    <w:rsid w:val="4C134286"/>
    <w:rsid w:val="4C3121F5"/>
    <w:rsid w:val="4C3B4DC5"/>
    <w:rsid w:val="4C917C3B"/>
    <w:rsid w:val="4DAB7649"/>
    <w:rsid w:val="4E4672EC"/>
    <w:rsid w:val="4F3B7447"/>
    <w:rsid w:val="501047BA"/>
    <w:rsid w:val="50B60AA4"/>
    <w:rsid w:val="512A5AF6"/>
    <w:rsid w:val="52417310"/>
    <w:rsid w:val="534361E9"/>
    <w:rsid w:val="53A41E42"/>
    <w:rsid w:val="53EE2E52"/>
    <w:rsid w:val="53F006E8"/>
    <w:rsid w:val="54280337"/>
    <w:rsid w:val="54605212"/>
    <w:rsid w:val="54A06954"/>
    <w:rsid w:val="54A57334"/>
    <w:rsid w:val="54E35FFA"/>
    <w:rsid w:val="55FF7F1A"/>
    <w:rsid w:val="565076BF"/>
    <w:rsid w:val="568B1FB7"/>
    <w:rsid w:val="575D4C97"/>
    <w:rsid w:val="5797131D"/>
    <w:rsid w:val="585F2CFF"/>
    <w:rsid w:val="58C2518E"/>
    <w:rsid w:val="5901049A"/>
    <w:rsid w:val="59140E77"/>
    <w:rsid w:val="5A7879B3"/>
    <w:rsid w:val="5B644FA6"/>
    <w:rsid w:val="5BA267AD"/>
    <w:rsid w:val="5BAB567F"/>
    <w:rsid w:val="5BB46614"/>
    <w:rsid w:val="5C062D27"/>
    <w:rsid w:val="5C1C1C08"/>
    <w:rsid w:val="5C554881"/>
    <w:rsid w:val="5EE51D35"/>
    <w:rsid w:val="5F7E4360"/>
    <w:rsid w:val="602457E8"/>
    <w:rsid w:val="60E455D3"/>
    <w:rsid w:val="60E472BE"/>
    <w:rsid w:val="61291238"/>
    <w:rsid w:val="612C4F2C"/>
    <w:rsid w:val="61A811DF"/>
    <w:rsid w:val="61EF2482"/>
    <w:rsid w:val="620D2115"/>
    <w:rsid w:val="62F734F8"/>
    <w:rsid w:val="62F945AB"/>
    <w:rsid w:val="63AE3EF7"/>
    <w:rsid w:val="65B27934"/>
    <w:rsid w:val="66D400A6"/>
    <w:rsid w:val="66E57074"/>
    <w:rsid w:val="66F7167A"/>
    <w:rsid w:val="67AD6DE0"/>
    <w:rsid w:val="68573C08"/>
    <w:rsid w:val="687045FD"/>
    <w:rsid w:val="69146885"/>
    <w:rsid w:val="69E03354"/>
    <w:rsid w:val="69F669AE"/>
    <w:rsid w:val="6A627569"/>
    <w:rsid w:val="6B271F01"/>
    <w:rsid w:val="6BD90928"/>
    <w:rsid w:val="6C9217CA"/>
    <w:rsid w:val="6D3816ED"/>
    <w:rsid w:val="6D706CB8"/>
    <w:rsid w:val="6D8A5D20"/>
    <w:rsid w:val="6DB42482"/>
    <w:rsid w:val="6E376859"/>
    <w:rsid w:val="6E99625B"/>
    <w:rsid w:val="6EA06CA5"/>
    <w:rsid w:val="6EA938CE"/>
    <w:rsid w:val="6FB14A60"/>
    <w:rsid w:val="70003AAC"/>
    <w:rsid w:val="70943D3A"/>
    <w:rsid w:val="709B1453"/>
    <w:rsid w:val="70FF5FE9"/>
    <w:rsid w:val="71F53D0C"/>
    <w:rsid w:val="71F65166"/>
    <w:rsid w:val="72036CE8"/>
    <w:rsid w:val="725B3E35"/>
    <w:rsid w:val="72B13C2A"/>
    <w:rsid w:val="72EB459F"/>
    <w:rsid w:val="734178BF"/>
    <w:rsid w:val="73DE2356"/>
    <w:rsid w:val="746A1E3C"/>
    <w:rsid w:val="752F0A9B"/>
    <w:rsid w:val="753C5586"/>
    <w:rsid w:val="75843748"/>
    <w:rsid w:val="76586645"/>
    <w:rsid w:val="768A40CF"/>
    <w:rsid w:val="77AD276B"/>
    <w:rsid w:val="77CE33FA"/>
    <w:rsid w:val="7819395D"/>
    <w:rsid w:val="78365321"/>
    <w:rsid w:val="784C4715"/>
    <w:rsid w:val="78A25A5A"/>
    <w:rsid w:val="79257FCD"/>
    <w:rsid w:val="79C574B4"/>
    <w:rsid w:val="7A561C89"/>
    <w:rsid w:val="7AE14488"/>
    <w:rsid w:val="7BBD42FA"/>
    <w:rsid w:val="7CAC4A56"/>
    <w:rsid w:val="7CC732F3"/>
    <w:rsid w:val="7D10135B"/>
    <w:rsid w:val="7DCC63F2"/>
    <w:rsid w:val="7DD577D2"/>
    <w:rsid w:val="7EA321D2"/>
    <w:rsid w:val="7FB33943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paragraph" w:styleId="6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7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8">
    <w:name w:val="Plain Text"/>
    <w:basedOn w:val="1"/>
    <w:next w:val="9"/>
    <w:qFormat/>
    <w:uiPriority w:val="0"/>
    <w:rPr>
      <w:rFonts w:ascii="宋体" w:hAnsi="Courier New"/>
      <w:szCs w:val="20"/>
    </w:rPr>
  </w:style>
  <w:style w:type="paragraph" w:styleId="9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10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2">
    <w:name w:val="Balloon Text"/>
    <w:basedOn w:val="1"/>
    <w:link w:val="23"/>
    <w:unhideWhenUsed/>
    <w:qFormat/>
    <w:uiPriority w:val="99"/>
    <w:rPr>
      <w:sz w:val="18"/>
      <w:szCs w:val="18"/>
      <w:lang w:val="zh-CN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6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paragraph" w:customStyle="1" w:styleId="20">
    <w:name w:val="Default"/>
    <w:basedOn w:val="21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1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character" w:customStyle="1" w:styleId="22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23">
    <w:name w:val="批注框文本 Char"/>
    <w:link w:val="12"/>
    <w:semiHidden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日期 Char"/>
    <w:link w:val="10"/>
    <w:semiHidden/>
    <w:qFormat/>
    <w:uiPriority w:val="99"/>
    <w:rPr>
      <w:kern w:val="2"/>
      <w:sz w:val="21"/>
      <w:szCs w:val="22"/>
    </w:rPr>
  </w:style>
  <w:style w:type="paragraph" w:customStyle="1" w:styleId="26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8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29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  <w:style w:type="paragraph" w:customStyle="1" w:styleId="30">
    <w:name w:val="1兴业正文"/>
    <w:basedOn w:val="1"/>
    <w:qFormat/>
    <w:uiPriority w:val="0"/>
    <w:pPr>
      <w:adjustRightInd w:val="0"/>
      <w:snapToGrid w:val="0"/>
      <w:spacing w:line="360" w:lineRule="auto"/>
      <w:ind w:firstLine="562" w:firstLineChars="200"/>
    </w:pPr>
    <w:rPr>
      <w:rFonts w:eastAsia="仿宋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2018</Words>
  <Characters>2175</Characters>
  <Lines>3</Lines>
  <Paragraphs>1</Paragraphs>
  <TotalTime>5</TotalTime>
  <ScaleCrop>false</ScaleCrop>
  <LinksUpToDate>false</LinksUpToDate>
  <CharactersWithSpaces>2198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2023-05-22T02:25:00Z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