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88" w:lineRule="auto"/>
        <w:rPr>
          <w:rFonts w:hint="eastAsia" w:eastAsia="宋体"/>
          <w:color w:val="auto"/>
          <w:sz w:val="36"/>
          <w:szCs w:val="36"/>
          <w:highlight w:val="none"/>
          <w:lang w:val="en-US" w:eastAsia="zh-CN"/>
        </w:rPr>
      </w:pPr>
    </w:p>
    <w:p>
      <w:pPr>
        <w:spacing w:before="192" w:beforeLines="80"/>
        <w:jc w:val="center"/>
        <w:rPr>
          <w:bCs/>
          <w:color w:val="auto"/>
          <w:sz w:val="72"/>
          <w:szCs w:val="72"/>
          <w:highlight w:val="none"/>
        </w:rPr>
      </w:pPr>
    </w:p>
    <w:p>
      <w:pPr>
        <w:pStyle w:val="23"/>
        <w:rPr>
          <w:color w:val="auto"/>
          <w:highlight w:val="none"/>
        </w:rPr>
      </w:pPr>
    </w:p>
    <w:p>
      <w:pPr>
        <w:rPr>
          <w:color w:val="auto"/>
          <w:highlight w:val="none"/>
        </w:rPr>
      </w:pPr>
    </w:p>
    <w:p>
      <w:pPr>
        <w:pStyle w:val="23"/>
        <w:rPr>
          <w:color w:val="auto"/>
          <w:highlight w:val="none"/>
        </w:rPr>
      </w:pPr>
    </w:p>
    <w:p>
      <w:pPr>
        <w:rPr>
          <w:color w:val="auto"/>
          <w:highlight w:val="none"/>
        </w:rPr>
      </w:pPr>
    </w:p>
    <w:p>
      <w:pPr>
        <w:pStyle w:val="23"/>
        <w:rPr>
          <w:color w:val="auto"/>
          <w:highlight w:val="none"/>
        </w:rPr>
      </w:pPr>
    </w:p>
    <w:p>
      <w:pPr>
        <w:rPr>
          <w:color w:val="auto"/>
          <w:highlight w:val="none"/>
        </w:rPr>
      </w:pPr>
    </w:p>
    <w:p>
      <w:pPr>
        <w:adjustRightInd w:val="0"/>
        <w:snapToGrid w:val="0"/>
        <w:jc w:val="center"/>
        <w:outlineLvl w:val="0"/>
        <w:rPr>
          <w:bCs/>
          <w:color w:val="auto"/>
          <w:sz w:val="72"/>
          <w:szCs w:val="72"/>
          <w:highlight w:val="none"/>
        </w:rPr>
      </w:pPr>
      <w:r>
        <w:rPr>
          <w:bCs/>
          <w:color w:val="auto"/>
          <w:sz w:val="72"/>
          <w:szCs w:val="72"/>
          <w:highlight w:val="none"/>
        </w:rPr>
        <w:t>建设项目环境影响报告表</w:t>
      </w:r>
    </w:p>
    <w:p>
      <w:pPr>
        <w:spacing w:before="192" w:beforeLines="80"/>
        <w:jc w:val="center"/>
        <w:rPr>
          <w:bCs/>
          <w:color w:val="auto"/>
          <w:sz w:val="48"/>
          <w:szCs w:val="48"/>
          <w:highlight w:val="none"/>
        </w:rPr>
      </w:pPr>
      <w:r>
        <w:rPr>
          <w:bCs/>
          <w:color w:val="auto"/>
          <w:sz w:val="48"/>
          <w:szCs w:val="48"/>
          <w:highlight w:val="none"/>
        </w:rPr>
        <w:t>（污染影响类）</w:t>
      </w:r>
    </w:p>
    <w:p>
      <w:pPr>
        <w:ind w:firstLine="1040"/>
        <w:jc w:val="center"/>
        <w:rPr>
          <w:color w:val="auto"/>
          <w:sz w:val="52"/>
          <w:szCs w:val="52"/>
          <w:highlight w:val="none"/>
        </w:rPr>
      </w:pPr>
    </w:p>
    <w:p>
      <w:pPr>
        <w:ind w:firstLine="880"/>
        <w:rPr>
          <w:color w:val="auto"/>
          <w:sz w:val="44"/>
          <w:szCs w:val="44"/>
          <w:highlight w:val="none"/>
        </w:rPr>
      </w:pPr>
    </w:p>
    <w:p>
      <w:pPr>
        <w:pStyle w:val="23"/>
        <w:rPr>
          <w:color w:val="auto"/>
          <w:sz w:val="44"/>
          <w:szCs w:val="44"/>
          <w:highlight w:val="none"/>
        </w:rPr>
      </w:pPr>
    </w:p>
    <w:p>
      <w:pPr>
        <w:pStyle w:val="23"/>
        <w:rPr>
          <w:color w:val="auto"/>
          <w:sz w:val="44"/>
          <w:szCs w:val="44"/>
          <w:highlight w:val="none"/>
        </w:rPr>
      </w:pPr>
    </w:p>
    <w:p>
      <w:pPr>
        <w:rPr>
          <w:color w:val="auto"/>
          <w:highlight w:val="none"/>
        </w:rPr>
      </w:pPr>
      <w:r>
        <w:rPr>
          <w:color w:val="auto"/>
          <w:highlight w:val="none"/>
        </w:rPr>
        <w:t xml:space="preserve">   </w:t>
      </w:r>
    </w:p>
    <w:p>
      <w:pPr>
        <w:rPr>
          <w:color w:val="auto"/>
          <w:sz w:val="44"/>
          <w:szCs w:val="44"/>
          <w:highlight w:val="none"/>
        </w:rPr>
      </w:pPr>
    </w:p>
    <w:p>
      <w:pPr>
        <w:ind w:firstLine="880"/>
        <w:rPr>
          <w:color w:val="auto"/>
          <w:sz w:val="44"/>
          <w:szCs w:val="44"/>
          <w:highlight w:val="none"/>
        </w:rPr>
      </w:pPr>
    </w:p>
    <w:p>
      <w:pPr>
        <w:adjustRightInd w:val="0"/>
        <w:snapToGrid w:val="0"/>
        <w:spacing w:line="288" w:lineRule="auto"/>
        <w:ind w:left="1919" w:leftChars="152" w:hanging="1600" w:hangingChars="500"/>
        <w:jc w:val="left"/>
        <w:rPr>
          <w:rFonts w:hint="default" w:ascii="Times New Roman" w:hAnsi="Times New Roman" w:eastAsia="仿宋_GB2312" w:cs="Times New Roman"/>
          <w:color w:val="auto"/>
          <w:sz w:val="32"/>
          <w:szCs w:val="32"/>
          <w:highlight w:val="none"/>
          <w:u w:val="single"/>
          <w:shd w:val="clear" w:color="auto" w:fill="auto"/>
          <w:lang w:val="en-US" w:eastAsia="zh-CN"/>
        </w:rPr>
      </w:pPr>
      <w:r>
        <w:rPr>
          <w:rFonts w:hint="default" w:ascii="Times New Roman" w:hAnsi="Times New Roman" w:eastAsia="仿宋_GB2312" w:cs="Times New Roman"/>
          <w:color w:val="auto"/>
          <w:sz w:val="32"/>
          <w:szCs w:val="32"/>
          <w:highlight w:val="none"/>
          <w:u w:val="single"/>
          <w:shd w:val="clear" w:color="auto" w:fill="auto"/>
          <w:lang w:val="en-US" w:eastAsia="zh-CN"/>
        </w:rPr>
        <w:t xml:space="preserve">项目名称：饭田（长春）橡塑有限公司年产500吨汽车用NVH橡塑制品生产线建设项目             </w:t>
      </w:r>
    </w:p>
    <w:p>
      <w:pPr>
        <w:adjustRightInd w:val="0"/>
        <w:snapToGrid w:val="0"/>
        <w:spacing w:line="288" w:lineRule="auto"/>
        <w:ind w:left="1919" w:leftChars="152" w:hanging="1600" w:hangingChars="500"/>
        <w:jc w:val="left"/>
        <w:rPr>
          <w:rFonts w:hint="default" w:ascii="Times New Roman" w:hAnsi="Times New Roman" w:eastAsia="仿宋_GB2312" w:cs="Times New Roman"/>
          <w:color w:val="auto"/>
          <w:sz w:val="32"/>
          <w:szCs w:val="32"/>
          <w:highlight w:val="none"/>
          <w:u w:val="single"/>
          <w:shd w:val="clear" w:color="auto" w:fill="auto"/>
          <w:lang w:val="en-US" w:eastAsia="zh-CN"/>
        </w:rPr>
      </w:pPr>
      <w:r>
        <w:rPr>
          <w:rFonts w:hint="default" w:ascii="Times New Roman" w:hAnsi="Times New Roman" w:eastAsia="仿宋_GB2312" w:cs="Times New Roman"/>
          <w:color w:val="auto"/>
          <w:sz w:val="32"/>
          <w:szCs w:val="32"/>
          <w:highlight w:val="none"/>
          <w:u w:val="single"/>
          <w:shd w:val="clear" w:color="auto" w:fill="auto"/>
          <w:lang w:val="en-US" w:eastAsia="zh-CN"/>
        </w:rPr>
        <w:t xml:space="preserve">建设单位（盖章）：饭田（长春）橡塑有限公司       </w:t>
      </w:r>
    </w:p>
    <w:p>
      <w:pPr>
        <w:adjustRightInd w:val="0"/>
        <w:snapToGrid w:val="0"/>
        <w:spacing w:line="288" w:lineRule="auto"/>
        <w:ind w:left="1919" w:leftChars="152" w:hanging="1600" w:hangingChars="500"/>
        <w:jc w:val="left"/>
        <w:rPr>
          <w:rFonts w:hint="default" w:ascii="Times New Roman" w:hAnsi="Times New Roman" w:eastAsia="仿宋_GB2312" w:cs="Times New Roman"/>
          <w:color w:val="auto"/>
          <w:sz w:val="32"/>
          <w:szCs w:val="32"/>
          <w:highlight w:val="none"/>
          <w:u w:val="single"/>
          <w:shd w:val="clear" w:color="auto" w:fill="auto"/>
          <w:lang w:val="en-US" w:eastAsia="zh-CN"/>
        </w:rPr>
      </w:pPr>
      <w:r>
        <w:rPr>
          <w:rFonts w:hint="default" w:ascii="Times New Roman" w:hAnsi="Times New Roman" w:eastAsia="仿宋_GB2312" w:cs="Times New Roman"/>
          <w:color w:val="auto"/>
          <w:sz w:val="32"/>
          <w:szCs w:val="32"/>
          <w:highlight w:val="none"/>
          <w:u w:val="single"/>
          <w:shd w:val="clear" w:color="auto" w:fill="auto"/>
          <w:lang w:val="en-US" w:eastAsia="zh-CN"/>
        </w:rPr>
        <w:t>编制日期：            2023年5月</w:t>
      </w:r>
      <w:bookmarkStart w:id="0" w:name="_Hlk57884087"/>
      <w:r>
        <w:rPr>
          <w:rFonts w:hint="default" w:ascii="Times New Roman" w:hAnsi="Times New Roman" w:eastAsia="仿宋_GB2312" w:cs="Times New Roman"/>
          <w:color w:val="auto"/>
          <w:sz w:val="32"/>
          <w:szCs w:val="32"/>
          <w:highlight w:val="none"/>
          <w:u w:val="single"/>
          <w:shd w:val="clear" w:color="auto" w:fill="auto"/>
          <w:lang w:val="en-US" w:eastAsia="zh-CN"/>
        </w:rPr>
        <w:t xml:space="preserve">                </w:t>
      </w:r>
    </w:p>
    <w:p>
      <w:pPr>
        <w:adjustRightInd w:val="0"/>
        <w:snapToGrid w:val="0"/>
        <w:spacing w:line="288" w:lineRule="auto"/>
        <w:ind w:left="1919" w:leftChars="152" w:hanging="1600" w:hangingChars="500"/>
        <w:jc w:val="left"/>
        <w:rPr>
          <w:rFonts w:hint="eastAsia" w:ascii="仿宋_GB2312" w:hAnsi="Times New Roman" w:eastAsia="仿宋_GB2312" w:cs="Times New Roman"/>
          <w:color w:val="auto"/>
          <w:sz w:val="32"/>
          <w:szCs w:val="32"/>
          <w:highlight w:val="none"/>
          <w:u w:val="single"/>
          <w:shd w:val="clear" w:color="auto" w:fill="auto"/>
          <w:lang w:val="en-US" w:eastAsia="zh-CN"/>
        </w:rPr>
      </w:pPr>
    </w:p>
    <w:p>
      <w:pPr>
        <w:pStyle w:val="23"/>
        <w:rPr>
          <w:color w:val="auto"/>
          <w:sz w:val="36"/>
          <w:szCs w:val="36"/>
          <w:highlight w:val="none"/>
        </w:rPr>
      </w:pPr>
    </w:p>
    <w:p>
      <w:pPr>
        <w:rPr>
          <w:color w:val="auto"/>
          <w:sz w:val="36"/>
          <w:szCs w:val="36"/>
          <w:highlight w:val="none"/>
        </w:rPr>
      </w:pPr>
    </w:p>
    <w:p>
      <w:pPr>
        <w:pStyle w:val="23"/>
        <w:rPr>
          <w:color w:val="auto"/>
          <w:sz w:val="36"/>
          <w:szCs w:val="36"/>
          <w:highlight w:val="none"/>
        </w:rPr>
      </w:pPr>
    </w:p>
    <w:p>
      <w:pPr>
        <w:rPr>
          <w:color w:val="auto"/>
          <w:highlight w:val="none"/>
        </w:rPr>
      </w:pPr>
    </w:p>
    <w:p>
      <w:pPr>
        <w:spacing w:line="288" w:lineRule="auto"/>
        <w:ind w:firstLine="720"/>
        <w:rPr>
          <w:color w:val="auto"/>
          <w:sz w:val="36"/>
          <w:szCs w:val="36"/>
          <w:highlight w:val="none"/>
        </w:rPr>
      </w:pPr>
    </w:p>
    <w:bookmarkEnd w:id="0"/>
    <w:p>
      <w:pPr>
        <w:spacing w:line="288" w:lineRule="auto"/>
        <w:jc w:val="center"/>
        <w:rPr>
          <w:color w:val="auto"/>
          <w:highlight w:val="none"/>
        </w:rPr>
        <w:sectPr>
          <w:headerReference r:id="rId3" w:type="default"/>
          <w:footerReference r:id="rId4" w:type="default"/>
          <w:pgSz w:w="11906" w:h="16838"/>
          <w:pgMar w:top="1701" w:right="1531" w:bottom="1701" w:left="1531" w:header="851" w:footer="1077" w:gutter="0"/>
          <w:pgBorders>
            <w:top w:val="none" w:sz="0" w:space="0"/>
            <w:left w:val="none" w:sz="0" w:space="0"/>
            <w:bottom w:val="none" w:sz="0" w:space="0"/>
            <w:right w:val="none" w:sz="0" w:space="0"/>
          </w:pgBorders>
          <w:pgNumType w:start="3"/>
          <w:cols w:space="720" w:num="1"/>
          <w:docGrid w:linePitch="312" w:charSpace="0"/>
        </w:sectPr>
      </w:pPr>
      <w:r>
        <w:rPr>
          <w:color w:val="auto"/>
          <w:sz w:val="36"/>
          <w:szCs w:val="36"/>
          <w:highlight w:val="none"/>
        </w:rPr>
        <w:t>中华人民共和国生态环境部制</w:t>
      </w:r>
    </w:p>
    <w:p>
      <w:pPr>
        <w:rPr>
          <w:color w:val="auto"/>
          <w:highlight w:val="none"/>
        </w:rPr>
        <w:sectPr>
          <w:pgSz w:w="11906" w:h="16838"/>
          <w:pgMar w:top="1701" w:right="1531" w:bottom="1701" w:left="1531" w:header="851" w:footer="1077" w:gutter="0"/>
          <w:pgBorders>
            <w:top w:val="none" w:sz="0" w:space="0"/>
            <w:left w:val="none" w:sz="0" w:space="0"/>
            <w:bottom w:val="none" w:sz="0" w:space="0"/>
            <w:right w:val="none" w:sz="0" w:space="0"/>
          </w:pgBorders>
          <w:pgNumType w:start="3"/>
          <w:cols w:space="720" w:num="1"/>
          <w:docGrid w:linePitch="312" w:charSpace="0"/>
        </w:sectPr>
      </w:pPr>
    </w:p>
    <w:p>
      <w:pPr>
        <w:pStyle w:val="26"/>
        <w:spacing w:before="0" w:beforeAutospacing="0" w:after="0" w:afterAutospacing="0"/>
        <w:jc w:val="center"/>
        <w:outlineLvl w:val="0"/>
        <w:rPr>
          <w:rFonts w:ascii="Times New Roman" w:hAnsi="Times New Roman"/>
          <w:b/>
          <w:bCs/>
          <w:snapToGrid w:val="0"/>
          <w:color w:val="auto"/>
          <w:sz w:val="30"/>
          <w:szCs w:val="30"/>
          <w:highlight w:val="none"/>
        </w:rPr>
      </w:pPr>
      <w:r>
        <w:rPr>
          <w:rFonts w:ascii="Times New Roman" w:hAnsi="Times New Roman"/>
          <w:b/>
          <w:bCs/>
          <w:snapToGrid w:val="0"/>
          <w:color w:val="auto"/>
          <w:sz w:val="30"/>
          <w:szCs w:val="30"/>
          <w:highlight w:val="none"/>
        </w:rPr>
        <w:t>一、建设项目基本情况</w:t>
      </w: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211"/>
        <w:gridCol w:w="2704"/>
        <w:gridCol w:w="1880"/>
        <w:gridCol w:w="30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11" w:type="dxa"/>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建设项目名称</w:t>
            </w:r>
          </w:p>
        </w:tc>
        <w:tc>
          <w:tcPr>
            <w:tcW w:w="7659" w:type="dxa"/>
            <w:gridSpan w:val="3"/>
            <w:vAlign w:val="center"/>
          </w:tcPr>
          <w:p>
            <w:pPr>
              <w:adjustRightInd w:val="0"/>
              <w:snapToGrid w:val="0"/>
              <w:jc w:val="center"/>
              <w:rPr>
                <w:color w:val="auto"/>
                <w:sz w:val="24"/>
                <w:highlight w:val="none"/>
              </w:rPr>
            </w:pPr>
            <w:r>
              <w:rPr>
                <w:rFonts w:hint="eastAsia"/>
                <w:color w:val="auto"/>
                <w:sz w:val="24"/>
                <w:highlight w:val="none"/>
              </w:rPr>
              <w:t>饭田（长春）橡塑有限公司年产500吨汽车用NVH橡塑制品生产线建设项目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11" w:type="dxa"/>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项目代码</w:t>
            </w:r>
          </w:p>
        </w:tc>
        <w:tc>
          <w:tcPr>
            <w:tcW w:w="7659" w:type="dxa"/>
            <w:gridSpan w:val="3"/>
            <w:vAlign w:val="center"/>
          </w:tcPr>
          <w:p>
            <w:pPr>
              <w:adjustRightInd w:val="0"/>
              <w:snapToGrid w:val="0"/>
              <w:jc w:val="center"/>
              <w:rPr>
                <w:color w:val="auto"/>
                <w:sz w:val="24"/>
                <w:highlight w:val="none"/>
              </w:rPr>
            </w:pPr>
            <w:r>
              <w:rPr>
                <w:rFonts w:hint="eastAsia"/>
                <w:color w:val="auto"/>
                <w:kern w:val="0"/>
                <w:sz w:val="24"/>
                <w:highlight w:val="none"/>
                <w:lang w:bidi="ar"/>
              </w:rPr>
              <w:t>2210-220100-04-02-404745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11" w:type="dxa"/>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建设单位联系人</w:t>
            </w:r>
          </w:p>
        </w:tc>
        <w:tc>
          <w:tcPr>
            <w:tcW w:w="2704" w:type="dxa"/>
            <w:vAlign w:val="center"/>
          </w:tcPr>
          <w:p>
            <w:pPr>
              <w:adjustRightInd w:val="0"/>
              <w:snapToGrid w:val="0"/>
              <w:jc w:val="center"/>
              <w:rPr>
                <w:color w:val="auto"/>
                <w:sz w:val="24"/>
                <w:highlight w:val="none"/>
              </w:rPr>
            </w:pPr>
            <w:r>
              <w:rPr>
                <w:rFonts w:hint="eastAsia" w:ascii="Times New Roman" w:hAnsi="Times New Roman" w:eastAsia="宋体" w:cs="Times New Roman"/>
                <w:color w:val="auto"/>
                <w:sz w:val="24"/>
                <w:szCs w:val="24"/>
                <w:highlight w:val="none"/>
                <w:lang w:val="en-US" w:eastAsia="zh-CN"/>
              </w:rPr>
              <w:t>孙霞</w:t>
            </w:r>
          </w:p>
        </w:tc>
        <w:tc>
          <w:tcPr>
            <w:tcW w:w="1880" w:type="dxa"/>
            <w:vAlign w:val="center"/>
          </w:tcPr>
          <w:p>
            <w:pPr>
              <w:adjustRightInd w:val="0"/>
              <w:snapToGrid w:val="0"/>
              <w:jc w:val="center"/>
              <w:rPr>
                <w:color w:val="auto"/>
                <w:sz w:val="24"/>
                <w:highlight w:val="none"/>
              </w:rPr>
            </w:pPr>
            <w:r>
              <w:rPr>
                <w:color w:val="auto"/>
                <w:sz w:val="24"/>
                <w:highlight w:val="none"/>
              </w:rPr>
              <w:t>联系方式</w:t>
            </w:r>
          </w:p>
        </w:tc>
        <w:tc>
          <w:tcPr>
            <w:tcW w:w="3075" w:type="dxa"/>
            <w:vAlign w:val="center"/>
          </w:tcPr>
          <w:p>
            <w:pPr>
              <w:adjustRightInd w:val="0"/>
              <w:snapToGrid w:val="0"/>
              <w:jc w:val="center"/>
              <w:rPr>
                <w:color w:val="auto"/>
                <w:sz w:val="24"/>
                <w:highlight w:val="none"/>
              </w:rPr>
            </w:pPr>
            <w:r>
              <w:rPr>
                <w:rFonts w:hint="eastAsia" w:ascii="Times New Roman" w:hAnsi="Times New Roman" w:eastAsia="宋体" w:cs="Times New Roman"/>
                <w:color w:val="auto"/>
                <w:sz w:val="24"/>
                <w:szCs w:val="24"/>
                <w:highlight w:val="none"/>
                <w:lang w:val="en-US" w:eastAsia="zh-CN"/>
              </w:rPr>
              <w:t>18686522267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11" w:type="dxa"/>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建设地点</w:t>
            </w:r>
          </w:p>
        </w:tc>
        <w:tc>
          <w:tcPr>
            <w:tcW w:w="7659" w:type="dxa"/>
            <w:gridSpan w:val="3"/>
            <w:vAlign w:val="center"/>
          </w:tcPr>
          <w:p>
            <w:pPr>
              <w:adjustRightInd w:val="0"/>
              <w:snapToGrid w:val="0"/>
              <w:jc w:val="center"/>
              <w:rPr>
                <w:color w:val="auto"/>
                <w:sz w:val="24"/>
                <w:highlight w:val="none"/>
              </w:rPr>
            </w:pPr>
            <w:r>
              <w:rPr>
                <w:rFonts w:hint="eastAsia"/>
                <w:color w:val="auto"/>
                <w:sz w:val="24"/>
                <w:szCs w:val="24"/>
                <w:highlight w:val="none"/>
              </w:rPr>
              <w:t>长春经济技术开发区石家庄路171D号厂房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11" w:type="dxa"/>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地理坐标</w:t>
            </w:r>
          </w:p>
        </w:tc>
        <w:tc>
          <w:tcPr>
            <w:tcW w:w="7659" w:type="dxa"/>
            <w:gridSpan w:val="3"/>
            <w:vAlign w:val="center"/>
          </w:tcPr>
          <w:p>
            <w:pPr>
              <w:jc w:val="center"/>
              <w:rPr>
                <w:color w:val="auto"/>
                <w:sz w:val="24"/>
                <w:highlight w:val="none"/>
              </w:rPr>
            </w:pPr>
            <w:r>
              <w:rPr>
                <w:color w:val="auto"/>
                <w:sz w:val="24"/>
                <w:highlight w:val="none"/>
              </w:rPr>
              <w:t>E</w:t>
            </w:r>
            <w:r>
              <w:rPr>
                <w:rFonts w:hint="eastAsia"/>
                <w:color w:val="auto"/>
                <w:sz w:val="24"/>
                <w:highlight w:val="none"/>
              </w:rPr>
              <w:t>125°26′35.299″</w:t>
            </w:r>
            <w:r>
              <w:rPr>
                <w:color w:val="auto"/>
                <w:sz w:val="24"/>
                <w:highlight w:val="none"/>
              </w:rPr>
              <w:t>，N</w:t>
            </w:r>
            <w:r>
              <w:rPr>
                <w:rFonts w:hint="eastAsia"/>
                <w:color w:val="auto"/>
                <w:sz w:val="24"/>
                <w:highlight w:val="none"/>
              </w:rPr>
              <w:t>43°54′19.925″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211" w:type="dxa"/>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国民经济行业类别</w:t>
            </w:r>
          </w:p>
        </w:tc>
        <w:tc>
          <w:tcPr>
            <w:tcW w:w="2704" w:type="dxa"/>
            <w:vAlign w:val="center"/>
          </w:tcPr>
          <w:p>
            <w:pPr>
              <w:widowControl/>
              <w:jc w:val="center"/>
              <w:rPr>
                <w:color w:val="auto"/>
                <w:sz w:val="24"/>
                <w:highlight w:val="none"/>
              </w:rPr>
            </w:pPr>
            <w:r>
              <w:rPr>
                <w:rFonts w:hint="default" w:ascii="Times New Roman" w:hAnsi="Times New Roman" w:cs="Times New Roman"/>
                <w:color w:val="auto"/>
                <w:sz w:val="24"/>
                <w:szCs w:val="24"/>
                <w:highlight w:val="none"/>
              </w:rPr>
              <w:t>C</w:t>
            </w:r>
            <w:r>
              <w:rPr>
                <w:rFonts w:hint="default" w:ascii="Times New Roman" w:hAnsi="Times New Roman" w:cs="Times New Roman"/>
                <w:color w:val="auto"/>
                <w:sz w:val="24"/>
                <w:szCs w:val="24"/>
                <w:highlight w:val="none"/>
                <w:lang w:val="en-US" w:eastAsia="zh-CN"/>
              </w:rPr>
              <w:t>2929</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lang w:val="en-US" w:eastAsia="zh-CN"/>
              </w:rPr>
              <w:t>塑料零件及其他塑料制品制造</w:t>
            </w:r>
          </w:p>
        </w:tc>
        <w:tc>
          <w:tcPr>
            <w:tcW w:w="1880" w:type="dxa"/>
            <w:vAlign w:val="center"/>
          </w:tcPr>
          <w:p>
            <w:pPr>
              <w:widowControl/>
              <w:jc w:val="center"/>
              <w:rPr>
                <w:color w:val="auto"/>
                <w:sz w:val="24"/>
                <w:highlight w:val="none"/>
              </w:rPr>
            </w:pPr>
            <w:bookmarkStart w:id="1" w:name="_Hlk49843745"/>
            <w:r>
              <w:rPr>
                <w:color w:val="auto"/>
                <w:sz w:val="24"/>
                <w:highlight w:val="none"/>
              </w:rPr>
              <w:t>建设项目</w:t>
            </w:r>
          </w:p>
          <w:p>
            <w:pPr>
              <w:widowControl/>
              <w:jc w:val="center"/>
              <w:rPr>
                <w:color w:val="auto"/>
                <w:sz w:val="24"/>
                <w:highlight w:val="none"/>
              </w:rPr>
            </w:pPr>
            <w:r>
              <w:rPr>
                <w:color w:val="auto"/>
                <w:sz w:val="24"/>
                <w:highlight w:val="none"/>
              </w:rPr>
              <w:t>行业类别</w:t>
            </w:r>
            <w:bookmarkEnd w:id="1"/>
          </w:p>
        </w:tc>
        <w:tc>
          <w:tcPr>
            <w:tcW w:w="3075" w:type="dxa"/>
            <w:vAlign w:val="center"/>
          </w:tcPr>
          <w:p>
            <w:pPr>
              <w:widowControl/>
              <w:numPr>
                <w:ilvl w:val="0"/>
                <w:numId w:val="0"/>
              </w:numPr>
              <w:jc w:val="center"/>
              <w:rPr>
                <w:color w:val="auto"/>
                <w:sz w:val="24"/>
                <w:highlight w:val="none"/>
              </w:rPr>
            </w:pPr>
            <w:r>
              <w:rPr>
                <w:rFonts w:hint="default" w:ascii="Times New Roman" w:hAnsi="Times New Roman" w:cs="Times New Roman"/>
                <w:color w:val="auto"/>
                <w:sz w:val="24"/>
                <w:szCs w:val="24"/>
                <w:highlight w:val="none"/>
                <w:lang w:val="en-US" w:eastAsia="zh-CN"/>
              </w:rPr>
              <w:t>53、塑料制品业292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211" w:type="dxa"/>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建设性质</w:t>
            </w:r>
          </w:p>
        </w:tc>
        <w:tc>
          <w:tcPr>
            <w:tcW w:w="2704" w:type="dxa"/>
            <w:vAlign w:val="center"/>
          </w:tcPr>
          <w:p>
            <w:pPr>
              <w:jc w:val="left"/>
              <w:rPr>
                <w:color w:val="auto"/>
                <w:sz w:val="24"/>
                <w:highlight w:val="none"/>
              </w:rPr>
            </w:pPr>
            <w:r>
              <w:rPr>
                <w:color w:val="auto"/>
                <w:sz w:val="24"/>
                <w:highlight w:val="none"/>
              </w:rPr>
              <w:t>□新建（迁建）</w:t>
            </w:r>
          </w:p>
          <w:p>
            <w:pPr>
              <w:jc w:val="left"/>
              <w:rPr>
                <w:color w:val="auto"/>
                <w:sz w:val="24"/>
                <w:highlight w:val="none"/>
              </w:rPr>
            </w:pPr>
            <w:r>
              <w:rPr>
                <w:color w:val="auto"/>
                <w:sz w:val="24"/>
                <w:highlight w:val="none"/>
              </w:rPr>
              <w:t>□改建</w:t>
            </w:r>
          </w:p>
          <w:p>
            <w:pPr>
              <w:jc w:val="left"/>
              <w:rPr>
                <w:color w:val="auto"/>
                <w:sz w:val="24"/>
                <w:highlight w:val="none"/>
              </w:rPr>
            </w:pPr>
            <w:r>
              <w:rPr>
                <w:rFonts w:hint="eastAsia"/>
                <w:color w:val="auto"/>
                <w:sz w:val="24"/>
                <w:highlight w:val="none"/>
                <w:lang w:eastAsia="zh-CN"/>
              </w:rPr>
              <w:t>☑</w:t>
            </w:r>
            <w:r>
              <w:rPr>
                <w:color w:val="auto"/>
                <w:sz w:val="24"/>
                <w:highlight w:val="none"/>
              </w:rPr>
              <w:t>扩建</w:t>
            </w:r>
          </w:p>
          <w:p>
            <w:pPr>
              <w:jc w:val="left"/>
              <w:rPr>
                <w:color w:val="auto"/>
                <w:sz w:val="24"/>
                <w:highlight w:val="none"/>
              </w:rPr>
            </w:pPr>
            <w:r>
              <w:rPr>
                <w:color w:val="auto"/>
                <w:sz w:val="24"/>
                <w:highlight w:val="none"/>
              </w:rPr>
              <w:t>□技术改造</w:t>
            </w:r>
          </w:p>
        </w:tc>
        <w:tc>
          <w:tcPr>
            <w:tcW w:w="1880" w:type="dxa"/>
            <w:vAlign w:val="center"/>
          </w:tcPr>
          <w:p>
            <w:pPr>
              <w:adjustRightInd w:val="0"/>
              <w:snapToGrid w:val="0"/>
              <w:jc w:val="center"/>
              <w:rPr>
                <w:color w:val="auto"/>
                <w:sz w:val="24"/>
                <w:highlight w:val="none"/>
              </w:rPr>
            </w:pPr>
            <w:r>
              <w:rPr>
                <w:color w:val="auto"/>
                <w:sz w:val="24"/>
                <w:highlight w:val="none"/>
              </w:rPr>
              <w:t>建设项目</w:t>
            </w:r>
          </w:p>
          <w:p>
            <w:pPr>
              <w:adjustRightInd w:val="0"/>
              <w:snapToGrid w:val="0"/>
              <w:jc w:val="center"/>
              <w:rPr>
                <w:color w:val="auto"/>
                <w:sz w:val="24"/>
                <w:highlight w:val="none"/>
              </w:rPr>
            </w:pPr>
            <w:r>
              <w:rPr>
                <w:color w:val="auto"/>
                <w:sz w:val="24"/>
                <w:highlight w:val="none"/>
              </w:rPr>
              <w:t>申报情形</w:t>
            </w:r>
          </w:p>
        </w:tc>
        <w:tc>
          <w:tcPr>
            <w:tcW w:w="3075" w:type="dxa"/>
            <w:vAlign w:val="center"/>
          </w:tcPr>
          <w:p>
            <w:pPr>
              <w:jc w:val="left"/>
              <w:rPr>
                <w:color w:val="auto"/>
                <w:sz w:val="24"/>
                <w:highlight w:val="none"/>
              </w:rPr>
            </w:pPr>
            <w:r>
              <w:rPr>
                <w:color w:val="auto"/>
                <w:sz w:val="24"/>
                <w:highlight w:val="none"/>
              </w:rPr>
              <w:t xml:space="preserve">☑首次申报项目             </w:t>
            </w:r>
          </w:p>
          <w:p>
            <w:pPr>
              <w:jc w:val="left"/>
              <w:rPr>
                <w:color w:val="auto"/>
                <w:sz w:val="24"/>
                <w:highlight w:val="none"/>
              </w:rPr>
            </w:pPr>
            <w:r>
              <w:rPr>
                <w:color w:val="auto"/>
                <w:sz w:val="24"/>
                <w:highlight w:val="none"/>
              </w:rPr>
              <w:t>□不予批准后再次申报项目</w:t>
            </w:r>
          </w:p>
          <w:p>
            <w:pPr>
              <w:jc w:val="left"/>
              <w:rPr>
                <w:color w:val="auto"/>
                <w:sz w:val="24"/>
                <w:highlight w:val="none"/>
              </w:rPr>
            </w:pPr>
            <w:r>
              <w:rPr>
                <w:color w:val="auto"/>
                <w:sz w:val="24"/>
                <w:highlight w:val="none"/>
              </w:rPr>
              <w:t xml:space="preserve">□超五年重新审核项目     </w:t>
            </w:r>
          </w:p>
          <w:p>
            <w:pPr>
              <w:jc w:val="left"/>
              <w:rPr>
                <w:color w:val="auto"/>
                <w:sz w:val="24"/>
                <w:highlight w:val="none"/>
              </w:rPr>
            </w:pPr>
            <w:r>
              <w:rPr>
                <w:color w:val="auto"/>
                <w:sz w:val="24"/>
                <w:highlight w:val="none"/>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211" w:type="dxa"/>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项目审批（核准/备案）部门（选填）</w:t>
            </w:r>
          </w:p>
        </w:tc>
        <w:tc>
          <w:tcPr>
            <w:tcW w:w="2704" w:type="dxa"/>
            <w:vAlign w:val="center"/>
          </w:tcPr>
          <w:p>
            <w:pPr>
              <w:adjustRightInd w:val="0"/>
              <w:snapToGrid w:val="0"/>
              <w:jc w:val="center"/>
              <w:rPr>
                <w:color w:val="auto"/>
                <w:sz w:val="24"/>
                <w:highlight w:val="none"/>
              </w:rPr>
            </w:pPr>
            <w:r>
              <w:rPr>
                <w:color w:val="auto"/>
                <w:sz w:val="24"/>
                <w:highlight w:val="none"/>
              </w:rPr>
              <w:t>/</w:t>
            </w:r>
          </w:p>
        </w:tc>
        <w:tc>
          <w:tcPr>
            <w:tcW w:w="1880" w:type="dxa"/>
            <w:vAlign w:val="center"/>
          </w:tcPr>
          <w:p>
            <w:pPr>
              <w:adjustRightInd w:val="0"/>
              <w:snapToGrid w:val="0"/>
              <w:jc w:val="center"/>
              <w:rPr>
                <w:color w:val="auto"/>
                <w:sz w:val="24"/>
                <w:highlight w:val="none"/>
              </w:rPr>
            </w:pPr>
            <w:r>
              <w:rPr>
                <w:color w:val="auto"/>
                <w:sz w:val="24"/>
                <w:highlight w:val="none"/>
              </w:rPr>
              <w:t>项目审批（核准/</w:t>
            </w:r>
          </w:p>
          <w:p>
            <w:pPr>
              <w:adjustRightInd w:val="0"/>
              <w:snapToGrid w:val="0"/>
              <w:jc w:val="center"/>
              <w:rPr>
                <w:color w:val="auto"/>
                <w:sz w:val="24"/>
                <w:highlight w:val="none"/>
              </w:rPr>
            </w:pPr>
            <w:r>
              <w:rPr>
                <w:color w:val="auto"/>
                <w:sz w:val="24"/>
                <w:highlight w:val="none"/>
              </w:rPr>
              <w:t>备案）文号（选填）</w:t>
            </w:r>
          </w:p>
        </w:tc>
        <w:tc>
          <w:tcPr>
            <w:tcW w:w="3075" w:type="dxa"/>
            <w:vAlign w:val="center"/>
          </w:tcPr>
          <w:p>
            <w:pPr>
              <w:adjustRightInd w:val="0"/>
              <w:snapToGrid w:val="0"/>
              <w:jc w:val="center"/>
              <w:rPr>
                <w:color w:val="auto"/>
                <w:sz w:val="24"/>
                <w:highlight w:val="none"/>
              </w:rPr>
            </w:pPr>
            <w:r>
              <w:rPr>
                <w:color w:val="auto"/>
                <w:sz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11" w:type="dxa"/>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总投资（万元）</w:t>
            </w:r>
          </w:p>
        </w:tc>
        <w:tc>
          <w:tcPr>
            <w:tcW w:w="2704" w:type="dxa"/>
            <w:vAlign w:val="center"/>
          </w:tcPr>
          <w:p>
            <w:pPr>
              <w:adjustRightInd w:val="0"/>
              <w:snapToGrid w:val="0"/>
              <w:jc w:val="center"/>
              <w:rPr>
                <w:color w:val="auto"/>
                <w:sz w:val="24"/>
                <w:highlight w:val="none"/>
              </w:rPr>
            </w:pPr>
            <w:r>
              <w:rPr>
                <w:rFonts w:hint="eastAsia"/>
                <w:color w:val="auto"/>
                <w:sz w:val="24"/>
                <w:highlight w:val="none"/>
              </w:rPr>
              <w:t>1200</w:t>
            </w:r>
          </w:p>
        </w:tc>
        <w:tc>
          <w:tcPr>
            <w:tcW w:w="1880" w:type="dxa"/>
            <w:tcMar>
              <w:top w:w="16" w:type="dxa"/>
              <w:left w:w="16" w:type="dxa"/>
              <w:right w:w="16" w:type="dxa"/>
            </w:tcMar>
            <w:vAlign w:val="center"/>
          </w:tcPr>
          <w:p>
            <w:pPr>
              <w:adjustRightInd w:val="0"/>
              <w:snapToGrid w:val="0"/>
              <w:jc w:val="center"/>
              <w:rPr>
                <w:color w:val="auto"/>
                <w:sz w:val="24"/>
                <w:highlight w:val="none"/>
              </w:rPr>
            </w:pPr>
            <w:bookmarkStart w:id="5" w:name="_GoBack"/>
            <w:r>
              <w:rPr>
                <w:color w:val="auto"/>
                <w:sz w:val="24"/>
                <w:highlight w:val="none"/>
              </w:rPr>
              <w:t>环保投资（万元</w:t>
            </w:r>
            <w:bookmarkEnd w:id="5"/>
            <w:r>
              <w:rPr>
                <w:color w:val="auto"/>
                <w:sz w:val="24"/>
                <w:highlight w:val="none"/>
              </w:rPr>
              <w:t>）</w:t>
            </w:r>
          </w:p>
        </w:tc>
        <w:tc>
          <w:tcPr>
            <w:tcW w:w="3075" w:type="dxa"/>
            <w:vAlign w:val="center"/>
          </w:tcPr>
          <w:p>
            <w:pPr>
              <w:adjustRightInd w:val="0"/>
              <w:snapToGrid w:val="0"/>
              <w:jc w:val="center"/>
              <w:rPr>
                <w:rFonts w:hint="eastAsia" w:eastAsia="宋体"/>
                <w:color w:val="auto"/>
                <w:sz w:val="24"/>
                <w:highlight w:val="none"/>
                <w:lang w:eastAsia="zh-CN"/>
              </w:rPr>
            </w:pPr>
            <w:r>
              <w:rPr>
                <w:color w:val="auto"/>
                <w:sz w:val="24"/>
                <w:highlight w:val="none"/>
              </w:rPr>
              <w:t>5</w:t>
            </w:r>
            <w:r>
              <w:rPr>
                <w:rFonts w:hint="eastAsia"/>
                <w:color w:val="auto"/>
                <w:sz w:val="24"/>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11" w:type="dxa"/>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环保投资占比（%）</w:t>
            </w:r>
          </w:p>
        </w:tc>
        <w:tc>
          <w:tcPr>
            <w:tcW w:w="2704" w:type="dxa"/>
            <w:vAlign w:val="center"/>
          </w:tcPr>
          <w:p>
            <w:pPr>
              <w:adjustRightInd w:val="0"/>
              <w:snapToGrid w:val="0"/>
              <w:jc w:val="center"/>
              <w:rPr>
                <w:rFonts w:hint="eastAsia" w:eastAsia="宋体"/>
                <w:color w:val="auto"/>
                <w:sz w:val="24"/>
                <w:highlight w:val="none"/>
                <w:lang w:eastAsia="zh-CN"/>
              </w:rPr>
            </w:pPr>
            <w:r>
              <w:rPr>
                <w:rFonts w:hint="eastAsia"/>
                <w:color w:val="auto"/>
                <w:sz w:val="24"/>
                <w:highlight w:val="none"/>
                <w:lang w:eastAsia="zh-CN"/>
              </w:rPr>
              <w:t>4.17%</w:t>
            </w:r>
          </w:p>
        </w:tc>
        <w:tc>
          <w:tcPr>
            <w:tcW w:w="1880" w:type="dxa"/>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施工工期</w:t>
            </w:r>
          </w:p>
        </w:tc>
        <w:tc>
          <w:tcPr>
            <w:tcW w:w="3075" w:type="dxa"/>
            <w:vAlign w:val="center"/>
          </w:tcPr>
          <w:p>
            <w:pPr>
              <w:adjustRightInd w:val="0"/>
              <w:snapToGrid w:val="0"/>
              <w:jc w:val="center"/>
              <w:rPr>
                <w:color w:val="auto"/>
                <w:sz w:val="24"/>
                <w:highlight w:val="none"/>
              </w:rPr>
            </w:pPr>
            <w:r>
              <w:rPr>
                <w:rFonts w:hint="eastAsia"/>
                <w:color w:val="auto"/>
                <w:sz w:val="24"/>
                <w:highlight w:val="none"/>
                <w:lang w:val="en-US" w:eastAsia="zh-CN"/>
              </w:rPr>
              <w:t>12</w:t>
            </w:r>
            <w:r>
              <w:rPr>
                <w:color w:val="auto"/>
                <w:sz w:val="24"/>
                <w:highlight w:val="none"/>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11" w:type="dxa"/>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是否开工建设</w:t>
            </w:r>
          </w:p>
        </w:tc>
        <w:tc>
          <w:tcPr>
            <w:tcW w:w="2704" w:type="dxa"/>
            <w:vAlign w:val="center"/>
          </w:tcPr>
          <w:p>
            <w:pPr>
              <w:adjustRightInd w:val="0"/>
              <w:snapToGrid w:val="0"/>
              <w:rPr>
                <w:color w:val="auto"/>
                <w:sz w:val="24"/>
                <w:highlight w:val="none"/>
              </w:rPr>
            </w:pPr>
            <w:r>
              <w:rPr>
                <w:color w:val="auto"/>
                <w:sz w:val="24"/>
                <w:highlight w:val="none"/>
              </w:rPr>
              <w:t>☑否</w:t>
            </w:r>
          </w:p>
          <w:p>
            <w:pPr>
              <w:adjustRightInd w:val="0"/>
              <w:snapToGrid w:val="0"/>
              <w:rPr>
                <w:color w:val="auto"/>
                <w:sz w:val="24"/>
                <w:highlight w:val="none"/>
              </w:rPr>
            </w:pPr>
            <w:r>
              <w:rPr>
                <w:color w:val="auto"/>
                <w:sz w:val="24"/>
                <w:highlight w:val="none"/>
              </w:rPr>
              <w:t>□是：</w:t>
            </w:r>
            <w:r>
              <w:rPr>
                <w:color w:val="auto"/>
                <w:sz w:val="24"/>
                <w:highlight w:val="none"/>
                <w:u w:val="single"/>
              </w:rPr>
              <w:t xml:space="preserve">             </w:t>
            </w:r>
          </w:p>
        </w:tc>
        <w:tc>
          <w:tcPr>
            <w:tcW w:w="1880" w:type="dxa"/>
            <w:tcMar>
              <w:top w:w="16" w:type="dxa"/>
              <w:left w:w="16" w:type="dxa"/>
              <w:right w:w="16" w:type="dxa"/>
            </w:tcMar>
            <w:vAlign w:val="center"/>
          </w:tcPr>
          <w:p>
            <w:pPr>
              <w:adjustRightInd w:val="0"/>
              <w:snapToGrid w:val="0"/>
              <w:jc w:val="center"/>
              <w:rPr>
                <w:color w:val="auto"/>
                <w:sz w:val="24"/>
                <w:highlight w:val="none"/>
              </w:rPr>
            </w:pPr>
            <w:r>
              <w:rPr>
                <w:color w:val="auto"/>
                <w:spacing w:val="-6"/>
                <w:sz w:val="24"/>
                <w:highlight w:val="none"/>
              </w:rPr>
              <w:t>用地（用海）面积（m</w:t>
            </w:r>
            <w:r>
              <w:rPr>
                <w:color w:val="auto"/>
                <w:spacing w:val="-6"/>
                <w:sz w:val="24"/>
                <w:highlight w:val="none"/>
                <w:vertAlign w:val="superscript"/>
              </w:rPr>
              <w:t>2</w:t>
            </w:r>
            <w:r>
              <w:rPr>
                <w:color w:val="auto"/>
                <w:spacing w:val="-6"/>
                <w:sz w:val="24"/>
                <w:highlight w:val="none"/>
              </w:rPr>
              <w:t>）</w:t>
            </w:r>
          </w:p>
        </w:tc>
        <w:tc>
          <w:tcPr>
            <w:tcW w:w="3075" w:type="dxa"/>
            <w:vAlign w:val="center"/>
          </w:tcPr>
          <w:p>
            <w:pPr>
              <w:adjustRightInd w:val="0"/>
              <w:snapToGrid w:val="0"/>
              <w:jc w:val="center"/>
              <w:rPr>
                <w:color w:val="auto"/>
                <w:sz w:val="24"/>
                <w:highlight w:val="none"/>
              </w:rPr>
            </w:pPr>
            <w:r>
              <w:rPr>
                <w:rFonts w:hint="eastAsia"/>
                <w:color w:val="auto"/>
                <w:sz w:val="24"/>
                <w:highlight w:val="none"/>
                <w:lang w:val="en-US" w:eastAsia="zh-CN"/>
              </w:rPr>
              <w:t>0（不新增占地）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211" w:type="dxa"/>
            <w:vAlign w:val="center"/>
          </w:tcPr>
          <w:p>
            <w:pPr>
              <w:autoSpaceDE w:val="0"/>
              <w:autoSpaceDN w:val="0"/>
              <w:adjustRightInd w:val="0"/>
              <w:snapToGrid w:val="0"/>
              <w:jc w:val="center"/>
              <w:rPr>
                <w:color w:val="auto"/>
                <w:kern w:val="0"/>
                <w:sz w:val="24"/>
                <w:highlight w:val="none"/>
              </w:rPr>
            </w:pPr>
            <w:r>
              <w:rPr>
                <w:color w:val="auto"/>
                <w:kern w:val="0"/>
                <w:sz w:val="24"/>
                <w:highlight w:val="none"/>
              </w:rPr>
              <w:t>专项评价设置情况</w:t>
            </w:r>
          </w:p>
        </w:tc>
        <w:tc>
          <w:tcPr>
            <w:tcW w:w="7659" w:type="dxa"/>
            <w:gridSpan w:val="3"/>
            <w:vAlign w:val="center"/>
          </w:tcPr>
          <w:p>
            <w:pPr>
              <w:autoSpaceDE w:val="0"/>
              <w:autoSpaceDN w:val="0"/>
              <w:adjustRightInd w:val="0"/>
              <w:snapToGrid w:val="0"/>
              <w:jc w:val="center"/>
              <w:rPr>
                <w:color w:val="auto"/>
                <w:kern w:val="0"/>
                <w:sz w:val="24"/>
                <w:highlight w:val="none"/>
              </w:rPr>
            </w:pPr>
            <w:r>
              <w:rPr>
                <w:color w:val="auto"/>
                <w:kern w:val="0"/>
                <w:sz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1211" w:type="dxa"/>
            <w:vAlign w:val="center"/>
          </w:tcPr>
          <w:p>
            <w:pPr>
              <w:autoSpaceDE w:val="0"/>
              <w:autoSpaceDN w:val="0"/>
              <w:adjustRightInd w:val="0"/>
              <w:snapToGrid w:val="0"/>
              <w:jc w:val="center"/>
              <w:rPr>
                <w:color w:val="auto"/>
                <w:kern w:val="0"/>
                <w:sz w:val="24"/>
                <w:highlight w:val="none"/>
              </w:rPr>
            </w:pPr>
            <w:r>
              <w:rPr>
                <w:color w:val="auto"/>
                <w:sz w:val="24"/>
                <w:highlight w:val="none"/>
              </w:rPr>
              <w:t>规划情况</w:t>
            </w:r>
          </w:p>
        </w:tc>
        <w:tc>
          <w:tcPr>
            <w:tcW w:w="7659" w:type="dxa"/>
            <w:gridSpan w:val="3"/>
            <w:vAlign w:val="center"/>
          </w:tcPr>
          <w:p>
            <w:pPr>
              <w:widowControl/>
              <w:spacing w:line="360" w:lineRule="auto"/>
              <w:ind w:firstLine="480" w:firstLineChars="200"/>
              <w:rPr>
                <w:color w:val="auto"/>
                <w:kern w:val="0"/>
                <w:sz w:val="24"/>
                <w:highlight w:val="none"/>
              </w:rPr>
            </w:pPr>
            <w:r>
              <w:rPr>
                <w:color w:val="auto"/>
                <w:kern w:val="0"/>
                <w:sz w:val="24"/>
                <w:highlight w:val="none"/>
              </w:rPr>
              <w:t>《长春市城市总体规划（2011-2020 年）》（2017 年修订），国函[2017]87号。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211" w:type="dxa"/>
            <w:vAlign w:val="center"/>
          </w:tcPr>
          <w:p>
            <w:pPr>
              <w:adjustRightInd w:val="0"/>
              <w:snapToGrid w:val="0"/>
              <w:jc w:val="center"/>
              <w:rPr>
                <w:color w:val="auto"/>
                <w:kern w:val="0"/>
                <w:sz w:val="24"/>
                <w:highlight w:val="none"/>
              </w:rPr>
            </w:pPr>
            <w:r>
              <w:rPr>
                <w:color w:val="auto"/>
                <w:sz w:val="24"/>
                <w:highlight w:val="none"/>
              </w:rPr>
              <w:t>规划环境影响评价情况</w:t>
            </w:r>
          </w:p>
        </w:tc>
        <w:tc>
          <w:tcPr>
            <w:tcW w:w="7659" w:type="dxa"/>
            <w:gridSpan w:val="3"/>
            <w:vAlign w:val="center"/>
          </w:tcPr>
          <w:p>
            <w:pPr>
              <w:pStyle w:val="71"/>
              <w:spacing w:line="360" w:lineRule="auto"/>
              <w:ind w:firstLine="480" w:firstLineChars="200"/>
              <w:jc w:val="both"/>
              <w:rPr>
                <w:color w:val="auto"/>
                <w:kern w:val="0"/>
                <w:sz w:val="24"/>
                <w:highlight w:val="none"/>
              </w:rPr>
            </w:pPr>
            <w:r>
              <w:rPr>
                <w:color w:val="auto"/>
                <w:kern w:val="0"/>
                <w:sz w:val="24"/>
                <w:highlight w:val="none"/>
              </w:rPr>
              <w:t>规划环评文件名称：《长春经济技术开发区总体规划环境影响跟踪评价报告书》；</w:t>
            </w:r>
          </w:p>
          <w:p>
            <w:pPr>
              <w:pStyle w:val="71"/>
              <w:spacing w:line="360" w:lineRule="auto"/>
              <w:ind w:firstLine="480" w:firstLineChars="200"/>
              <w:jc w:val="both"/>
              <w:rPr>
                <w:color w:val="auto"/>
                <w:kern w:val="0"/>
                <w:sz w:val="24"/>
                <w:highlight w:val="none"/>
              </w:rPr>
            </w:pPr>
            <w:r>
              <w:rPr>
                <w:color w:val="auto"/>
                <w:kern w:val="0"/>
                <w:sz w:val="24"/>
                <w:highlight w:val="none"/>
              </w:rPr>
              <w:t>审查机关：生态环境部</w:t>
            </w:r>
          </w:p>
          <w:p>
            <w:pPr>
              <w:widowControl/>
              <w:spacing w:line="360" w:lineRule="auto"/>
              <w:ind w:firstLine="480" w:firstLineChars="200"/>
              <w:rPr>
                <w:color w:val="auto"/>
                <w:kern w:val="0"/>
                <w:sz w:val="24"/>
                <w:highlight w:val="none"/>
              </w:rPr>
            </w:pPr>
            <w:r>
              <w:rPr>
                <w:color w:val="auto"/>
                <w:kern w:val="0"/>
                <w:sz w:val="24"/>
                <w:highlight w:val="none"/>
              </w:rPr>
              <w:t>审查文件名称及文号：《关于长春经济技术开发区规划环境影响跟踪评价工作有关意见的函》（环办环评函[2020]59号）。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1" w:type="dxa"/>
            <w:vAlign w:val="center"/>
          </w:tcPr>
          <w:p>
            <w:pPr>
              <w:autoSpaceDE w:val="0"/>
              <w:autoSpaceDN w:val="0"/>
              <w:adjustRightInd w:val="0"/>
              <w:snapToGrid w:val="0"/>
              <w:jc w:val="center"/>
              <w:rPr>
                <w:color w:val="auto"/>
                <w:kern w:val="0"/>
                <w:sz w:val="24"/>
                <w:highlight w:val="none"/>
              </w:rPr>
            </w:pPr>
            <w:r>
              <w:rPr>
                <w:color w:val="auto"/>
                <w:kern w:val="0"/>
                <w:sz w:val="24"/>
                <w:highlight w:val="none"/>
              </w:rPr>
              <w:t>规划及规划环境影响评价符合性分析</w:t>
            </w:r>
          </w:p>
        </w:tc>
        <w:tc>
          <w:tcPr>
            <w:tcW w:w="7659" w:type="dxa"/>
            <w:gridSpan w:val="3"/>
            <w:vAlign w:val="center"/>
          </w:tcPr>
          <w:p>
            <w:pPr>
              <w:widowControl/>
              <w:spacing w:line="360" w:lineRule="auto"/>
              <w:ind w:firstLine="482" w:firstLineChars="200"/>
              <w:rPr>
                <w:color w:val="auto"/>
                <w:kern w:val="0"/>
                <w:sz w:val="24"/>
                <w:highlight w:val="none"/>
              </w:rPr>
            </w:pPr>
            <w:r>
              <w:rPr>
                <w:b/>
                <w:bCs/>
                <w:color w:val="auto"/>
                <w:kern w:val="0"/>
                <w:sz w:val="24"/>
                <w:highlight w:val="none"/>
              </w:rPr>
              <w:t xml:space="preserve">1.规划符合性分析 </w:t>
            </w:r>
          </w:p>
          <w:p>
            <w:pPr>
              <w:widowControl/>
              <w:spacing w:line="360" w:lineRule="auto"/>
              <w:ind w:firstLine="480" w:firstLineChars="200"/>
              <w:rPr>
                <w:color w:val="auto"/>
                <w:kern w:val="0"/>
                <w:sz w:val="24"/>
                <w:highlight w:val="none"/>
              </w:rPr>
            </w:pPr>
            <w:r>
              <w:rPr>
                <w:color w:val="auto"/>
                <w:kern w:val="0"/>
                <w:sz w:val="24"/>
                <w:highlight w:val="none"/>
              </w:rPr>
              <w:t>项目位于</w:t>
            </w:r>
            <w:r>
              <w:rPr>
                <w:rFonts w:hint="eastAsia"/>
                <w:color w:val="auto"/>
                <w:kern w:val="0"/>
                <w:sz w:val="24"/>
                <w:highlight w:val="none"/>
              </w:rPr>
              <w:t>长春经济技术开发区石家庄路171D号厂房</w:t>
            </w:r>
            <w:r>
              <w:rPr>
                <w:color w:val="auto"/>
                <w:kern w:val="0"/>
                <w:sz w:val="24"/>
                <w:highlight w:val="none"/>
              </w:rPr>
              <w:t>，</w:t>
            </w:r>
            <w:r>
              <w:rPr>
                <w:rFonts w:hint="eastAsia"/>
                <w:color w:val="auto"/>
                <w:kern w:val="0"/>
                <w:sz w:val="24"/>
                <w:highlight w:val="none"/>
                <w:lang w:eastAsia="zh-CN"/>
              </w:rPr>
              <w:t>不新增占地，利用厂房内现有产品存储区新购置生产线进行生产，</w:t>
            </w:r>
            <w:r>
              <w:rPr>
                <w:color w:val="auto"/>
                <w:kern w:val="0"/>
                <w:sz w:val="24"/>
                <w:highlight w:val="none"/>
              </w:rPr>
              <w:t>根据《长春市城市总体规划（2011-2020 年）》、《中心城区的经济技术开发区20个规划单元控制性详细规划》（长府批复[2012]65号），项目</w:t>
            </w:r>
            <w:r>
              <w:rPr>
                <w:rFonts w:hint="eastAsia"/>
                <w:color w:val="auto"/>
                <w:kern w:val="0"/>
                <w:sz w:val="24"/>
                <w:highlight w:val="none"/>
                <w:lang w:eastAsia="zh-CN"/>
              </w:rPr>
              <w:t>所在区域</w:t>
            </w:r>
            <w:r>
              <w:rPr>
                <w:color w:val="auto"/>
                <w:kern w:val="0"/>
                <w:sz w:val="24"/>
                <w:highlight w:val="none"/>
              </w:rPr>
              <w:t>用地性质为工业用地，符合土地利用总体规划要求，项目在用地规划中的位置详见附图2-2。</w:t>
            </w:r>
          </w:p>
          <w:p>
            <w:pPr>
              <w:widowControl/>
              <w:spacing w:line="360" w:lineRule="auto"/>
              <w:ind w:firstLine="480" w:firstLineChars="200"/>
              <w:rPr>
                <w:color w:val="auto"/>
                <w:kern w:val="0"/>
                <w:sz w:val="24"/>
                <w:highlight w:val="none"/>
              </w:rPr>
            </w:pPr>
            <w:r>
              <w:rPr>
                <w:color w:val="auto"/>
                <w:kern w:val="0"/>
                <w:sz w:val="24"/>
                <w:highlight w:val="none"/>
              </w:rPr>
              <w:t>本项目位于长春经济技术开发区（南区），</w:t>
            </w:r>
            <w:r>
              <w:rPr>
                <w:color w:val="auto"/>
                <w:kern w:val="0"/>
                <w:sz w:val="24"/>
                <w:highlight w:val="none"/>
                <w:lang w:bidi="ar"/>
              </w:rPr>
              <w:t>根据《</w:t>
            </w:r>
            <w:r>
              <w:rPr>
                <w:color w:val="auto"/>
                <w:spacing w:val="-3"/>
                <w:sz w:val="24"/>
                <w:highlight w:val="none"/>
              </w:rPr>
              <w:t>长春经济技术开发区总体规划环境影响跟踪评价报告书</w:t>
            </w:r>
            <w:r>
              <w:rPr>
                <w:color w:val="auto"/>
                <w:kern w:val="0"/>
                <w:sz w:val="24"/>
                <w:highlight w:val="none"/>
                <w:lang w:bidi="ar"/>
              </w:rPr>
              <w:t>》，</w:t>
            </w:r>
            <w:r>
              <w:rPr>
                <w:color w:val="auto"/>
                <w:kern w:val="0"/>
                <w:sz w:val="24"/>
                <w:highlight w:val="none"/>
              </w:rPr>
              <w:t>南区主导产业为汽车零部件、光电信息、生物制药、粮食深加工、新型建材。经开南区经过多年发展，已形成南区5大产业园，分布为专用车园、生物医药园、光电产业园、汽车零部件园及快速消费品园。</w:t>
            </w:r>
          </w:p>
          <w:p>
            <w:pPr>
              <w:widowControl/>
              <w:spacing w:line="360" w:lineRule="auto"/>
              <w:ind w:firstLine="480" w:firstLineChars="200"/>
              <w:rPr>
                <w:color w:val="auto"/>
                <w:kern w:val="0"/>
                <w:sz w:val="24"/>
                <w:highlight w:val="none"/>
              </w:rPr>
            </w:pPr>
            <w:r>
              <w:rPr>
                <w:color w:val="auto"/>
                <w:kern w:val="0"/>
                <w:sz w:val="24"/>
                <w:highlight w:val="none"/>
              </w:rPr>
              <w:t>本项目位于专用车园，生产产品为</w:t>
            </w:r>
            <w:r>
              <w:rPr>
                <w:rFonts w:hint="eastAsia"/>
                <w:color w:val="auto"/>
                <w:kern w:val="0"/>
                <w:sz w:val="24"/>
                <w:highlight w:val="none"/>
              </w:rPr>
              <w:t>汽车用NVH橡塑制品</w:t>
            </w:r>
            <w:r>
              <w:rPr>
                <w:color w:val="auto"/>
                <w:kern w:val="0"/>
                <w:sz w:val="24"/>
                <w:highlight w:val="none"/>
              </w:rPr>
              <w:t>，</w:t>
            </w:r>
            <w:r>
              <w:rPr>
                <w:rFonts w:hint="eastAsia"/>
                <w:color w:val="auto"/>
                <w:kern w:val="0"/>
                <w:sz w:val="24"/>
                <w:highlight w:val="none"/>
                <w:lang w:eastAsia="zh-CN"/>
              </w:rPr>
              <w:t>属于汽车零部件</w:t>
            </w:r>
            <w:r>
              <w:rPr>
                <w:color w:val="auto"/>
                <w:kern w:val="0"/>
                <w:sz w:val="24"/>
                <w:highlight w:val="none"/>
              </w:rPr>
              <w:t>，属于经开区主导发展产业，符合专用车园产业园布局要求。</w:t>
            </w:r>
          </w:p>
          <w:p>
            <w:pPr>
              <w:widowControl/>
              <w:spacing w:line="360" w:lineRule="auto"/>
              <w:ind w:firstLine="480" w:firstLineChars="200"/>
              <w:rPr>
                <w:color w:val="auto"/>
                <w:kern w:val="0"/>
                <w:sz w:val="24"/>
                <w:highlight w:val="none"/>
              </w:rPr>
            </w:pPr>
            <w:r>
              <w:rPr>
                <w:color w:val="auto"/>
                <w:kern w:val="0"/>
                <w:sz w:val="24"/>
                <w:highlight w:val="none"/>
              </w:rPr>
              <w:t>综上，项目符合开发区规划及规划环境影响评价。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1" w:type="dxa"/>
            <w:vAlign w:val="center"/>
          </w:tcPr>
          <w:p>
            <w:pPr>
              <w:autoSpaceDE w:val="0"/>
              <w:autoSpaceDN w:val="0"/>
              <w:adjustRightInd w:val="0"/>
              <w:snapToGrid w:val="0"/>
              <w:jc w:val="center"/>
              <w:rPr>
                <w:color w:val="auto"/>
                <w:kern w:val="0"/>
                <w:sz w:val="24"/>
                <w:highlight w:val="none"/>
              </w:rPr>
            </w:pPr>
            <w:r>
              <w:rPr>
                <w:color w:val="auto"/>
                <w:kern w:val="0"/>
                <w:sz w:val="24"/>
                <w:highlight w:val="none"/>
              </w:rPr>
              <w:t>其他符合性分析</w:t>
            </w:r>
          </w:p>
        </w:tc>
        <w:tc>
          <w:tcPr>
            <w:tcW w:w="7659" w:type="dxa"/>
            <w:gridSpan w:val="3"/>
            <w:vAlign w:val="center"/>
          </w:tcPr>
          <w:p>
            <w:pPr>
              <w:widowControl/>
              <w:spacing w:line="360" w:lineRule="auto"/>
              <w:ind w:firstLine="482" w:firstLineChars="200"/>
              <w:rPr>
                <w:color w:val="auto"/>
                <w:sz w:val="24"/>
                <w:highlight w:val="none"/>
              </w:rPr>
            </w:pPr>
            <w:r>
              <w:rPr>
                <w:b/>
                <w:bCs/>
                <w:color w:val="auto"/>
                <w:sz w:val="24"/>
                <w:highlight w:val="none"/>
              </w:rPr>
              <w:t>1.产业政策相符性分析</w:t>
            </w:r>
          </w:p>
          <w:p>
            <w:pPr>
              <w:widowControl/>
              <w:spacing w:line="360" w:lineRule="auto"/>
              <w:ind w:firstLine="480" w:firstLineChars="200"/>
              <w:rPr>
                <w:color w:val="auto"/>
                <w:sz w:val="24"/>
                <w:highlight w:val="none"/>
              </w:rPr>
            </w:pPr>
            <w:r>
              <w:rPr>
                <w:color w:val="auto"/>
                <w:sz w:val="24"/>
                <w:highlight w:val="none"/>
              </w:rPr>
              <w:t>本项目</w:t>
            </w:r>
            <w:r>
              <w:rPr>
                <w:rFonts w:hint="eastAsia"/>
                <w:color w:val="auto"/>
                <w:sz w:val="24"/>
                <w:highlight w:val="none"/>
                <w:lang w:eastAsia="zh-CN"/>
              </w:rPr>
              <w:t>主要产品为</w:t>
            </w:r>
            <w:r>
              <w:rPr>
                <w:rFonts w:hint="eastAsia"/>
                <w:color w:val="auto"/>
                <w:sz w:val="24"/>
                <w:highlight w:val="none"/>
              </w:rPr>
              <w:t>汽车用NVH橡塑制品</w:t>
            </w:r>
            <w:r>
              <w:rPr>
                <w:color w:val="auto"/>
                <w:sz w:val="24"/>
                <w:highlight w:val="none"/>
              </w:rPr>
              <w:t>，对照国家发展改革委《产业结构调整指导目录（2019年本）》（2021年修订），本项目不属于其中的鼓励类、限制类、淘汰类项目，属于允类项目，故本项目符合国家产业政策。</w:t>
            </w:r>
          </w:p>
          <w:p>
            <w:pPr>
              <w:autoSpaceDE w:val="0"/>
              <w:autoSpaceDN w:val="0"/>
              <w:adjustRightInd w:val="0"/>
              <w:snapToGrid w:val="0"/>
              <w:spacing w:line="360" w:lineRule="auto"/>
              <w:ind w:firstLine="482" w:firstLineChars="200"/>
              <w:rPr>
                <w:b/>
                <w:bCs/>
                <w:color w:val="auto"/>
                <w:sz w:val="24"/>
                <w:highlight w:val="none"/>
              </w:rPr>
            </w:pPr>
            <w:r>
              <w:rPr>
                <w:b/>
                <w:bCs/>
                <w:color w:val="auto"/>
                <w:sz w:val="24"/>
                <w:highlight w:val="none"/>
              </w:rPr>
              <w:t>2.与</w:t>
            </w:r>
            <w:r>
              <w:rPr>
                <w:rFonts w:hint="eastAsia"/>
                <w:b/>
                <w:bCs/>
                <w:color w:val="auto"/>
                <w:sz w:val="24"/>
                <w:highlight w:val="none"/>
                <w:lang w:eastAsia="zh-CN"/>
              </w:rPr>
              <w:t>“</w:t>
            </w:r>
            <w:r>
              <w:rPr>
                <w:b/>
                <w:bCs/>
                <w:color w:val="auto"/>
                <w:sz w:val="24"/>
                <w:highlight w:val="none"/>
              </w:rPr>
              <w:t>三线一单</w:t>
            </w:r>
            <w:r>
              <w:rPr>
                <w:rFonts w:hint="eastAsia"/>
                <w:b/>
                <w:bCs/>
                <w:color w:val="auto"/>
                <w:sz w:val="24"/>
                <w:highlight w:val="none"/>
                <w:lang w:eastAsia="zh-CN"/>
              </w:rPr>
              <w:t>”</w:t>
            </w:r>
            <w:r>
              <w:rPr>
                <w:b/>
                <w:bCs/>
                <w:color w:val="auto"/>
                <w:sz w:val="24"/>
                <w:highlight w:val="none"/>
              </w:rPr>
              <w:t>相符性分析</w:t>
            </w:r>
          </w:p>
          <w:p>
            <w:pPr>
              <w:autoSpaceDE w:val="0"/>
              <w:autoSpaceDN w:val="0"/>
              <w:adjustRightInd w:val="0"/>
              <w:snapToGrid w:val="0"/>
              <w:spacing w:line="360" w:lineRule="auto"/>
              <w:ind w:firstLine="482" w:firstLineChars="200"/>
              <w:rPr>
                <w:b/>
                <w:bCs/>
                <w:color w:val="auto"/>
                <w:sz w:val="24"/>
                <w:highlight w:val="none"/>
              </w:rPr>
            </w:pPr>
            <w:r>
              <w:rPr>
                <w:rFonts w:hint="eastAsia"/>
                <w:b/>
                <w:bCs/>
                <w:color w:val="auto"/>
                <w:sz w:val="24"/>
                <w:highlight w:val="none"/>
                <w:lang w:eastAsia="zh-CN"/>
              </w:rPr>
              <w:t>（</w:t>
            </w:r>
            <w:r>
              <w:rPr>
                <w:rFonts w:hint="eastAsia"/>
                <w:b/>
                <w:bCs/>
                <w:color w:val="auto"/>
                <w:sz w:val="24"/>
                <w:highlight w:val="none"/>
                <w:lang w:val="en-US" w:eastAsia="zh-CN"/>
              </w:rPr>
              <w:t>1</w:t>
            </w:r>
            <w:r>
              <w:rPr>
                <w:rFonts w:hint="eastAsia"/>
                <w:b/>
                <w:bCs/>
                <w:color w:val="auto"/>
                <w:sz w:val="24"/>
                <w:highlight w:val="none"/>
                <w:lang w:eastAsia="zh-CN"/>
              </w:rPr>
              <w:t>）</w:t>
            </w:r>
            <w:r>
              <w:rPr>
                <w:b/>
                <w:bCs/>
                <w:color w:val="auto"/>
                <w:sz w:val="24"/>
                <w:highlight w:val="none"/>
              </w:rPr>
              <w:t>生态保护红线</w:t>
            </w:r>
          </w:p>
          <w:p>
            <w:pPr>
              <w:widowControl/>
              <w:spacing w:line="360" w:lineRule="auto"/>
              <w:ind w:firstLine="480" w:firstLineChars="200"/>
              <w:rPr>
                <w:color w:val="auto"/>
                <w:sz w:val="24"/>
                <w:highlight w:val="none"/>
              </w:rPr>
            </w:pPr>
            <w:r>
              <w:rPr>
                <w:color w:val="auto"/>
                <w:sz w:val="24"/>
                <w:highlight w:val="none"/>
              </w:rPr>
              <w:t>根据《长春市人民政府关于实施</w:t>
            </w:r>
            <w:r>
              <w:rPr>
                <w:rFonts w:hint="eastAsia"/>
                <w:color w:val="auto"/>
                <w:sz w:val="24"/>
                <w:highlight w:val="none"/>
                <w:lang w:eastAsia="zh-CN"/>
              </w:rPr>
              <w:t>“</w:t>
            </w:r>
            <w:r>
              <w:rPr>
                <w:color w:val="auto"/>
                <w:sz w:val="24"/>
                <w:highlight w:val="none"/>
              </w:rPr>
              <w:t>三线一单</w:t>
            </w:r>
            <w:r>
              <w:rPr>
                <w:rFonts w:hint="eastAsia"/>
                <w:color w:val="auto"/>
                <w:sz w:val="24"/>
                <w:highlight w:val="none"/>
                <w:lang w:eastAsia="zh-CN"/>
              </w:rPr>
              <w:t>”</w:t>
            </w:r>
            <w:r>
              <w:rPr>
                <w:color w:val="auto"/>
                <w:sz w:val="24"/>
                <w:highlight w:val="none"/>
              </w:rPr>
              <w:t>生态环境分区管控的意见》长府函[2021]62号，本项目选址位于重点管控单元内（单元名称：宽城区-长春经济技术开发区；单元编码：ZH22010320009），不涉及生态保护红线，满足生态红线区域保护规划要求。项目在管控单元分布图中的位置详见附图2-1。</w:t>
            </w:r>
          </w:p>
          <w:p>
            <w:pPr>
              <w:autoSpaceDE w:val="0"/>
              <w:autoSpaceDN w:val="0"/>
              <w:adjustRightInd w:val="0"/>
              <w:snapToGrid w:val="0"/>
              <w:spacing w:line="360" w:lineRule="auto"/>
              <w:ind w:firstLine="482" w:firstLineChars="200"/>
              <w:rPr>
                <w:b/>
                <w:bCs/>
                <w:color w:val="auto"/>
                <w:sz w:val="24"/>
                <w:highlight w:val="none"/>
              </w:rPr>
            </w:pPr>
            <w:r>
              <w:rPr>
                <w:rFonts w:hint="eastAsia"/>
                <w:b/>
                <w:bCs/>
                <w:color w:val="auto"/>
                <w:sz w:val="24"/>
                <w:highlight w:val="none"/>
                <w:lang w:eastAsia="zh-CN"/>
              </w:rPr>
              <w:t>（</w:t>
            </w:r>
            <w:r>
              <w:rPr>
                <w:rFonts w:hint="eastAsia"/>
                <w:b/>
                <w:bCs/>
                <w:color w:val="auto"/>
                <w:sz w:val="24"/>
                <w:highlight w:val="none"/>
                <w:lang w:val="en-US" w:eastAsia="zh-CN"/>
              </w:rPr>
              <w:t>2</w:t>
            </w:r>
            <w:r>
              <w:rPr>
                <w:rFonts w:hint="eastAsia"/>
                <w:b/>
                <w:bCs/>
                <w:color w:val="auto"/>
                <w:sz w:val="24"/>
                <w:highlight w:val="none"/>
                <w:lang w:eastAsia="zh-CN"/>
              </w:rPr>
              <w:t>）</w:t>
            </w:r>
            <w:r>
              <w:rPr>
                <w:b/>
                <w:bCs/>
                <w:color w:val="auto"/>
                <w:sz w:val="24"/>
                <w:highlight w:val="none"/>
              </w:rPr>
              <w:t>环境质量底线</w:t>
            </w:r>
          </w:p>
          <w:p>
            <w:pPr>
              <w:widowControl/>
              <w:spacing w:line="360" w:lineRule="auto"/>
              <w:ind w:firstLine="480" w:firstLineChars="200"/>
              <w:rPr>
                <w:color w:val="auto"/>
                <w:sz w:val="24"/>
                <w:highlight w:val="none"/>
              </w:rPr>
            </w:pPr>
            <w:r>
              <w:rPr>
                <w:color w:val="auto"/>
                <w:sz w:val="24"/>
                <w:highlight w:val="none"/>
              </w:rPr>
              <w:t>根据《吉林省2021年环境状况公告》，2021年长春市为达标区。本项目</w:t>
            </w:r>
            <w:r>
              <w:rPr>
                <w:rFonts w:hint="eastAsia"/>
                <w:color w:val="auto"/>
                <w:sz w:val="24"/>
                <w:highlight w:val="none"/>
                <w:lang w:eastAsia="zh-CN"/>
              </w:rPr>
              <w:t>主要产品</w:t>
            </w:r>
            <w:r>
              <w:rPr>
                <w:color w:val="auto"/>
                <w:sz w:val="24"/>
                <w:highlight w:val="none"/>
              </w:rPr>
              <w:t>为</w:t>
            </w:r>
            <w:r>
              <w:rPr>
                <w:rFonts w:hint="eastAsia"/>
                <w:color w:val="auto"/>
                <w:sz w:val="24"/>
                <w:highlight w:val="none"/>
              </w:rPr>
              <w:t>汽车用NVH橡塑制品</w:t>
            </w:r>
            <w:r>
              <w:rPr>
                <w:color w:val="auto"/>
                <w:sz w:val="24"/>
                <w:highlight w:val="none"/>
              </w:rPr>
              <w:t>，运营期产生废气主要为</w:t>
            </w:r>
            <w:r>
              <w:rPr>
                <w:rFonts w:hint="eastAsia"/>
                <w:color w:val="auto"/>
                <w:sz w:val="24"/>
                <w:highlight w:val="none"/>
                <w:lang w:val="en-US" w:eastAsia="zh-CN"/>
              </w:rPr>
              <w:t>非甲烷总烃</w:t>
            </w:r>
            <w:r>
              <w:rPr>
                <w:color w:val="auto"/>
                <w:sz w:val="24"/>
                <w:highlight w:val="none"/>
              </w:rPr>
              <w:t>、颗粒物，</w:t>
            </w:r>
            <w:r>
              <w:rPr>
                <w:rFonts w:hint="eastAsia"/>
                <w:color w:val="auto"/>
                <w:sz w:val="24"/>
                <w:highlight w:val="none"/>
                <w:lang w:val="en-US" w:eastAsia="zh-CN"/>
              </w:rPr>
              <w:t>非甲烷总烃</w:t>
            </w:r>
            <w:r>
              <w:rPr>
                <w:color w:val="auto"/>
                <w:sz w:val="24"/>
                <w:highlight w:val="none"/>
              </w:rPr>
              <w:t>有组织排放废气满足《合成树脂工业污染物排放标准》（GB31572-2015）中表5大气污染物特别排放限值，颗粒物满足</w:t>
            </w:r>
            <w:r>
              <w:rPr>
                <w:rFonts w:hint="default"/>
                <w:color w:val="auto"/>
                <w:sz w:val="24"/>
                <w:highlight w:val="none"/>
                <w:lang w:val="en-US" w:eastAsia="zh-CN"/>
              </w:rPr>
              <w:t>《大气污染物综合排放标准中》（GB16297-1996）中表2新污染源大气污染物二级排放限值要求</w:t>
            </w:r>
            <w:r>
              <w:rPr>
                <w:rFonts w:hint="eastAsia"/>
                <w:color w:val="auto"/>
                <w:sz w:val="24"/>
                <w:highlight w:val="none"/>
                <w:lang w:val="en-US" w:eastAsia="zh-CN"/>
              </w:rPr>
              <w:t>；</w:t>
            </w:r>
            <w:r>
              <w:rPr>
                <w:rFonts w:hint="default"/>
                <w:color w:val="auto"/>
                <w:sz w:val="24"/>
                <w:highlight w:val="none"/>
                <w:lang w:val="en-US" w:eastAsia="zh-CN"/>
              </w:rPr>
              <w:t>厂区内</w:t>
            </w:r>
            <w:r>
              <w:rPr>
                <w:rFonts w:hint="eastAsia"/>
                <w:color w:val="auto"/>
                <w:sz w:val="24"/>
                <w:highlight w:val="none"/>
                <w:lang w:val="en-US" w:eastAsia="zh-CN"/>
              </w:rPr>
              <w:t>非甲烷总烃</w:t>
            </w:r>
            <w:r>
              <w:rPr>
                <w:color w:val="auto"/>
                <w:sz w:val="24"/>
                <w:highlight w:val="none"/>
              </w:rPr>
              <w:t>满足</w:t>
            </w:r>
            <w:r>
              <w:rPr>
                <w:rFonts w:hint="default"/>
                <w:color w:val="auto"/>
                <w:sz w:val="24"/>
                <w:highlight w:val="none"/>
                <w:lang w:val="en-US" w:eastAsia="zh-CN"/>
              </w:rPr>
              <w:t>《挥发性有机物无组织排放控制标准》（GB37822-2019）中无组织特别排放限值，厂界无组织</w:t>
            </w:r>
            <w:r>
              <w:rPr>
                <w:rFonts w:hint="eastAsia"/>
                <w:color w:val="auto"/>
                <w:sz w:val="24"/>
                <w:highlight w:val="none"/>
                <w:lang w:val="en-US" w:eastAsia="zh-CN"/>
              </w:rPr>
              <w:t>非甲烷总烃</w:t>
            </w:r>
            <w:r>
              <w:rPr>
                <w:color w:val="auto"/>
                <w:sz w:val="24"/>
                <w:highlight w:val="none"/>
              </w:rPr>
              <w:t>满足</w:t>
            </w:r>
            <w:r>
              <w:rPr>
                <w:rFonts w:hint="default"/>
                <w:color w:val="auto"/>
                <w:sz w:val="24"/>
                <w:highlight w:val="none"/>
              </w:rPr>
              <w:t>《合成树脂工业污染物排放标准》</w:t>
            </w:r>
            <w:r>
              <w:rPr>
                <w:rFonts w:hint="default"/>
                <w:color w:val="auto"/>
                <w:sz w:val="24"/>
                <w:highlight w:val="none"/>
                <w:lang w:eastAsia="zh-CN"/>
              </w:rPr>
              <w:t>（</w:t>
            </w:r>
            <w:r>
              <w:rPr>
                <w:rFonts w:hint="default"/>
                <w:color w:val="auto"/>
                <w:sz w:val="24"/>
                <w:highlight w:val="none"/>
              </w:rPr>
              <w:t>GB31572-2015</w:t>
            </w:r>
            <w:r>
              <w:rPr>
                <w:rFonts w:hint="default"/>
                <w:color w:val="auto"/>
                <w:sz w:val="24"/>
                <w:highlight w:val="none"/>
                <w:lang w:eastAsia="zh-CN"/>
              </w:rPr>
              <w:t>）</w:t>
            </w:r>
            <w:r>
              <w:rPr>
                <w:rFonts w:hint="default"/>
                <w:color w:val="auto"/>
                <w:sz w:val="24"/>
                <w:highlight w:val="none"/>
                <w:lang w:val="en-US" w:eastAsia="zh-CN"/>
              </w:rPr>
              <w:t>中企业边界大气污染物浓度限值</w:t>
            </w:r>
            <w:r>
              <w:rPr>
                <w:color w:val="auto"/>
                <w:sz w:val="24"/>
                <w:highlight w:val="none"/>
              </w:rPr>
              <w:t>。本项目对各产污环节均采取相应的环保治理措施，排放废气可满足相应污染物排放标准，污染物排放量较少，不会改变区域大气环境质量现状。</w:t>
            </w:r>
          </w:p>
          <w:p>
            <w:pPr>
              <w:widowControl/>
              <w:spacing w:line="360" w:lineRule="auto"/>
              <w:ind w:firstLine="480" w:firstLineChars="200"/>
              <w:rPr>
                <w:color w:val="auto"/>
                <w:sz w:val="24"/>
                <w:highlight w:val="none"/>
              </w:rPr>
            </w:pPr>
            <w:r>
              <w:rPr>
                <w:color w:val="auto"/>
                <w:sz w:val="24"/>
                <w:highlight w:val="none"/>
              </w:rPr>
              <w:t>本项目所在区域受纳水体为伊通河，根据吉林省生态厅发布的2022年地表水国控断面水质月度报告，伊通河新立城大坝断面</w:t>
            </w:r>
            <w:r>
              <w:rPr>
                <w:rFonts w:hint="eastAsia"/>
                <w:color w:val="auto"/>
                <w:sz w:val="24"/>
                <w:highlight w:val="none"/>
              </w:rPr>
              <w:t>1</w:t>
            </w:r>
            <w:r>
              <w:rPr>
                <w:color w:val="auto"/>
                <w:sz w:val="24"/>
                <w:highlight w:val="none"/>
              </w:rPr>
              <w:t>、</w:t>
            </w:r>
            <w:r>
              <w:rPr>
                <w:rFonts w:hint="eastAsia"/>
                <w:color w:val="auto"/>
                <w:sz w:val="24"/>
                <w:highlight w:val="none"/>
              </w:rPr>
              <w:t>3、</w:t>
            </w:r>
            <w:r>
              <w:rPr>
                <w:color w:val="auto"/>
                <w:sz w:val="24"/>
                <w:highlight w:val="none"/>
              </w:rPr>
              <w:t>7</w:t>
            </w:r>
            <w:r>
              <w:rPr>
                <w:rFonts w:hint="eastAsia"/>
                <w:color w:val="auto"/>
                <w:sz w:val="24"/>
                <w:highlight w:val="none"/>
              </w:rPr>
              <w:t>-9</w:t>
            </w:r>
            <w:r>
              <w:rPr>
                <w:color w:val="auto"/>
                <w:sz w:val="24"/>
                <w:highlight w:val="none"/>
              </w:rPr>
              <w:t>月水质为Ⅲ类，</w:t>
            </w:r>
            <w:r>
              <w:rPr>
                <w:rFonts w:hint="eastAsia"/>
                <w:color w:val="auto"/>
                <w:sz w:val="24"/>
                <w:highlight w:val="none"/>
              </w:rPr>
              <w:t>2、5、6、10-12</w:t>
            </w:r>
            <w:r>
              <w:rPr>
                <w:color w:val="auto"/>
                <w:sz w:val="24"/>
                <w:highlight w:val="none"/>
              </w:rPr>
              <w:t>月水质为Ⅱ类，达标；杨家崴子断面</w:t>
            </w:r>
            <w:r>
              <w:rPr>
                <w:rFonts w:hint="eastAsia"/>
                <w:color w:val="auto"/>
                <w:sz w:val="24"/>
                <w:highlight w:val="none"/>
              </w:rPr>
              <w:t>1、2、12</w:t>
            </w:r>
            <w:r>
              <w:rPr>
                <w:color w:val="auto"/>
                <w:sz w:val="24"/>
                <w:highlight w:val="none"/>
              </w:rPr>
              <w:t>月水质为Ⅳ类，</w:t>
            </w:r>
            <w:r>
              <w:rPr>
                <w:rFonts w:hint="eastAsia"/>
                <w:color w:val="auto"/>
                <w:sz w:val="24"/>
                <w:highlight w:val="none"/>
              </w:rPr>
              <w:t>5-10</w:t>
            </w:r>
            <w:r>
              <w:rPr>
                <w:color w:val="auto"/>
                <w:sz w:val="24"/>
                <w:highlight w:val="none"/>
              </w:rPr>
              <w:t>月水质为Ⅴ类</w:t>
            </w:r>
            <w:r>
              <w:rPr>
                <w:rFonts w:hint="eastAsia"/>
                <w:color w:val="auto"/>
                <w:sz w:val="24"/>
                <w:highlight w:val="none"/>
              </w:rPr>
              <w:t>，11</w:t>
            </w:r>
            <w:r>
              <w:rPr>
                <w:color w:val="auto"/>
                <w:sz w:val="24"/>
                <w:highlight w:val="none"/>
              </w:rPr>
              <w:t>月水质为Ⅲ类，达标；靠山大桥断面</w:t>
            </w:r>
            <w:r>
              <w:rPr>
                <w:rFonts w:hint="eastAsia"/>
                <w:color w:val="auto"/>
                <w:sz w:val="24"/>
                <w:highlight w:val="none"/>
              </w:rPr>
              <w:t>2、5、6、8、9</w:t>
            </w:r>
            <w:r>
              <w:rPr>
                <w:color w:val="auto"/>
                <w:sz w:val="24"/>
                <w:highlight w:val="none"/>
              </w:rPr>
              <w:t>月</w:t>
            </w:r>
            <w:r>
              <w:rPr>
                <w:rFonts w:hint="eastAsia"/>
                <w:color w:val="auto"/>
                <w:sz w:val="24"/>
                <w:highlight w:val="none"/>
              </w:rPr>
              <w:t>水质</w:t>
            </w:r>
            <w:r>
              <w:rPr>
                <w:color w:val="auto"/>
                <w:sz w:val="24"/>
                <w:highlight w:val="none"/>
              </w:rPr>
              <w:t>为Ⅴ类，未能达标，其余月份水质为Ⅲ、Ⅳ类，达标。以上表明伊通河受到一定程度的污染。</w:t>
            </w:r>
            <w:r>
              <w:rPr>
                <w:rFonts w:hint="eastAsia"/>
                <w:color w:val="auto"/>
                <w:sz w:val="24"/>
                <w:highlight w:val="none"/>
              </w:rPr>
              <w:t>超标原因可能是农村生活污水、农业面源污染所致。</w:t>
            </w:r>
            <w:r>
              <w:rPr>
                <w:rFonts w:hint="eastAsia" w:ascii="Times New Roman" w:hAnsi="Times New Roman" w:cs="Times New Roman"/>
                <w:i w:val="0"/>
                <w:iCs w:val="0"/>
                <w:color w:val="auto"/>
                <w:sz w:val="24"/>
                <w:highlight w:val="none"/>
                <w:u w:val="none"/>
                <w:shd w:val="clear" w:color="auto" w:fill="auto"/>
                <w:lang w:val="en-US" w:eastAsia="zh-CN"/>
              </w:rPr>
              <w:t>本项目废水</w:t>
            </w:r>
            <w:r>
              <w:rPr>
                <w:rFonts w:hint="eastAsia" w:ascii="Times New Roman" w:hAnsi="Times New Roman" w:eastAsia="宋体" w:cs="Times New Roman"/>
                <w:i w:val="0"/>
                <w:iCs w:val="0"/>
                <w:color w:val="auto"/>
                <w:sz w:val="24"/>
                <w:highlight w:val="none"/>
                <w:u w:val="none"/>
                <w:shd w:val="clear" w:color="auto" w:fill="auto"/>
                <w:lang w:val="en-US" w:eastAsia="zh-CN"/>
              </w:rPr>
              <w:t>经市政污水管网</w:t>
            </w:r>
            <w:r>
              <w:rPr>
                <w:rFonts w:hint="default" w:ascii="Times New Roman" w:hAnsi="Times New Roman" w:eastAsia="宋体" w:cs="Times New Roman"/>
                <w:i w:val="0"/>
                <w:iCs w:val="0"/>
                <w:color w:val="auto"/>
                <w:sz w:val="24"/>
                <w:highlight w:val="none"/>
                <w:u w:val="none"/>
                <w:shd w:val="clear" w:color="auto" w:fill="auto"/>
              </w:rPr>
              <w:t>排入</w:t>
            </w:r>
            <w:r>
              <w:rPr>
                <w:rFonts w:hint="eastAsia" w:ascii="Times New Roman" w:hAnsi="Times New Roman" w:eastAsia="宋体" w:cs="Times New Roman"/>
                <w:i w:val="0"/>
                <w:iCs w:val="0"/>
                <w:color w:val="auto"/>
                <w:sz w:val="24"/>
                <w:highlight w:val="none"/>
                <w:u w:val="none"/>
                <w:shd w:val="clear" w:color="auto" w:fill="auto"/>
                <w:lang w:val="en-US" w:eastAsia="zh-CN"/>
              </w:rPr>
              <w:t>长春水务集团城市排水有限责任公司长春市北郊污水处理厂</w:t>
            </w:r>
            <w:r>
              <w:rPr>
                <w:rFonts w:hint="default" w:ascii="Times New Roman" w:hAnsi="Times New Roman" w:eastAsia="宋体" w:cs="Times New Roman"/>
                <w:i w:val="0"/>
                <w:iCs w:val="0"/>
                <w:color w:val="auto"/>
                <w:sz w:val="24"/>
                <w:highlight w:val="none"/>
                <w:u w:val="none"/>
                <w:shd w:val="clear" w:color="auto" w:fill="auto"/>
              </w:rPr>
              <w:t>，处理达到《城镇污水处理厂污染物排放标准》（</w:t>
            </w:r>
            <w:r>
              <w:rPr>
                <w:rFonts w:hint="eastAsia" w:ascii="Times New Roman" w:hAnsi="Times New Roman" w:eastAsia="宋体" w:cs="Times New Roman"/>
                <w:i w:val="0"/>
                <w:iCs w:val="0"/>
                <w:color w:val="auto"/>
                <w:sz w:val="24"/>
                <w:highlight w:val="none"/>
                <w:u w:val="none"/>
                <w:shd w:val="clear" w:color="auto" w:fill="auto"/>
                <w:lang w:val="en-US" w:eastAsia="zh-CN"/>
              </w:rPr>
              <w:t>GB 18918</w:t>
            </w:r>
            <w:r>
              <w:rPr>
                <w:rFonts w:hint="default" w:ascii="Times New Roman" w:hAnsi="Times New Roman" w:eastAsia="宋体" w:cs="Times New Roman"/>
                <w:i w:val="0"/>
                <w:iCs w:val="0"/>
                <w:color w:val="auto"/>
                <w:sz w:val="24"/>
                <w:highlight w:val="none"/>
                <w:u w:val="none"/>
                <w:shd w:val="clear" w:color="auto" w:fill="auto"/>
              </w:rPr>
              <w:t>-20</w:t>
            </w:r>
            <w:r>
              <w:rPr>
                <w:rFonts w:hint="eastAsia" w:ascii="Times New Roman" w:hAnsi="Times New Roman" w:eastAsia="宋体" w:cs="Times New Roman"/>
                <w:i w:val="0"/>
                <w:iCs w:val="0"/>
                <w:color w:val="auto"/>
                <w:sz w:val="24"/>
                <w:highlight w:val="none"/>
                <w:u w:val="none"/>
                <w:shd w:val="clear" w:color="auto" w:fill="auto"/>
                <w:lang w:val="en-US" w:eastAsia="zh-CN"/>
              </w:rPr>
              <w:t>02</w:t>
            </w:r>
            <w:r>
              <w:rPr>
                <w:rFonts w:hint="default" w:ascii="Times New Roman" w:hAnsi="Times New Roman" w:eastAsia="宋体" w:cs="Times New Roman"/>
                <w:i w:val="0"/>
                <w:iCs w:val="0"/>
                <w:color w:val="auto"/>
                <w:sz w:val="24"/>
                <w:highlight w:val="none"/>
                <w:u w:val="none"/>
                <w:shd w:val="clear" w:color="auto" w:fill="auto"/>
              </w:rPr>
              <w:t>）中</w:t>
            </w:r>
            <w:r>
              <w:rPr>
                <w:rFonts w:hint="eastAsia" w:ascii="Times New Roman" w:hAnsi="Times New Roman" w:eastAsia="宋体" w:cs="Times New Roman"/>
                <w:i w:val="0"/>
                <w:iCs w:val="0"/>
                <w:color w:val="auto"/>
                <w:sz w:val="24"/>
                <w:highlight w:val="none"/>
                <w:u w:val="none"/>
                <w:shd w:val="clear" w:color="auto" w:fill="auto"/>
                <w:lang w:val="en-US" w:eastAsia="zh-CN"/>
              </w:rPr>
              <w:t>一级A</w:t>
            </w:r>
            <w:r>
              <w:rPr>
                <w:rFonts w:hint="default" w:ascii="Times New Roman" w:hAnsi="Times New Roman" w:eastAsia="宋体" w:cs="Times New Roman"/>
                <w:i w:val="0"/>
                <w:iCs w:val="0"/>
                <w:color w:val="auto"/>
                <w:sz w:val="24"/>
                <w:highlight w:val="none"/>
                <w:u w:val="none"/>
                <w:shd w:val="clear" w:color="auto" w:fill="auto"/>
              </w:rPr>
              <w:t>标准后排入</w:t>
            </w:r>
            <w:r>
              <w:rPr>
                <w:rFonts w:hint="eastAsia" w:ascii="Times New Roman" w:hAnsi="Times New Roman" w:eastAsia="宋体" w:cs="Times New Roman"/>
                <w:i w:val="0"/>
                <w:iCs w:val="0"/>
                <w:color w:val="auto"/>
                <w:sz w:val="24"/>
                <w:highlight w:val="none"/>
                <w:u w:val="none"/>
                <w:shd w:val="clear" w:color="auto" w:fill="auto"/>
                <w:lang w:val="en-US" w:eastAsia="zh-CN"/>
              </w:rPr>
              <w:t>伊通河</w:t>
            </w:r>
            <w:r>
              <w:rPr>
                <w:rFonts w:hint="eastAsia" w:ascii="Times New Roman" w:hAnsi="Times New Roman" w:eastAsia="宋体" w:cs="Times New Roman"/>
                <w:i w:val="0"/>
                <w:iCs w:val="0"/>
                <w:color w:val="auto"/>
                <w:sz w:val="24"/>
                <w:highlight w:val="none"/>
                <w:u w:val="none"/>
                <w:shd w:val="clear" w:color="auto" w:fill="auto"/>
                <w:lang w:eastAsia="zh-CN"/>
              </w:rPr>
              <w:t>，</w:t>
            </w:r>
            <w:r>
              <w:rPr>
                <w:rFonts w:hint="eastAsia" w:ascii="Times New Roman" w:hAnsi="Times New Roman" w:eastAsia="宋体" w:cs="Times New Roman"/>
                <w:i w:val="0"/>
                <w:iCs w:val="0"/>
                <w:color w:val="auto"/>
                <w:sz w:val="24"/>
                <w:highlight w:val="none"/>
                <w:u w:val="none"/>
                <w:shd w:val="clear" w:color="auto" w:fill="auto"/>
                <w:lang w:val="en-US" w:eastAsia="zh-CN"/>
              </w:rPr>
              <w:t>对地表水体影响较小，本项目废水污染物种类简单、浓度较低，可被城市污水处理厂有效处理，不会对污水厂造成冲击，污水厂尾水可实现稳定达标</w:t>
            </w:r>
            <w:r>
              <w:rPr>
                <w:color w:val="auto"/>
                <w:sz w:val="24"/>
                <w:highlight w:val="none"/>
              </w:rPr>
              <w:t>，不会改变伊通河水质现状。</w:t>
            </w:r>
          </w:p>
          <w:p>
            <w:pPr>
              <w:autoSpaceDE w:val="0"/>
              <w:autoSpaceDN w:val="0"/>
              <w:adjustRightInd w:val="0"/>
              <w:snapToGrid w:val="0"/>
              <w:spacing w:line="360" w:lineRule="auto"/>
              <w:ind w:firstLine="482" w:firstLineChars="200"/>
              <w:rPr>
                <w:b/>
                <w:bCs/>
                <w:color w:val="auto"/>
                <w:sz w:val="24"/>
                <w:highlight w:val="none"/>
              </w:rPr>
            </w:pPr>
            <w:r>
              <w:rPr>
                <w:rFonts w:hint="eastAsia"/>
                <w:b/>
                <w:bCs/>
                <w:color w:val="auto"/>
                <w:sz w:val="24"/>
                <w:highlight w:val="none"/>
                <w:lang w:eastAsia="zh-CN"/>
              </w:rPr>
              <w:t>（</w:t>
            </w:r>
            <w:r>
              <w:rPr>
                <w:rFonts w:hint="eastAsia"/>
                <w:b/>
                <w:bCs/>
                <w:color w:val="auto"/>
                <w:sz w:val="24"/>
                <w:highlight w:val="none"/>
                <w:lang w:val="en-US" w:eastAsia="zh-CN"/>
              </w:rPr>
              <w:t>3</w:t>
            </w:r>
            <w:r>
              <w:rPr>
                <w:rFonts w:hint="eastAsia"/>
                <w:b/>
                <w:bCs/>
                <w:color w:val="auto"/>
                <w:sz w:val="24"/>
                <w:highlight w:val="none"/>
                <w:lang w:eastAsia="zh-CN"/>
              </w:rPr>
              <w:t>）</w:t>
            </w:r>
            <w:r>
              <w:rPr>
                <w:b/>
                <w:bCs/>
                <w:color w:val="auto"/>
                <w:sz w:val="24"/>
                <w:highlight w:val="none"/>
              </w:rPr>
              <w:t>资源利用上线</w:t>
            </w:r>
          </w:p>
          <w:p>
            <w:pPr>
              <w:widowControl/>
              <w:spacing w:line="360" w:lineRule="auto"/>
              <w:ind w:firstLine="480" w:firstLineChars="200"/>
              <w:rPr>
                <w:color w:val="auto"/>
                <w:sz w:val="24"/>
                <w:highlight w:val="none"/>
              </w:rPr>
            </w:pPr>
            <w:r>
              <w:rPr>
                <w:color w:val="auto"/>
                <w:sz w:val="24"/>
                <w:highlight w:val="none"/>
              </w:rPr>
              <w:t>项目冬季供热依托集中供热</w:t>
            </w:r>
            <w:r>
              <w:rPr>
                <w:color w:val="auto"/>
                <w:highlight w:val="none"/>
              </w:rPr>
              <w:t>，</w:t>
            </w:r>
            <w:r>
              <w:rPr>
                <w:color w:val="auto"/>
                <w:sz w:val="24"/>
                <w:highlight w:val="none"/>
              </w:rPr>
              <w:t>用电由区域电网接入，本项目主要为生产设备用电，用电量较小不会对区域电网造成较大负荷。本项目用水来自市政给水管网，用水量较小。本项目</w:t>
            </w:r>
            <w:r>
              <w:rPr>
                <w:rFonts w:hint="eastAsia"/>
                <w:color w:val="auto"/>
                <w:sz w:val="24"/>
                <w:highlight w:val="none"/>
                <w:lang w:eastAsia="zh-CN"/>
              </w:rPr>
              <w:t>不新增占地，利用厂房内现产品存储区进行生产，</w:t>
            </w:r>
            <w:r>
              <w:rPr>
                <w:color w:val="auto"/>
                <w:sz w:val="24"/>
                <w:highlight w:val="none"/>
              </w:rPr>
              <w:t>不会对区域土地资源造成影响。故本项目各项资源量在区域的可承受范围内，不会突破区域的资源利用上线。</w:t>
            </w:r>
          </w:p>
          <w:p>
            <w:pPr>
              <w:widowControl/>
              <w:spacing w:line="360" w:lineRule="auto"/>
              <w:ind w:firstLine="482" w:firstLineChars="200"/>
              <w:rPr>
                <w:color w:val="auto"/>
                <w:sz w:val="24"/>
                <w:highlight w:val="none"/>
              </w:rPr>
            </w:pPr>
            <w:r>
              <w:rPr>
                <w:rFonts w:hint="eastAsia"/>
                <w:b/>
                <w:bCs/>
                <w:color w:val="auto"/>
                <w:sz w:val="24"/>
                <w:highlight w:val="none"/>
                <w:lang w:eastAsia="zh-CN"/>
              </w:rPr>
              <w:t>（</w:t>
            </w:r>
            <w:r>
              <w:rPr>
                <w:rFonts w:hint="eastAsia"/>
                <w:b/>
                <w:bCs/>
                <w:color w:val="auto"/>
                <w:sz w:val="24"/>
                <w:highlight w:val="none"/>
                <w:lang w:val="en-US" w:eastAsia="zh-CN"/>
              </w:rPr>
              <w:t>4</w:t>
            </w:r>
            <w:r>
              <w:rPr>
                <w:rFonts w:hint="eastAsia"/>
                <w:b/>
                <w:bCs/>
                <w:color w:val="auto"/>
                <w:sz w:val="24"/>
                <w:highlight w:val="none"/>
                <w:lang w:eastAsia="zh-CN"/>
              </w:rPr>
              <w:t>）</w:t>
            </w:r>
            <w:r>
              <w:rPr>
                <w:b/>
                <w:bCs/>
                <w:color w:val="auto"/>
                <w:sz w:val="24"/>
                <w:highlight w:val="none"/>
              </w:rPr>
              <w:t>生态环境准入清单</w:t>
            </w:r>
          </w:p>
          <w:p>
            <w:pPr>
              <w:pStyle w:val="71"/>
              <w:autoSpaceDE w:val="0"/>
              <w:autoSpaceDN w:val="0"/>
              <w:spacing w:line="360" w:lineRule="auto"/>
              <w:ind w:firstLine="480" w:firstLineChars="200"/>
              <w:jc w:val="both"/>
              <w:rPr>
                <w:color w:val="auto"/>
                <w:sz w:val="24"/>
                <w:highlight w:val="none"/>
              </w:rPr>
            </w:pPr>
            <w:r>
              <w:rPr>
                <w:color w:val="auto"/>
                <w:sz w:val="24"/>
                <w:highlight w:val="none"/>
              </w:rPr>
              <w:t>本项目位于长春经济技术开发区，与</w:t>
            </w:r>
            <w:r>
              <w:rPr>
                <w:rFonts w:hint="eastAsia"/>
                <w:color w:val="auto"/>
                <w:sz w:val="24"/>
                <w:highlight w:val="none"/>
                <w:lang w:eastAsia="zh-CN"/>
              </w:rPr>
              <w:t>“</w:t>
            </w:r>
            <w:r>
              <w:rPr>
                <w:color w:val="auto"/>
                <w:sz w:val="24"/>
                <w:highlight w:val="none"/>
              </w:rPr>
              <w:t>长春经济技术开发区生态环境准入清单</w:t>
            </w:r>
            <w:r>
              <w:rPr>
                <w:rFonts w:hint="eastAsia"/>
                <w:color w:val="auto"/>
                <w:sz w:val="24"/>
                <w:highlight w:val="none"/>
                <w:lang w:eastAsia="zh-CN"/>
              </w:rPr>
              <w:t>”</w:t>
            </w:r>
            <w:r>
              <w:rPr>
                <w:color w:val="auto"/>
                <w:sz w:val="24"/>
                <w:highlight w:val="none"/>
              </w:rPr>
              <w:t>相符性分析详见下表。</w:t>
            </w:r>
          </w:p>
          <w:p>
            <w:pPr>
              <w:pStyle w:val="71"/>
              <w:autoSpaceDE w:val="0"/>
              <w:autoSpaceDN w:val="0"/>
              <w:ind w:firstLine="482" w:firstLineChars="200"/>
              <w:rPr>
                <w:b/>
                <w:bCs/>
                <w:color w:val="auto"/>
                <w:kern w:val="8"/>
                <w:sz w:val="24"/>
                <w:highlight w:val="none"/>
              </w:rPr>
            </w:pPr>
            <w:r>
              <w:rPr>
                <w:b/>
                <w:bCs/>
                <w:color w:val="auto"/>
                <w:kern w:val="8"/>
                <w:sz w:val="24"/>
                <w:highlight w:val="none"/>
              </w:rPr>
              <w:t>表1-1  与</w:t>
            </w:r>
            <w:r>
              <w:rPr>
                <w:rFonts w:hint="eastAsia"/>
                <w:b/>
                <w:bCs/>
                <w:color w:val="auto"/>
                <w:kern w:val="8"/>
                <w:sz w:val="24"/>
                <w:highlight w:val="none"/>
                <w:lang w:eastAsia="zh-CN"/>
              </w:rPr>
              <w:t>“</w:t>
            </w:r>
            <w:r>
              <w:rPr>
                <w:b/>
                <w:bCs/>
                <w:color w:val="auto"/>
                <w:kern w:val="8"/>
                <w:sz w:val="24"/>
                <w:highlight w:val="none"/>
              </w:rPr>
              <w:t>长春经济技术开发区生态环境准入清单</w:t>
            </w:r>
            <w:r>
              <w:rPr>
                <w:rFonts w:hint="eastAsia"/>
                <w:b/>
                <w:bCs/>
                <w:color w:val="auto"/>
                <w:kern w:val="8"/>
                <w:sz w:val="24"/>
                <w:highlight w:val="none"/>
                <w:lang w:eastAsia="zh-CN"/>
              </w:rPr>
              <w:t>”</w:t>
            </w:r>
            <w:r>
              <w:rPr>
                <w:b/>
                <w:bCs/>
                <w:color w:val="auto"/>
                <w:kern w:val="8"/>
                <w:sz w:val="24"/>
                <w:highlight w:val="none"/>
              </w:rPr>
              <w:t>符合性</w:t>
            </w:r>
          </w:p>
          <w:tbl>
            <w:tblPr>
              <w:tblStyle w:val="30"/>
              <w:tblW w:w="758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9"/>
              <w:gridCol w:w="775"/>
              <w:gridCol w:w="4383"/>
              <w:gridCol w:w="1600"/>
              <w:gridCol w:w="3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9" w:type="dxa"/>
                  <w:vMerge w:val="restart"/>
                  <w:tcBorders>
                    <w:tl2br w:val="nil"/>
                    <w:tr2bl w:val="nil"/>
                  </w:tcBorders>
                  <w:vAlign w:val="center"/>
                </w:tcPr>
                <w:p>
                  <w:pPr>
                    <w:adjustRightInd w:val="0"/>
                    <w:snapToGrid w:val="0"/>
                    <w:jc w:val="center"/>
                    <w:rPr>
                      <w:color w:val="auto"/>
                      <w:szCs w:val="21"/>
                      <w:highlight w:val="none"/>
                    </w:rPr>
                  </w:pPr>
                  <w:r>
                    <w:rPr>
                      <w:color w:val="auto"/>
                      <w:szCs w:val="21"/>
                      <w:highlight w:val="none"/>
                    </w:rPr>
                    <w:t>类别</w:t>
                  </w:r>
                </w:p>
              </w:tc>
              <w:tc>
                <w:tcPr>
                  <w:tcW w:w="5158" w:type="dxa"/>
                  <w:gridSpan w:val="2"/>
                  <w:tcBorders>
                    <w:bottom w:val="single" w:color="auto" w:sz="6" w:space="0"/>
                  </w:tcBorders>
                  <w:vAlign w:val="center"/>
                </w:tcPr>
                <w:p>
                  <w:pPr>
                    <w:adjustRightInd w:val="0"/>
                    <w:snapToGrid w:val="0"/>
                    <w:jc w:val="center"/>
                    <w:rPr>
                      <w:color w:val="auto"/>
                      <w:szCs w:val="21"/>
                      <w:highlight w:val="none"/>
                    </w:rPr>
                  </w:pPr>
                  <w:r>
                    <w:rPr>
                      <w:color w:val="auto"/>
                      <w:szCs w:val="21"/>
                      <w:highlight w:val="none"/>
                    </w:rPr>
                    <w:t>方案要求内容</w:t>
                  </w:r>
                </w:p>
              </w:tc>
              <w:tc>
                <w:tcPr>
                  <w:tcW w:w="1600" w:type="dxa"/>
                  <w:vMerge w:val="restart"/>
                  <w:tcBorders>
                    <w:tl2br w:val="nil"/>
                    <w:tr2bl w:val="nil"/>
                  </w:tcBorders>
                  <w:vAlign w:val="center"/>
                </w:tcPr>
                <w:p>
                  <w:pPr>
                    <w:adjustRightInd w:val="0"/>
                    <w:snapToGrid w:val="0"/>
                    <w:jc w:val="center"/>
                    <w:rPr>
                      <w:color w:val="auto"/>
                      <w:szCs w:val="21"/>
                      <w:highlight w:val="none"/>
                    </w:rPr>
                  </w:pPr>
                  <w:r>
                    <w:rPr>
                      <w:color w:val="auto"/>
                      <w:szCs w:val="21"/>
                      <w:highlight w:val="none"/>
                    </w:rPr>
                    <w:t>本项目</w:t>
                  </w:r>
                </w:p>
              </w:tc>
              <w:tc>
                <w:tcPr>
                  <w:tcW w:w="354" w:type="dxa"/>
                  <w:vMerge w:val="restart"/>
                  <w:tcBorders>
                    <w:tl2br w:val="nil"/>
                    <w:tr2bl w:val="nil"/>
                  </w:tcBorders>
                  <w:vAlign w:val="center"/>
                </w:tcPr>
                <w:p>
                  <w:pPr>
                    <w:adjustRightInd w:val="0"/>
                    <w:snapToGrid w:val="0"/>
                    <w:jc w:val="center"/>
                    <w:rPr>
                      <w:color w:val="auto"/>
                      <w:szCs w:val="21"/>
                      <w:highlight w:val="none"/>
                    </w:rPr>
                  </w:pPr>
                  <w:r>
                    <w:rPr>
                      <w:color w:val="auto"/>
                      <w:szCs w:val="21"/>
                      <w:highlight w:val="none"/>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469" w:type="dxa"/>
                  <w:vMerge w:val="continue"/>
                  <w:tcBorders>
                    <w:tl2br w:val="nil"/>
                    <w:tr2bl w:val="nil"/>
                  </w:tcBorders>
                  <w:vAlign w:val="center"/>
                </w:tcPr>
                <w:p>
                  <w:pPr>
                    <w:adjustRightInd w:val="0"/>
                    <w:snapToGrid w:val="0"/>
                    <w:jc w:val="center"/>
                    <w:rPr>
                      <w:color w:val="auto"/>
                      <w:szCs w:val="21"/>
                      <w:highlight w:val="none"/>
                    </w:rPr>
                  </w:pPr>
                </w:p>
              </w:tc>
              <w:tc>
                <w:tcPr>
                  <w:tcW w:w="5158" w:type="dxa"/>
                  <w:gridSpan w:val="2"/>
                  <w:tcBorders>
                    <w:top w:val="single" w:color="auto" w:sz="6" w:space="0"/>
                  </w:tcBorders>
                  <w:vAlign w:val="center"/>
                </w:tcPr>
                <w:p>
                  <w:pPr>
                    <w:adjustRightInd w:val="0"/>
                    <w:snapToGrid w:val="0"/>
                    <w:jc w:val="center"/>
                    <w:rPr>
                      <w:color w:val="auto"/>
                      <w:szCs w:val="21"/>
                      <w:highlight w:val="none"/>
                    </w:rPr>
                  </w:pPr>
                  <w:r>
                    <w:rPr>
                      <w:rFonts w:hint="default" w:ascii="Times New Roman" w:hAnsi="Times New Roman" w:cs="Times New Roman"/>
                      <w:color w:val="auto"/>
                      <w:szCs w:val="21"/>
                      <w:highlight w:val="none"/>
                    </w:rPr>
                    <w:t>长春经济技术开发区</w:t>
                  </w:r>
                  <w:r>
                    <w:rPr>
                      <w:rFonts w:hint="eastAsia"/>
                      <w:color w:val="auto"/>
                      <w:highlight w:val="none"/>
                      <w:lang w:eastAsia="zh-CN"/>
                    </w:rPr>
                    <w:t>（</w:t>
                  </w:r>
                  <w:r>
                    <w:rPr>
                      <w:rFonts w:hint="default" w:ascii="Times New Roman" w:hAnsi="Times New Roman" w:cs="Times New Roman"/>
                      <w:color w:val="auto"/>
                      <w:szCs w:val="21"/>
                      <w:highlight w:val="none"/>
                    </w:rPr>
                    <w:t>ZH22010320009</w:t>
                  </w:r>
                  <w:r>
                    <w:rPr>
                      <w:rFonts w:hint="eastAsia"/>
                      <w:color w:val="auto"/>
                      <w:highlight w:val="none"/>
                      <w:lang w:eastAsia="zh-CN"/>
                    </w:rPr>
                    <w:t>）</w:t>
                  </w:r>
                  <w:r>
                    <w:rPr>
                      <w:rFonts w:hint="eastAsia"/>
                      <w:color w:val="auto"/>
                      <w:highlight w:val="none"/>
                    </w:rPr>
                    <w:t>2-</w:t>
                  </w:r>
                  <w:r>
                    <w:rPr>
                      <w:color w:val="auto"/>
                      <w:highlight w:val="none"/>
                    </w:rPr>
                    <w:t>重点管控</w:t>
                  </w:r>
                </w:p>
              </w:tc>
              <w:tc>
                <w:tcPr>
                  <w:tcW w:w="1600" w:type="dxa"/>
                  <w:vMerge w:val="continue"/>
                  <w:tcBorders>
                    <w:tl2br w:val="nil"/>
                    <w:tr2bl w:val="nil"/>
                  </w:tcBorders>
                  <w:vAlign w:val="center"/>
                </w:tcPr>
                <w:p>
                  <w:pPr>
                    <w:adjustRightInd w:val="0"/>
                    <w:snapToGrid w:val="0"/>
                    <w:jc w:val="center"/>
                    <w:rPr>
                      <w:color w:val="auto"/>
                      <w:szCs w:val="21"/>
                      <w:highlight w:val="none"/>
                    </w:rPr>
                  </w:pPr>
                </w:p>
              </w:tc>
              <w:tc>
                <w:tcPr>
                  <w:tcW w:w="354" w:type="dxa"/>
                  <w:vMerge w:val="continue"/>
                  <w:tcBorders>
                    <w:tl2br w:val="nil"/>
                    <w:tr2bl w:val="nil"/>
                  </w:tcBorders>
                  <w:vAlign w:val="center"/>
                </w:tcPr>
                <w:p>
                  <w:pPr>
                    <w:adjustRightInd w:val="0"/>
                    <w:snapToGrid w:val="0"/>
                    <w:jc w:val="center"/>
                    <w:rPr>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469" w:type="dxa"/>
                  <w:vMerge w:val="restart"/>
                  <w:tcBorders>
                    <w:tl2br w:val="nil"/>
                    <w:tr2bl w:val="nil"/>
                  </w:tcBorders>
                  <w:vAlign w:val="center"/>
                </w:tcPr>
                <w:p>
                  <w:pPr>
                    <w:adjustRightInd w:val="0"/>
                    <w:snapToGrid w:val="0"/>
                    <w:jc w:val="center"/>
                    <w:rPr>
                      <w:color w:val="auto"/>
                      <w:szCs w:val="21"/>
                      <w:highlight w:val="none"/>
                    </w:rPr>
                  </w:pPr>
                  <w:r>
                    <w:rPr>
                      <w:color w:val="auto"/>
                      <w:szCs w:val="21"/>
                      <w:highlight w:val="none"/>
                    </w:rPr>
                    <w:t>空间布局约束</w:t>
                  </w:r>
                </w:p>
              </w:tc>
              <w:tc>
                <w:tcPr>
                  <w:tcW w:w="775" w:type="dxa"/>
                  <w:tcBorders>
                    <w:tl2br w:val="nil"/>
                    <w:tr2bl w:val="nil"/>
                  </w:tcBorders>
                  <w:vAlign w:val="center"/>
                </w:tcPr>
                <w:p>
                  <w:pPr>
                    <w:adjustRightInd w:val="0"/>
                    <w:snapToGrid w:val="0"/>
                    <w:jc w:val="center"/>
                    <w:rPr>
                      <w:color w:val="auto"/>
                      <w:szCs w:val="21"/>
                      <w:highlight w:val="none"/>
                    </w:rPr>
                  </w:pPr>
                  <w:r>
                    <w:rPr>
                      <w:color w:val="auto"/>
                      <w:szCs w:val="21"/>
                      <w:highlight w:val="none"/>
                    </w:rPr>
                    <w:t>允许开发建设活动</w:t>
                  </w:r>
                </w:p>
              </w:tc>
              <w:tc>
                <w:tcPr>
                  <w:tcW w:w="4383" w:type="dxa"/>
                  <w:tcBorders>
                    <w:tl2br w:val="nil"/>
                    <w:tr2bl w:val="nil"/>
                  </w:tcBorders>
                  <w:vAlign w:val="center"/>
                </w:tcPr>
                <w:p>
                  <w:pPr>
                    <w:widowControl/>
                    <w:snapToGrid w:val="0"/>
                    <w:jc w:val="both"/>
                    <w:rPr>
                      <w:rFonts w:hint="eastAsia"/>
                      <w:color w:val="auto"/>
                      <w:sz w:val="21"/>
                      <w:szCs w:val="24"/>
                      <w:highlight w:val="none"/>
                      <w:lang w:val="en-US" w:eastAsia="zh-CN"/>
                    </w:rPr>
                  </w:pPr>
                  <w:r>
                    <w:rPr>
                      <w:rFonts w:hint="eastAsia"/>
                      <w:color w:val="auto"/>
                      <w:sz w:val="21"/>
                      <w:szCs w:val="24"/>
                      <w:highlight w:val="none"/>
                      <w:lang w:val="en-US" w:eastAsia="zh-CN"/>
                    </w:rPr>
                    <w:t>1 鼓励清洁生产型、高新技术型和节水节能型企业入驻，新建企业清洁生产水平应达到国际先进水平；</w:t>
                  </w:r>
                </w:p>
                <w:p>
                  <w:pPr>
                    <w:widowControl/>
                    <w:snapToGrid w:val="0"/>
                    <w:jc w:val="both"/>
                    <w:rPr>
                      <w:rFonts w:hint="eastAsia"/>
                      <w:color w:val="auto"/>
                      <w:sz w:val="21"/>
                      <w:szCs w:val="24"/>
                      <w:highlight w:val="none"/>
                      <w:lang w:val="en-US" w:eastAsia="zh-CN"/>
                    </w:rPr>
                  </w:pPr>
                  <w:r>
                    <w:rPr>
                      <w:rFonts w:hint="eastAsia"/>
                      <w:color w:val="auto"/>
                      <w:sz w:val="21"/>
                      <w:szCs w:val="24"/>
                      <w:highlight w:val="none"/>
                      <w:lang w:val="en-US" w:eastAsia="zh-CN"/>
                    </w:rPr>
                    <w:t>2 严格按照区域国土空间规划合理选择项目用地；</w:t>
                  </w:r>
                </w:p>
                <w:p>
                  <w:pPr>
                    <w:widowControl/>
                    <w:snapToGrid w:val="0"/>
                    <w:jc w:val="both"/>
                    <w:rPr>
                      <w:rFonts w:hint="eastAsia"/>
                      <w:color w:val="auto"/>
                      <w:sz w:val="21"/>
                      <w:szCs w:val="24"/>
                      <w:highlight w:val="none"/>
                      <w:lang w:val="en-US" w:eastAsia="zh-CN"/>
                    </w:rPr>
                  </w:pPr>
                  <w:r>
                    <w:rPr>
                      <w:rFonts w:hint="eastAsia"/>
                      <w:color w:val="auto"/>
                      <w:sz w:val="21"/>
                      <w:szCs w:val="24"/>
                      <w:highlight w:val="none"/>
                      <w:lang w:val="en-US" w:eastAsia="zh-CN"/>
                    </w:rPr>
                    <w:t>3 严格按照产业政策要求选择落区项目；</w:t>
                  </w:r>
                </w:p>
                <w:p>
                  <w:pPr>
                    <w:adjustRightInd w:val="0"/>
                    <w:snapToGrid w:val="0"/>
                    <w:jc w:val="center"/>
                    <w:rPr>
                      <w:color w:val="auto"/>
                      <w:szCs w:val="21"/>
                      <w:highlight w:val="none"/>
                    </w:rPr>
                  </w:pPr>
                  <w:r>
                    <w:rPr>
                      <w:rFonts w:hint="eastAsia"/>
                      <w:color w:val="auto"/>
                      <w:sz w:val="21"/>
                      <w:szCs w:val="24"/>
                      <w:highlight w:val="none"/>
                      <w:lang w:val="en-US" w:eastAsia="zh-CN"/>
                    </w:rPr>
                    <w:t>4 南区重点发展的主要产业为汽车零部件、光电信息、生物制药、粮食深加工、新型建材；北区重点发展的主要产业为农副产品加工、生物化工及其相关化工产业、化工设备与新能源装备制造产业、物流仓储业及生产性服务业等。</w:t>
                  </w:r>
                </w:p>
              </w:tc>
              <w:tc>
                <w:tcPr>
                  <w:tcW w:w="1600" w:type="dxa"/>
                  <w:vMerge w:val="restart"/>
                  <w:tcBorders>
                    <w:tl2br w:val="nil"/>
                    <w:tr2bl w:val="nil"/>
                  </w:tcBorders>
                  <w:vAlign w:val="center"/>
                </w:tcPr>
                <w:p>
                  <w:pPr>
                    <w:adjustRightInd w:val="0"/>
                    <w:snapToGrid w:val="0"/>
                    <w:jc w:val="center"/>
                    <w:rPr>
                      <w:rFonts w:hint="eastAsia"/>
                      <w:color w:val="auto"/>
                      <w:highlight w:val="none"/>
                      <w:lang w:val="en-US" w:eastAsia="zh-CN"/>
                    </w:rPr>
                  </w:pPr>
                  <w:r>
                    <w:rPr>
                      <w:rFonts w:hint="eastAsia"/>
                      <w:color w:val="auto"/>
                      <w:highlight w:val="none"/>
                    </w:rPr>
                    <w:t>本项目</w:t>
                  </w:r>
                  <w:r>
                    <w:rPr>
                      <w:rFonts w:hint="eastAsia"/>
                      <w:color w:val="auto"/>
                      <w:highlight w:val="none"/>
                      <w:lang w:val="en-US" w:eastAsia="zh-CN"/>
                    </w:rPr>
                    <w:t>位于南区，符经开区（南区）土地利用现状。</w:t>
                  </w:r>
                </w:p>
                <w:p>
                  <w:pPr>
                    <w:adjustRightInd w:val="0"/>
                    <w:snapToGrid w:val="0"/>
                    <w:jc w:val="center"/>
                    <w:rPr>
                      <w:rFonts w:hint="default"/>
                      <w:color w:val="auto"/>
                      <w:szCs w:val="21"/>
                      <w:highlight w:val="none"/>
                      <w:lang w:val="en-US"/>
                    </w:rPr>
                  </w:pPr>
                  <w:r>
                    <w:rPr>
                      <w:rFonts w:hint="eastAsia"/>
                      <w:color w:val="auto"/>
                      <w:sz w:val="21"/>
                      <w:szCs w:val="24"/>
                      <w:highlight w:val="none"/>
                      <w:lang w:val="en-US" w:eastAsia="zh-CN"/>
                    </w:rPr>
                    <w:t>本项目不属于淘汰类项目、禁止外商投资项目，占地性质为工业用地，项目位于专用车园，生产产品为汽车用橡塑制品，符合园区总体规划和产业布局要求。项目采用集中供热不新建锅炉。</w:t>
                  </w:r>
                </w:p>
              </w:tc>
              <w:tc>
                <w:tcPr>
                  <w:tcW w:w="354" w:type="dxa"/>
                  <w:vMerge w:val="restart"/>
                  <w:tcBorders>
                    <w:tl2br w:val="nil"/>
                    <w:tr2bl w:val="nil"/>
                  </w:tcBorders>
                  <w:vAlign w:val="center"/>
                </w:tcPr>
                <w:p>
                  <w:pPr>
                    <w:adjustRightInd w:val="0"/>
                    <w:snapToGrid w:val="0"/>
                    <w:jc w:val="center"/>
                    <w:rPr>
                      <w:color w:val="auto"/>
                      <w:szCs w:val="21"/>
                      <w:highlight w:val="none"/>
                    </w:rPr>
                  </w:pPr>
                  <w:r>
                    <w:rPr>
                      <w:color w:val="auto"/>
                      <w:szCs w:val="21"/>
                      <w:highlight w:val="non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9" w:type="dxa"/>
                  <w:vMerge w:val="continue"/>
                  <w:tcBorders>
                    <w:tl2br w:val="nil"/>
                    <w:tr2bl w:val="nil"/>
                  </w:tcBorders>
                  <w:vAlign w:val="center"/>
                </w:tcPr>
                <w:p>
                  <w:pPr>
                    <w:adjustRightInd w:val="0"/>
                    <w:snapToGrid w:val="0"/>
                    <w:jc w:val="center"/>
                    <w:rPr>
                      <w:color w:val="auto"/>
                      <w:szCs w:val="21"/>
                      <w:highlight w:val="none"/>
                    </w:rPr>
                  </w:pPr>
                </w:p>
              </w:tc>
              <w:tc>
                <w:tcPr>
                  <w:tcW w:w="775" w:type="dxa"/>
                  <w:tcBorders>
                    <w:tl2br w:val="nil"/>
                    <w:tr2bl w:val="nil"/>
                  </w:tcBorders>
                  <w:vAlign w:val="center"/>
                </w:tcPr>
                <w:p>
                  <w:pPr>
                    <w:adjustRightInd w:val="0"/>
                    <w:snapToGrid w:val="0"/>
                    <w:jc w:val="center"/>
                    <w:rPr>
                      <w:color w:val="auto"/>
                      <w:szCs w:val="21"/>
                      <w:highlight w:val="none"/>
                    </w:rPr>
                  </w:pPr>
                  <w:r>
                    <w:rPr>
                      <w:color w:val="auto"/>
                      <w:szCs w:val="21"/>
                      <w:highlight w:val="none"/>
                    </w:rPr>
                    <w:t>禁止开发建设活动</w:t>
                  </w:r>
                </w:p>
              </w:tc>
              <w:tc>
                <w:tcPr>
                  <w:tcW w:w="4383" w:type="dxa"/>
                  <w:tcBorders>
                    <w:tl2br w:val="nil"/>
                    <w:tr2bl w:val="nil"/>
                  </w:tcBorders>
                  <w:vAlign w:val="center"/>
                </w:tcPr>
                <w:p>
                  <w:pPr>
                    <w:adjustRightInd w:val="0"/>
                    <w:snapToGrid w:val="0"/>
                    <w:jc w:val="center"/>
                    <w:rPr>
                      <w:color w:val="auto"/>
                      <w:szCs w:val="21"/>
                      <w:highlight w:val="none"/>
                    </w:rPr>
                  </w:pPr>
                  <w:r>
                    <w:rPr>
                      <w:rFonts w:hint="eastAsia"/>
                      <w:color w:val="auto"/>
                      <w:sz w:val="21"/>
                      <w:szCs w:val="24"/>
                      <w:highlight w:val="none"/>
                      <w:lang w:val="en-US" w:eastAsia="zh-CN"/>
                    </w:rPr>
                    <w:t>1.《产业结构调整指导目录》中的“淘汰类”项目；2.《外商投资产业指导目录》中禁止外商投资的项目；3.禁止进行违反城市蓝线保护和控制要求的建设活动；4.禁止引入的项目：①制浆造纸业，主要指含制浆的造纸业；②化学原料及化学制品制造业，包括：石油加工、炼焦及核燃料加工业中的精炼石油产品的制造、原油加工及石油制品制造、人造原油生产、炼焦、核燃料加工等；③肥料制造业中的合成氨工业的氮肥制造；5.禁止建设新增铅、汞、铬、砷、镉、镍、铜重金属污染排放总量的项目；6.建成区禁止新增水泥、平板玻璃、焦化、化工等重污染企业；7.城镇人口密集区禁止新增危险化学品生产企业；8.建成区原则上不再新建单台容量29兆瓦（40蒸吨/小时）以下燃煤锅炉，其他区域原则上不再新建单台容量14兆瓦（20蒸吨/小时）以下的燃煤锅炉</w:t>
                  </w:r>
                  <w:r>
                    <w:rPr>
                      <w:color w:val="auto"/>
                      <w:szCs w:val="21"/>
                      <w:highlight w:val="none"/>
                    </w:rPr>
                    <w:t>。</w:t>
                  </w:r>
                </w:p>
              </w:tc>
              <w:tc>
                <w:tcPr>
                  <w:tcW w:w="1600" w:type="dxa"/>
                  <w:vMerge w:val="continue"/>
                  <w:tcBorders>
                    <w:tl2br w:val="nil"/>
                    <w:tr2bl w:val="nil"/>
                  </w:tcBorders>
                  <w:vAlign w:val="center"/>
                </w:tcPr>
                <w:p>
                  <w:pPr>
                    <w:adjustRightInd w:val="0"/>
                    <w:snapToGrid w:val="0"/>
                    <w:jc w:val="center"/>
                    <w:rPr>
                      <w:color w:val="auto"/>
                      <w:szCs w:val="21"/>
                      <w:highlight w:val="none"/>
                    </w:rPr>
                  </w:pPr>
                </w:p>
              </w:tc>
              <w:tc>
                <w:tcPr>
                  <w:tcW w:w="354" w:type="dxa"/>
                  <w:vMerge w:val="continue"/>
                  <w:tcBorders>
                    <w:tl2br w:val="nil"/>
                    <w:tr2bl w:val="nil"/>
                  </w:tcBorders>
                  <w:vAlign w:val="center"/>
                </w:tcPr>
                <w:p>
                  <w:pPr>
                    <w:adjustRightInd w:val="0"/>
                    <w:snapToGrid w:val="0"/>
                    <w:jc w:val="center"/>
                    <w:rPr>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9" w:type="dxa"/>
                  <w:vMerge w:val="continue"/>
                  <w:tcBorders>
                    <w:tl2br w:val="nil"/>
                    <w:tr2bl w:val="nil"/>
                  </w:tcBorders>
                  <w:vAlign w:val="center"/>
                </w:tcPr>
                <w:p>
                  <w:pPr>
                    <w:adjustRightInd w:val="0"/>
                    <w:snapToGrid w:val="0"/>
                    <w:jc w:val="center"/>
                    <w:rPr>
                      <w:color w:val="auto"/>
                      <w:szCs w:val="21"/>
                      <w:highlight w:val="none"/>
                    </w:rPr>
                  </w:pPr>
                </w:p>
              </w:tc>
              <w:tc>
                <w:tcPr>
                  <w:tcW w:w="775" w:type="dxa"/>
                  <w:tcBorders>
                    <w:tl2br w:val="nil"/>
                    <w:tr2bl w:val="nil"/>
                  </w:tcBorders>
                  <w:vAlign w:val="center"/>
                </w:tcPr>
                <w:p>
                  <w:pPr>
                    <w:adjustRightInd w:val="0"/>
                    <w:snapToGrid w:val="0"/>
                    <w:jc w:val="center"/>
                    <w:rPr>
                      <w:color w:val="auto"/>
                      <w:szCs w:val="21"/>
                      <w:highlight w:val="none"/>
                    </w:rPr>
                  </w:pPr>
                  <w:r>
                    <w:rPr>
                      <w:color w:val="auto"/>
                      <w:szCs w:val="21"/>
                      <w:highlight w:val="none"/>
                    </w:rPr>
                    <w:t>限制开发建设活动</w:t>
                  </w:r>
                </w:p>
              </w:tc>
              <w:tc>
                <w:tcPr>
                  <w:tcW w:w="4383" w:type="dxa"/>
                  <w:tcBorders>
                    <w:tl2br w:val="nil"/>
                    <w:tr2bl w:val="nil"/>
                  </w:tcBorders>
                  <w:vAlign w:val="center"/>
                </w:tcPr>
                <w:p>
                  <w:pPr>
                    <w:adjustRightInd w:val="0"/>
                    <w:snapToGrid w:val="0"/>
                    <w:jc w:val="center"/>
                    <w:rPr>
                      <w:color w:val="auto"/>
                      <w:szCs w:val="21"/>
                      <w:highlight w:val="none"/>
                    </w:rPr>
                  </w:pPr>
                  <w:r>
                    <w:rPr>
                      <w:color w:val="auto"/>
                      <w:szCs w:val="21"/>
                      <w:highlight w:val="none"/>
                    </w:rPr>
                    <w:t>1.《产业结构调整指导目录》中的</w:t>
                  </w:r>
                  <w:r>
                    <w:rPr>
                      <w:rFonts w:hint="eastAsia"/>
                      <w:color w:val="auto"/>
                      <w:szCs w:val="21"/>
                      <w:highlight w:val="none"/>
                      <w:lang w:eastAsia="zh-CN"/>
                    </w:rPr>
                    <w:t>“</w:t>
                  </w:r>
                  <w:r>
                    <w:rPr>
                      <w:color w:val="auto"/>
                      <w:szCs w:val="21"/>
                      <w:highlight w:val="none"/>
                    </w:rPr>
                    <w:t>限制类</w:t>
                  </w:r>
                  <w:r>
                    <w:rPr>
                      <w:rFonts w:hint="eastAsia"/>
                      <w:color w:val="auto"/>
                      <w:szCs w:val="21"/>
                      <w:highlight w:val="none"/>
                      <w:lang w:eastAsia="zh-CN"/>
                    </w:rPr>
                    <w:t>”</w:t>
                  </w:r>
                  <w:r>
                    <w:rPr>
                      <w:color w:val="auto"/>
                      <w:szCs w:val="21"/>
                      <w:highlight w:val="none"/>
                    </w:rPr>
                    <w:t>项目；2.限制与开发区主导产业不相关、污染物排放量大的项目入区；3.从严控制新建、改建、扩建涉磷行业的项目建设，区内引入涉磷企业总磷总量需要倍量替代；4.从严控制新建、改建、扩建涉重行业的项目建设；5.严格控制钢铁、水泥、平板玻璃、石化、化工、有色金属等行业的高污染项目；6.严格限制引进和审批新建涉及喷漆工艺家具制造（木制品加工）生产项目（使用粉末喷涂、水性涂料、UV涂料以及进入共享喷涂中心除外）。</w:t>
                  </w:r>
                </w:p>
              </w:tc>
              <w:tc>
                <w:tcPr>
                  <w:tcW w:w="1600" w:type="dxa"/>
                  <w:vMerge w:val="continue"/>
                  <w:tcBorders>
                    <w:tl2br w:val="nil"/>
                    <w:tr2bl w:val="nil"/>
                  </w:tcBorders>
                  <w:vAlign w:val="center"/>
                </w:tcPr>
                <w:p>
                  <w:pPr>
                    <w:adjustRightInd w:val="0"/>
                    <w:snapToGrid w:val="0"/>
                    <w:jc w:val="center"/>
                    <w:rPr>
                      <w:color w:val="auto"/>
                      <w:szCs w:val="21"/>
                      <w:highlight w:val="none"/>
                    </w:rPr>
                  </w:pPr>
                </w:p>
              </w:tc>
              <w:tc>
                <w:tcPr>
                  <w:tcW w:w="354" w:type="dxa"/>
                  <w:vMerge w:val="continue"/>
                  <w:tcBorders>
                    <w:tl2br w:val="nil"/>
                    <w:tr2bl w:val="nil"/>
                  </w:tcBorders>
                  <w:vAlign w:val="center"/>
                </w:tcPr>
                <w:p>
                  <w:pPr>
                    <w:adjustRightInd w:val="0"/>
                    <w:snapToGrid w:val="0"/>
                    <w:jc w:val="center"/>
                    <w:rPr>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77" w:hRule="atLeast"/>
                <w:jc w:val="center"/>
              </w:trPr>
              <w:tc>
                <w:tcPr>
                  <w:tcW w:w="469" w:type="dxa"/>
                  <w:tcBorders>
                    <w:tl2br w:val="nil"/>
                    <w:tr2bl w:val="nil"/>
                  </w:tcBorders>
                  <w:vAlign w:val="center"/>
                </w:tcPr>
                <w:p>
                  <w:pPr>
                    <w:adjustRightInd w:val="0"/>
                    <w:snapToGrid w:val="0"/>
                    <w:jc w:val="center"/>
                    <w:rPr>
                      <w:color w:val="auto"/>
                      <w:szCs w:val="21"/>
                      <w:highlight w:val="none"/>
                    </w:rPr>
                  </w:pPr>
                  <w:r>
                    <w:rPr>
                      <w:color w:val="auto"/>
                      <w:szCs w:val="21"/>
                      <w:highlight w:val="none"/>
                    </w:rPr>
                    <w:t>污染物排放管控</w:t>
                  </w:r>
                </w:p>
              </w:tc>
              <w:tc>
                <w:tcPr>
                  <w:tcW w:w="775" w:type="dxa"/>
                  <w:tcBorders>
                    <w:tl2br w:val="nil"/>
                    <w:tr2bl w:val="nil"/>
                  </w:tcBorders>
                  <w:vAlign w:val="center"/>
                </w:tcPr>
                <w:p>
                  <w:pPr>
                    <w:adjustRightInd w:val="0"/>
                    <w:snapToGrid w:val="0"/>
                    <w:jc w:val="center"/>
                    <w:rPr>
                      <w:color w:val="auto"/>
                      <w:szCs w:val="21"/>
                      <w:highlight w:val="none"/>
                    </w:rPr>
                  </w:pPr>
                  <w:r>
                    <w:rPr>
                      <w:color w:val="auto"/>
                      <w:szCs w:val="21"/>
                      <w:highlight w:val="none"/>
                    </w:rPr>
                    <w:t>新增源排放限制</w:t>
                  </w:r>
                </w:p>
              </w:tc>
              <w:tc>
                <w:tcPr>
                  <w:tcW w:w="4383" w:type="dxa"/>
                  <w:tcBorders>
                    <w:tl2br w:val="nil"/>
                    <w:tr2bl w:val="nil"/>
                  </w:tcBorders>
                  <w:vAlign w:val="center"/>
                </w:tcPr>
                <w:p>
                  <w:pPr>
                    <w:adjustRightInd w:val="0"/>
                    <w:snapToGrid w:val="0"/>
                    <w:jc w:val="center"/>
                    <w:rPr>
                      <w:color w:val="auto"/>
                      <w:szCs w:val="21"/>
                      <w:highlight w:val="none"/>
                    </w:rPr>
                  </w:pPr>
                  <w:r>
                    <w:rPr>
                      <w:color w:val="auto"/>
                      <w:szCs w:val="21"/>
                      <w:highlight w:val="none"/>
                    </w:rPr>
                    <w:t>1.新建项目清洁生产水平需达到国际先进水平；2.新建、改建、扩建重点行业建设项目实行主要污染物排放倍量置换；新建项目主要污染物全面执行大气污染物特别排放限值，执行期限根据大气环境质量状况和相关文件要求确定。3.工业涂装、化工等涉及挥发性有机物排放的行业企业属于控制重点，应推广使用低（无）挥发性有机物含量的原辅材料，安装高效集气装置等措施，提升工艺废气、尾气收集处置率。严格执行《挥发性有机物无组织排放控制标准》（GB37822-2019）进行无组织挥发性有机物的控制。</w:t>
                  </w:r>
                </w:p>
              </w:tc>
              <w:tc>
                <w:tcPr>
                  <w:tcW w:w="1600" w:type="dxa"/>
                  <w:tcBorders>
                    <w:tl2br w:val="nil"/>
                    <w:tr2bl w:val="nil"/>
                  </w:tcBorders>
                  <w:vAlign w:val="center"/>
                </w:tcPr>
                <w:p>
                  <w:pPr>
                    <w:adjustRightInd w:val="0"/>
                    <w:snapToGrid w:val="0"/>
                    <w:jc w:val="center"/>
                    <w:rPr>
                      <w:color w:val="auto"/>
                      <w:szCs w:val="21"/>
                      <w:highlight w:val="none"/>
                    </w:rPr>
                  </w:pPr>
                  <w:r>
                    <w:rPr>
                      <w:color w:val="auto"/>
                      <w:szCs w:val="21"/>
                      <w:highlight w:val="none"/>
                    </w:rPr>
                    <w:t>1.本项目不属于重点行业，废气污染物执行《合成树脂工业污染物排放标准》（GB31572-2015）中表5大气污染物特别排放限值及《挥发性有机物无组织排放控制标准》（GB37822-2019）附录A特别排放标准要求。2.本项目采用环保清洗剂为低挥发性有机物含量的原辅材料，且安装集气高效集气装置，提升工艺废气、尾气的收集处置率。</w:t>
                  </w:r>
                </w:p>
              </w:tc>
              <w:tc>
                <w:tcPr>
                  <w:tcW w:w="354" w:type="dxa"/>
                  <w:tcBorders>
                    <w:tl2br w:val="nil"/>
                    <w:tr2bl w:val="nil"/>
                  </w:tcBorders>
                  <w:vAlign w:val="center"/>
                </w:tcPr>
                <w:p>
                  <w:pPr>
                    <w:adjustRightInd w:val="0"/>
                    <w:snapToGrid w:val="0"/>
                    <w:jc w:val="center"/>
                    <w:rPr>
                      <w:color w:val="auto"/>
                      <w:szCs w:val="21"/>
                      <w:highlight w:val="none"/>
                    </w:rPr>
                  </w:pPr>
                  <w:r>
                    <w:rPr>
                      <w:color w:val="auto"/>
                      <w:szCs w:val="21"/>
                      <w:highlight w:val="non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9" w:type="dxa"/>
                  <w:vMerge w:val="restart"/>
                  <w:tcBorders>
                    <w:tl2br w:val="nil"/>
                    <w:tr2bl w:val="nil"/>
                  </w:tcBorders>
                  <w:vAlign w:val="center"/>
                </w:tcPr>
                <w:p>
                  <w:pPr>
                    <w:adjustRightInd w:val="0"/>
                    <w:snapToGrid w:val="0"/>
                    <w:jc w:val="center"/>
                    <w:rPr>
                      <w:color w:val="auto"/>
                      <w:szCs w:val="21"/>
                      <w:highlight w:val="none"/>
                    </w:rPr>
                  </w:pPr>
                  <w:r>
                    <w:rPr>
                      <w:color w:val="auto"/>
                      <w:szCs w:val="21"/>
                      <w:highlight w:val="none"/>
                    </w:rPr>
                    <w:t>环境风险防控</w:t>
                  </w:r>
                </w:p>
              </w:tc>
              <w:tc>
                <w:tcPr>
                  <w:tcW w:w="775" w:type="dxa"/>
                  <w:tcBorders>
                    <w:tl2br w:val="nil"/>
                    <w:tr2bl w:val="nil"/>
                  </w:tcBorders>
                  <w:vAlign w:val="center"/>
                </w:tcPr>
                <w:p>
                  <w:pPr>
                    <w:adjustRightInd w:val="0"/>
                    <w:snapToGrid w:val="0"/>
                    <w:jc w:val="center"/>
                    <w:rPr>
                      <w:color w:val="auto"/>
                      <w:szCs w:val="21"/>
                      <w:highlight w:val="none"/>
                    </w:rPr>
                  </w:pPr>
                  <w:r>
                    <w:rPr>
                      <w:color w:val="auto"/>
                      <w:szCs w:val="21"/>
                      <w:highlight w:val="none"/>
                    </w:rPr>
                    <w:t>用地环境风险防控要求</w:t>
                  </w:r>
                </w:p>
              </w:tc>
              <w:tc>
                <w:tcPr>
                  <w:tcW w:w="4383" w:type="dxa"/>
                  <w:tcBorders>
                    <w:tl2br w:val="nil"/>
                    <w:tr2bl w:val="nil"/>
                  </w:tcBorders>
                  <w:vAlign w:val="center"/>
                </w:tcPr>
                <w:p>
                  <w:pPr>
                    <w:adjustRightInd w:val="0"/>
                    <w:snapToGrid w:val="0"/>
                    <w:jc w:val="center"/>
                    <w:rPr>
                      <w:color w:val="auto"/>
                      <w:szCs w:val="21"/>
                      <w:highlight w:val="none"/>
                    </w:rPr>
                  </w:pPr>
                  <w:r>
                    <w:rPr>
                      <w:color w:val="auto"/>
                      <w:szCs w:val="21"/>
                      <w:highlight w:val="none"/>
                    </w:rPr>
                    <w:t>1.开发区管委会协助落实土壤污染重点监管企业污染隐患排查、自行监测、拆除生产设备污染防治方案备案等制度；2.污染地块落实《污染地块土壤环境管理办法（试行）》要求，在环境调查、风险评估、治理与修复阶段实施土壤与地下水风险管控，暂不开发利用的地块实施以防治污染扩散为目的的土壤和地下水污染防治，对再开发利用地块实施以安全利用为目的的土壤和地下水污染防治；3.土壤环境污染重点监管企业、危化品仓储企业落实《工矿用地土壤环境管理办法（试行）》要求，实施项目环评、设计建设、拆除设施、终止经营全生命周期土壤和地下水污染防治；4.严格管理涉及易导致环境风险的有毒有害和易燃易爆物质的生产、使用、排放、贮运等新建、改扩建项目。</w:t>
                  </w:r>
                </w:p>
              </w:tc>
              <w:tc>
                <w:tcPr>
                  <w:tcW w:w="1600" w:type="dxa"/>
                  <w:tcBorders>
                    <w:tl2br w:val="nil"/>
                    <w:tr2bl w:val="nil"/>
                  </w:tcBorders>
                  <w:vAlign w:val="center"/>
                </w:tcPr>
                <w:p>
                  <w:pPr>
                    <w:adjustRightInd w:val="0"/>
                    <w:snapToGrid w:val="0"/>
                    <w:jc w:val="center"/>
                    <w:rPr>
                      <w:color w:val="auto"/>
                      <w:szCs w:val="21"/>
                      <w:highlight w:val="none"/>
                    </w:rPr>
                  </w:pPr>
                  <w:r>
                    <w:rPr>
                      <w:color w:val="auto"/>
                      <w:szCs w:val="21"/>
                      <w:highlight w:val="none"/>
                    </w:rPr>
                    <w:t>1.本项目不属于重点监管企业。2.企业投入运行前编制完成环境风险应急预案，严格管理涉及易导致环境风险的有毒有害和易燃易爆物质的生产、使用、排放、贮运。</w:t>
                  </w:r>
                </w:p>
              </w:tc>
              <w:tc>
                <w:tcPr>
                  <w:tcW w:w="354" w:type="dxa"/>
                  <w:tcBorders>
                    <w:tl2br w:val="nil"/>
                    <w:tr2bl w:val="nil"/>
                  </w:tcBorders>
                  <w:vAlign w:val="center"/>
                </w:tcPr>
                <w:p>
                  <w:pPr>
                    <w:adjustRightInd w:val="0"/>
                    <w:snapToGrid w:val="0"/>
                    <w:jc w:val="center"/>
                    <w:rPr>
                      <w:color w:val="auto"/>
                      <w:szCs w:val="21"/>
                      <w:highlight w:val="none"/>
                    </w:rPr>
                  </w:pPr>
                  <w:r>
                    <w:rPr>
                      <w:color w:val="auto"/>
                      <w:szCs w:val="21"/>
                      <w:highlight w:val="non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9" w:type="dxa"/>
                  <w:vMerge w:val="continue"/>
                  <w:tcBorders>
                    <w:tl2br w:val="nil"/>
                    <w:tr2bl w:val="nil"/>
                  </w:tcBorders>
                  <w:vAlign w:val="center"/>
                </w:tcPr>
                <w:p>
                  <w:pPr>
                    <w:adjustRightInd w:val="0"/>
                    <w:snapToGrid w:val="0"/>
                    <w:jc w:val="center"/>
                    <w:rPr>
                      <w:color w:val="auto"/>
                      <w:szCs w:val="21"/>
                      <w:highlight w:val="none"/>
                    </w:rPr>
                  </w:pPr>
                </w:p>
              </w:tc>
              <w:tc>
                <w:tcPr>
                  <w:tcW w:w="775" w:type="dxa"/>
                  <w:tcBorders>
                    <w:tl2br w:val="nil"/>
                    <w:tr2bl w:val="nil"/>
                  </w:tcBorders>
                  <w:vAlign w:val="center"/>
                </w:tcPr>
                <w:p>
                  <w:pPr>
                    <w:adjustRightInd w:val="0"/>
                    <w:snapToGrid w:val="0"/>
                    <w:jc w:val="center"/>
                    <w:rPr>
                      <w:color w:val="auto"/>
                      <w:szCs w:val="21"/>
                      <w:highlight w:val="none"/>
                    </w:rPr>
                  </w:pPr>
                  <w:r>
                    <w:rPr>
                      <w:color w:val="auto"/>
                      <w:szCs w:val="21"/>
                      <w:highlight w:val="none"/>
                    </w:rPr>
                    <w:t>企业环境风险防控要求</w:t>
                  </w:r>
                </w:p>
              </w:tc>
              <w:tc>
                <w:tcPr>
                  <w:tcW w:w="4383" w:type="dxa"/>
                  <w:tcBorders>
                    <w:tl2br w:val="nil"/>
                    <w:tr2bl w:val="nil"/>
                  </w:tcBorders>
                  <w:vAlign w:val="center"/>
                </w:tcPr>
                <w:p>
                  <w:pPr>
                    <w:adjustRightInd w:val="0"/>
                    <w:snapToGrid w:val="0"/>
                    <w:jc w:val="center"/>
                    <w:rPr>
                      <w:color w:val="auto"/>
                      <w:szCs w:val="21"/>
                      <w:highlight w:val="none"/>
                    </w:rPr>
                  </w:pPr>
                  <w:r>
                    <w:rPr>
                      <w:color w:val="auto"/>
                      <w:szCs w:val="21"/>
                      <w:highlight w:val="none"/>
                    </w:rPr>
                    <w:t>1.区内企业应建立完善风险防范体系及风险防范措施，做好与开发区的联动；制定应急预案并及时修编，定期演练，加强对于风险防范措施的维护，保证措施有效、应急物质充足；2.企业应按照环评文件及批复等相关文件要求设置风险防范措施（有毒有害物质泄漏预警设施、围堤围堰、事故应急池、切换阀等），确保所有受污染的雨水、消防水和泄漏物等通过排水系统接入应急池或全部收集，所收集的废（污）水自行或送至污水处理设施处理达标后方可排放；涉有毒有害大气污染物名录的企业应在厂界建设针对有毒有害特征污染物的环境风险预警体系，确保发生事故能够及时响应。</w:t>
                  </w:r>
                </w:p>
              </w:tc>
              <w:tc>
                <w:tcPr>
                  <w:tcW w:w="1600" w:type="dxa"/>
                  <w:tcBorders>
                    <w:tl2br w:val="nil"/>
                    <w:tr2bl w:val="nil"/>
                  </w:tcBorders>
                  <w:vAlign w:val="center"/>
                </w:tcPr>
                <w:p>
                  <w:pPr>
                    <w:adjustRightInd w:val="0"/>
                    <w:snapToGrid w:val="0"/>
                    <w:jc w:val="center"/>
                    <w:rPr>
                      <w:color w:val="auto"/>
                      <w:szCs w:val="21"/>
                      <w:highlight w:val="none"/>
                    </w:rPr>
                  </w:pPr>
                  <w:r>
                    <w:rPr>
                      <w:color w:val="auto"/>
                      <w:szCs w:val="21"/>
                      <w:highlight w:val="none"/>
                    </w:rPr>
                    <w:t>1.企业投入运行前编制完成环境风险应急预案。2.企业采取分区防渗，设置危废暂存间以及原料存储区的围堰。3.本项目不涉及有毒有害大气污染物。</w:t>
                  </w:r>
                </w:p>
              </w:tc>
              <w:tc>
                <w:tcPr>
                  <w:tcW w:w="354" w:type="dxa"/>
                  <w:tcBorders>
                    <w:tl2br w:val="nil"/>
                    <w:tr2bl w:val="nil"/>
                  </w:tcBorders>
                  <w:vAlign w:val="center"/>
                </w:tcPr>
                <w:p>
                  <w:pPr>
                    <w:adjustRightInd w:val="0"/>
                    <w:snapToGrid w:val="0"/>
                    <w:jc w:val="center"/>
                    <w:rPr>
                      <w:color w:val="auto"/>
                      <w:szCs w:val="21"/>
                      <w:highlight w:val="none"/>
                    </w:rPr>
                  </w:pPr>
                  <w:r>
                    <w:rPr>
                      <w:color w:val="auto"/>
                      <w:szCs w:val="21"/>
                      <w:highlight w:val="non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9" w:type="dxa"/>
                  <w:vMerge w:val="restart"/>
                  <w:tcBorders>
                    <w:tl2br w:val="nil"/>
                    <w:tr2bl w:val="nil"/>
                  </w:tcBorders>
                  <w:vAlign w:val="center"/>
                </w:tcPr>
                <w:p>
                  <w:pPr>
                    <w:adjustRightInd w:val="0"/>
                    <w:snapToGrid w:val="0"/>
                    <w:jc w:val="center"/>
                    <w:rPr>
                      <w:color w:val="auto"/>
                      <w:szCs w:val="21"/>
                      <w:highlight w:val="none"/>
                    </w:rPr>
                  </w:pPr>
                  <w:r>
                    <w:rPr>
                      <w:color w:val="auto"/>
                      <w:szCs w:val="21"/>
                      <w:highlight w:val="none"/>
                    </w:rPr>
                    <w:t>资源利用要求</w:t>
                  </w:r>
                </w:p>
              </w:tc>
              <w:tc>
                <w:tcPr>
                  <w:tcW w:w="775" w:type="dxa"/>
                  <w:tcBorders>
                    <w:tl2br w:val="nil"/>
                    <w:tr2bl w:val="nil"/>
                  </w:tcBorders>
                  <w:vAlign w:val="center"/>
                </w:tcPr>
                <w:p>
                  <w:pPr>
                    <w:adjustRightInd w:val="0"/>
                    <w:snapToGrid w:val="0"/>
                    <w:jc w:val="center"/>
                    <w:rPr>
                      <w:color w:val="auto"/>
                      <w:szCs w:val="21"/>
                      <w:highlight w:val="none"/>
                    </w:rPr>
                  </w:pPr>
                  <w:r>
                    <w:rPr>
                      <w:color w:val="auto"/>
                      <w:szCs w:val="21"/>
                      <w:highlight w:val="none"/>
                    </w:rPr>
                    <w:t>水资源利用效率要求</w:t>
                  </w:r>
                </w:p>
              </w:tc>
              <w:tc>
                <w:tcPr>
                  <w:tcW w:w="4383" w:type="dxa"/>
                  <w:tcBorders>
                    <w:tl2br w:val="nil"/>
                    <w:tr2bl w:val="nil"/>
                  </w:tcBorders>
                  <w:vAlign w:val="center"/>
                </w:tcPr>
                <w:p>
                  <w:pPr>
                    <w:adjustRightInd w:val="0"/>
                    <w:snapToGrid w:val="0"/>
                    <w:jc w:val="center"/>
                    <w:rPr>
                      <w:color w:val="auto"/>
                      <w:szCs w:val="21"/>
                      <w:highlight w:val="none"/>
                    </w:rPr>
                  </w:pPr>
                  <w:r>
                    <w:rPr>
                      <w:rFonts w:hint="eastAsia"/>
                      <w:color w:val="auto"/>
                      <w:szCs w:val="21"/>
                      <w:highlight w:val="none"/>
                    </w:rPr>
                    <w:t>严格控制新建、改建、扩建高耗水项目，支持污水资源化利用等项目建设，促进高耗水行业结构和布局优化。</w:t>
                  </w:r>
                </w:p>
              </w:tc>
              <w:tc>
                <w:tcPr>
                  <w:tcW w:w="1600" w:type="dxa"/>
                  <w:tcBorders>
                    <w:tl2br w:val="nil"/>
                    <w:tr2bl w:val="nil"/>
                  </w:tcBorders>
                  <w:vAlign w:val="center"/>
                </w:tcPr>
                <w:p>
                  <w:pPr>
                    <w:adjustRightInd w:val="0"/>
                    <w:snapToGrid w:val="0"/>
                    <w:jc w:val="center"/>
                    <w:rPr>
                      <w:color w:val="auto"/>
                      <w:szCs w:val="21"/>
                      <w:highlight w:val="none"/>
                    </w:rPr>
                  </w:pPr>
                  <w:r>
                    <w:rPr>
                      <w:color w:val="auto"/>
                      <w:szCs w:val="21"/>
                      <w:highlight w:val="none"/>
                    </w:rPr>
                    <w:t>本项目用水采用市政给水管网供给。</w:t>
                  </w:r>
                </w:p>
              </w:tc>
              <w:tc>
                <w:tcPr>
                  <w:tcW w:w="354" w:type="dxa"/>
                  <w:tcBorders>
                    <w:tl2br w:val="nil"/>
                    <w:tr2bl w:val="nil"/>
                  </w:tcBorders>
                  <w:vAlign w:val="center"/>
                </w:tcPr>
                <w:p>
                  <w:pPr>
                    <w:adjustRightInd w:val="0"/>
                    <w:snapToGrid w:val="0"/>
                    <w:jc w:val="center"/>
                    <w:rPr>
                      <w:color w:val="auto"/>
                      <w:szCs w:val="21"/>
                      <w:highlight w:val="none"/>
                    </w:rPr>
                  </w:pPr>
                  <w:r>
                    <w:rPr>
                      <w:color w:val="auto"/>
                      <w:szCs w:val="21"/>
                      <w:highlight w:val="non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9" w:type="dxa"/>
                  <w:vMerge w:val="continue"/>
                  <w:tcBorders>
                    <w:tl2br w:val="nil"/>
                    <w:tr2bl w:val="nil"/>
                  </w:tcBorders>
                  <w:vAlign w:val="center"/>
                </w:tcPr>
                <w:p>
                  <w:pPr>
                    <w:adjustRightInd w:val="0"/>
                    <w:snapToGrid w:val="0"/>
                    <w:jc w:val="center"/>
                    <w:rPr>
                      <w:color w:val="auto"/>
                      <w:szCs w:val="21"/>
                      <w:highlight w:val="none"/>
                    </w:rPr>
                  </w:pPr>
                </w:p>
              </w:tc>
              <w:tc>
                <w:tcPr>
                  <w:tcW w:w="775" w:type="dxa"/>
                  <w:tcBorders>
                    <w:tl2br w:val="nil"/>
                    <w:tr2bl w:val="nil"/>
                  </w:tcBorders>
                  <w:vAlign w:val="center"/>
                </w:tcPr>
                <w:p>
                  <w:pPr>
                    <w:adjustRightInd w:val="0"/>
                    <w:snapToGrid w:val="0"/>
                    <w:jc w:val="center"/>
                    <w:rPr>
                      <w:color w:val="auto"/>
                      <w:szCs w:val="21"/>
                      <w:highlight w:val="none"/>
                    </w:rPr>
                  </w:pPr>
                  <w:r>
                    <w:rPr>
                      <w:color w:val="auto"/>
                      <w:szCs w:val="21"/>
                      <w:highlight w:val="none"/>
                    </w:rPr>
                    <w:t>地下水开采要求</w:t>
                  </w:r>
                </w:p>
              </w:tc>
              <w:tc>
                <w:tcPr>
                  <w:tcW w:w="4383" w:type="dxa"/>
                  <w:tcBorders>
                    <w:tl2br w:val="nil"/>
                    <w:tr2bl w:val="nil"/>
                  </w:tcBorders>
                  <w:vAlign w:val="center"/>
                </w:tcPr>
                <w:p>
                  <w:pPr>
                    <w:adjustRightInd w:val="0"/>
                    <w:snapToGrid w:val="0"/>
                    <w:jc w:val="center"/>
                    <w:rPr>
                      <w:color w:val="auto"/>
                      <w:szCs w:val="21"/>
                      <w:highlight w:val="none"/>
                    </w:rPr>
                  </w:pPr>
                  <w:r>
                    <w:rPr>
                      <w:rFonts w:hint="eastAsia"/>
                      <w:color w:val="auto"/>
                      <w:szCs w:val="21"/>
                      <w:highlight w:val="none"/>
                    </w:rPr>
                    <w:t>严控地下水开采，加快区内供水管网建设，集中供水管网覆盖区域不得私自取用地下水。以水定产，避免区内地下水过度开采。</w:t>
                  </w:r>
                </w:p>
              </w:tc>
              <w:tc>
                <w:tcPr>
                  <w:tcW w:w="1600" w:type="dxa"/>
                  <w:tcBorders>
                    <w:tl2br w:val="nil"/>
                    <w:tr2bl w:val="nil"/>
                  </w:tcBorders>
                  <w:vAlign w:val="center"/>
                </w:tcPr>
                <w:p>
                  <w:pPr>
                    <w:adjustRightInd w:val="0"/>
                    <w:snapToGrid w:val="0"/>
                    <w:jc w:val="center"/>
                    <w:rPr>
                      <w:color w:val="auto"/>
                      <w:szCs w:val="21"/>
                      <w:highlight w:val="none"/>
                    </w:rPr>
                  </w:pPr>
                  <w:r>
                    <w:rPr>
                      <w:color w:val="auto"/>
                      <w:szCs w:val="21"/>
                      <w:highlight w:val="none"/>
                    </w:rPr>
                    <w:t>本项目用水采用市政给水管网供给，不采用地下水。</w:t>
                  </w:r>
                </w:p>
              </w:tc>
              <w:tc>
                <w:tcPr>
                  <w:tcW w:w="354" w:type="dxa"/>
                  <w:tcBorders>
                    <w:tl2br w:val="nil"/>
                    <w:tr2bl w:val="nil"/>
                  </w:tcBorders>
                  <w:vAlign w:val="center"/>
                </w:tcPr>
                <w:p>
                  <w:pPr>
                    <w:adjustRightInd w:val="0"/>
                    <w:snapToGrid w:val="0"/>
                    <w:jc w:val="center"/>
                    <w:rPr>
                      <w:color w:val="auto"/>
                      <w:szCs w:val="21"/>
                      <w:highlight w:val="none"/>
                    </w:rPr>
                  </w:pPr>
                  <w:r>
                    <w:rPr>
                      <w:color w:val="auto"/>
                      <w:szCs w:val="21"/>
                      <w:highlight w:val="none"/>
                    </w:rPr>
                    <w:t>符合</w:t>
                  </w:r>
                </w:p>
              </w:tc>
            </w:tr>
          </w:tbl>
          <w:p>
            <w:pPr>
              <w:pStyle w:val="71"/>
              <w:autoSpaceDE w:val="0"/>
              <w:autoSpaceDN w:val="0"/>
              <w:spacing w:line="240" w:lineRule="auto"/>
              <w:ind w:firstLine="480" w:firstLineChars="200"/>
              <w:jc w:val="both"/>
              <w:rPr>
                <w:color w:val="auto"/>
                <w:sz w:val="24"/>
                <w:highlight w:val="none"/>
              </w:rPr>
            </w:pPr>
          </w:p>
          <w:p>
            <w:pPr>
              <w:pStyle w:val="71"/>
              <w:autoSpaceDE w:val="0"/>
              <w:autoSpaceDN w:val="0"/>
              <w:spacing w:line="360" w:lineRule="auto"/>
              <w:ind w:firstLine="480" w:firstLineChars="200"/>
              <w:jc w:val="both"/>
              <w:rPr>
                <w:color w:val="auto"/>
                <w:sz w:val="24"/>
                <w:highlight w:val="none"/>
              </w:rPr>
            </w:pPr>
            <w:r>
              <w:rPr>
                <w:color w:val="auto"/>
                <w:sz w:val="24"/>
                <w:highlight w:val="none"/>
              </w:rPr>
              <w:t>综上，本项目建设符合</w:t>
            </w:r>
            <w:r>
              <w:rPr>
                <w:rFonts w:hint="eastAsia"/>
                <w:color w:val="auto"/>
                <w:sz w:val="24"/>
                <w:highlight w:val="none"/>
                <w:lang w:eastAsia="zh-CN"/>
              </w:rPr>
              <w:t>“</w:t>
            </w:r>
            <w:r>
              <w:rPr>
                <w:color w:val="auto"/>
                <w:sz w:val="24"/>
                <w:highlight w:val="none"/>
              </w:rPr>
              <w:t>长春经济技术开发区生态环境准入清单</w:t>
            </w:r>
            <w:r>
              <w:rPr>
                <w:rFonts w:hint="eastAsia"/>
                <w:color w:val="auto"/>
                <w:sz w:val="24"/>
                <w:highlight w:val="none"/>
                <w:lang w:eastAsia="zh-CN"/>
              </w:rPr>
              <w:t>”</w:t>
            </w:r>
            <w:r>
              <w:rPr>
                <w:color w:val="auto"/>
                <w:sz w:val="24"/>
                <w:highlight w:val="none"/>
              </w:rPr>
              <w:t>要求。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482" w:firstLineChars="200"/>
              <w:jc w:val="both"/>
              <w:textAlignment w:val="auto"/>
              <w:rPr>
                <w:rFonts w:hint="default" w:ascii="Times New Roman" w:hAnsi="Times New Roman" w:eastAsia="宋体" w:cs="Times New Roman"/>
                <w:b/>
                <w:bCs w:val="0"/>
                <w:i w:val="0"/>
                <w:iCs w:val="0"/>
                <w:caps w:val="0"/>
                <w:color w:val="auto"/>
                <w:sz w:val="24"/>
                <w:szCs w:val="24"/>
                <w:highlight w:val="none"/>
                <w:u w:val="none"/>
                <w:lang w:val="en-US" w:eastAsia="zh-CN"/>
              </w:rPr>
            </w:pPr>
            <w:r>
              <w:rPr>
                <w:rFonts w:hint="eastAsia" w:ascii="Times New Roman" w:hAnsi="Times New Roman" w:eastAsia="宋体" w:cs="Times New Roman"/>
                <w:b/>
                <w:bCs w:val="0"/>
                <w:i w:val="0"/>
                <w:iCs w:val="0"/>
                <w:caps w:val="0"/>
                <w:color w:val="auto"/>
                <w:sz w:val="24"/>
                <w:szCs w:val="24"/>
                <w:highlight w:val="none"/>
                <w:u w:val="none"/>
                <w:lang w:val="en-US" w:eastAsia="zh-CN"/>
              </w:rPr>
              <w:t>3</w:t>
            </w:r>
            <w:r>
              <w:rPr>
                <w:rFonts w:hint="default" w:ascii="Times New Roman" w:hAnsi="Times New Roman" w:eastAsia="宋体" w:cs="Times New Roman"/>
                <w:b/>
                <w:bCs w:val="0"/>
                <w:i w:val="0"/>
                <w:iCs w:val="0"/>
                <w:caps w:val="0"/>
                <w:color w:val="auto"/>
                <w:sz w:val="24"/>
                <w:szCs w:val="24"/>
                <w:highlight w:val="none"/>
                <w:u w:val="none"/>
                <w:lang w:val="en-US" w:eastAsia="zh-CN"/>
              </w:rPr>
              <w:t>、与“十三五”挥发性有机物污染防治工作方案的符合性分析</w:t>
            </w:r>
          </w:p>
          <w:p>
            <w:pPr>
              <w:pStyle w:val="71"/>
              <w:autoSpaceDE w:val="0"/>
              <w:autoSpaceDN w:val="0"/>
              <w:spacing w:line="360" w:lineRule="auto"/>
              <w:ind w:firstLine="480" w:firstLineChars="200"/>
              <w:jc w:val="both"/>
              <w:rPr>
                <w:color w:val="auto"/>
                <w:sz w:val="24"/>
                <w:highlight w:val="none"/>
              </w:rPr>
            </w:pPr>
            <w:r>
              <w:rPr>
                <w:rFonts w:hint="eastAsia" w:ascii="Times New Roman" w:hAnsi="Times New Roman" w:eastAsia="宋体"/>
                <w:color w:val="auto"/>
                <w:sz w:val="24"/>
                <w:szCs w:val="20"/>
                <w:highlight w:val="none"/>
              </w:rPr>
              <w:t>本项目挥发性有机物防治工作</w:t>
            </w:r>
            <w:r>
              <w:rPr>
                <w:rFonts w:ascii="Times New Roman" w:hAnsi="Times New Roman" w:eastAsia="宋体" w:cs="Times New Roman"/>
                <w:color w:val="auto"/>
                <w:sz w:val="24"/>
                <w:highlight w:val="none"/>
                <w:lang w:val="en-US"/>
              </w:rPr>
              <w:t>与</w:t>
            </w:r>
            <w:r>
              <w:rPr>
                <w:rFonts w:hint="eastAsia" w:ascii="Times New Roman" w:hAnsi="Times New Roman" w:eastAsia="宋体" w:cs="Times New Roman"/>
                <w:color w:val="auto"/>
                <w:sz w:val="24"/>
                <w:highlight w:val="none"/>
                <w:lang w:val="en-US"/>
              </w:rPr>
              <w:t>“</w:t>
            </w:r>
            <w:r>
              <w:rPr>
                <w:rFonts w:ascii="Times New Roman" w:hAnsi="Times New Roman" w:eastAsia="宋体" w:cs="Times New Roman"/>
                <w:color w:val="auto"/>
                <w:sz w:val="24"/>
                <w:highlight w:val="none"/>
                <w:lang w:val="en-US"/>
              </w:rPr>
              <w:t>十三五</w:t>
            </w:r>
            <w:r>
              <w:rPr>
                <w:rFonts w:hint="eastAsia" w:ascii="Times New Roman" w:hAnsi="Times New Roman" w:eastAsia="宋体" w:cs="Times New Roman"/>
                <w:color w:val="auto"/>
                <w:sz w:val="24"/>
                <w:highlight w:val="none"/>
                <w:lang w:val="en-US"/>
              </w:rPr>
              <w:t>”</w:t>
            </w:r>
            <w:r>
              <w:rPr>
                <w:rFonts w:ascii="Times New Roman" w:hAnsi="Times New Roman" w:eastAsia="宋体" w:cs="Times New Roman"/>
                <w:color w:val="auto"/>
                <w:sz w:val="24"/>
                <w:highlight w:val="none"/>
                <w:lang w:val="en-US"/>
              </w:rPr>
              <w:t>挥发性有机物污染防治工作方案的符合性分析</w:t>
            </w:r>
            <w:r>
              <w:rPr>
                <w:rFonts w:hint="eastAsia" w:ascii="Times New Roman" w:hAnsi="Times New Roman" w:eastAsia="宋体" w:cs="Times New Roman"/>
                <w:color w:val="auto"/>
                <w:sz w:val="24"/>
                <w:highlight w:val="none"/>
                <w:lang w:val="en-US"/>
              </w:rPr>
              <w:t>详见下表。</w:t>
            </w:r>
          </w:p>
          <w:p>
            <w:pPr>
              <w:pStyle w:val="71"/>
              <w:autoSpaceDE w:val="0"/>
              <w:autoSpaceDN w:val="0"/>
              <w:jc w:val="center"/>
              <w:rPr>
                <w:rFonts w:ascii="Times New Roman" w:hAnsi="Times New Roman" w:eastAsia="宋体" w:cs="Times New Roman"/>
                <w:b/>
                <w:bCs/>
                <w:color w:val="auto"/>
                <w:kern w:val="8"/>
                <w:sz w:val="24"/>
                <w:highlight w:val="none"/>
                <w:lang w:val="en-US" w:bidi="ar-SA"/>
              </w:rPr>
            </w:pPr>
            <w:r>
              <w:rPr>
                <w:rFonts w:hint="eastAsia" w:ascii="Times New Roman" w:hAnsi="Times New Roman" w:eastAsia="宋体" w:cs="Times New Roman"/>
                <w:b/>
                <w:bCs/>
                <w:color w:val="auto"/>
                <w:kern w:val="8"/>
                <w:sz w:val="24"/>
                <w:highlight w:val="none"/>
                <w:lang w:val="en-US" w:bidi="ar-SA"/>
              </w:rPr>
              <w:t>表1-</w:t>
            </w:r>
            <w:r>
              <w:rPr>
                <w:rFonts w:hint="eastAsia" w:cs="Times New Roman"/>
                <w:b/>
                <w:bCs/>
                <w:color w:val="auto"/>
                <w:kern w:val="8"/>
                <w:sz w:val="24"/>
                <w:highlight w:val="none"/>
                <w:lang w:val="en-US" w:eastAsia="zh-CN" w:bidi="ar-SA"/>
              </w:rPr>
              <w:t>2</w:t>
            </w:r>
            <w:r>
              <w:rPr>
                <w:rFonts w:hint="eastAsia" w:ascii="Times New Roman" w:hAnsi="Times New Roman" w:eastAsia="宋体" w:cs="Times New Roman"/>
                <w:b/>
                <w:bCs/>
                <w:color w:val="auto"/>
                <w:kern w:val="8"/>
                <w:sz w:val="24"/>
                <w:highlight w:val="none"/>
                <w:lang w:val="en-US" w:bidi="ar-SA"/>
              </w:rPr>
              <w:t xml:space="preserve">  </w:t>
            </w:r>
            <w:r>
              <w:rPr>
                <w:rFonts w:ascii="Times New Roman" w:hAnsi="Times New Roman" w:eastAsia="宋体" w:cs="Times New Roman"/>
                <w:b/>
                <w:bCs/>
                <w:color w:val="auto"/>
                <w:kern w:val="8"/>
                <w:sz w:val="24"/>
                <w:highlight w:val="none"/>
                <w:lang w:val="en-US" w:bidi="ar-SA"/>
              </w:rPr>
              <w:t xml:space="preserve"> </w:t>
            </w:r>
            <w:r>
              <w:rPr>
                <w:rFonts w:hint="eastAsia" w:ascii="宋体" w:hAnsi="宋体" w:eastAsia="宋体" w:cs="宋体"/>
                <w:b/>
                <w:bCs/>
                <w:color w:val="auto"/>
                <w:kern w:val="8"/>
                <w:sz w:val="24"/>
                <w:highlight w:val="none"/>
                <w:lang w:val="en-US" w:bidi="ar-SA"/>
              </w:rPr>
              <w:t>与“十三五”挥发性</w:t>
            </w:r>
            <w:r>
              <w:rPr>
                <w:rFonts w:ascii="Times New Roman" w:hAnsi="Times New Roman" w:eastAsia="宋体" w:cs="Times New Roman"/>
                <w:b/>
                <w:bCs/>
                <w:color w:val="auto"/>
                <w:kern w:val="8"/>
                <w:sz w:val="24"/>
                <w:highlight w:val="none"/>
                <w:lang w:val="en-US" w:bidi="ar-SA"/>
              </w:rPr>
              <w:t>有机物污染防治工作方</w:t>
            </w:r>
            <w:r>
              <w:rPr>
                <w:rFonts w:hint="eastAsia" w:ascii="宋体" w:hAnsi="宋体" w:eastAsia="宋体" w:cs="宋体"/>
                <w:b/>
                <w:bCs/>
                <w:color w:val="auto"/>
                <w:kern w:val="8"/>
                <w:sz w:val="24"/>
                <w:highlight w:val="none"/>
                <w:lang w:val="en-US" w:bidi="ar-SA"/>
              </w:rPr>
              <w:t>案”</w:t>
            </w:r>
            <w:r>
              <w:rPr>
                <w:rFonts w:ascii="Times New Roman" w:hAnsi="Times New Roman" w:eastAsia="宋体" w:cs="Times New Roman"/>
                <w:b/>
                <w:bCs/>
                <w:color w:val="auto"/>
                <w:kern w:val="8"/>
                <w:sz w:val="24"/>
                <w:highlight w:val="none"/>
                <w:lang w:val="en-US" w:bidi="ar-SA"/>
              </w:rPr>
              <w:t>分析一览表</w:t>
            </w:r>
          </w:p>
          <w:tbl>
            <w:tblPr>
              <w:tblStyle w:val="30"/>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136"/>
              <w:gridCol w:w="2687"/>
              <w:gridCol w:w="6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779" w:type="pct"/>
                  <w:noWrap w:val="0"/>
                  <w:vAlign w:val="center"/>
                </w:tcPr>
                <w:p>
                  <w:pPr>
                    <w:pStyle w:val="94"/>
                    <w:spacing w:line="240" w:lineRule="auto"/>
                    <w:ind w:firstLine="0" w:firstLineChars="0"/>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w:t>
                  </w:r>
                  <w:r>
                    <w:rPr>
                      <w:rFonts w:ascii="Times New Roman" w:hAnsi="Times New Roman"/>
                      <w:color w:val="auto"/>
                      <w:sz w:val="21"/>
                      <w:szCs w:val="21"/>
                      <w:highlight w:val="none"/>
                    </w:rPr>
                    <w:t>十三五</w:t>
                  </w:r>
                  <w:r>
                    <w:rPr>
                      <w:rFonts w:hint="eastAsia" w:ascii="Times New Roman" w:hAnsi="Times New Roman"/>
                      <w:color w:val="auto"/>
                      <w:sz w:val="21"/>
                      <w:szCs w:val="21"/>
                      <w:highlight w:val="none"/>
                    </w:rPr>
                    <w:t>”</w:t>
                  </w:r>
                  <w:r>
                    <w:rPr>
                      <w:rFonts w:ascii="Times New Roman" w:hAnsi="Times New Roman"/>
                      <w:color w:val="auto"/>
                      <w:sz w:val="21"/>
                      <w:szCs w:val="21"/>
                      <w:highlight w:val="none"/>
                    </w:rPr>
                    <w:t>挥发性有机物污染防治工作方案</w:t>
                  </w:r>
                </w:p>
              </w:tc>
              <w:tc>
                <w:tcPr>
                  <w:tcW w:w="1806" w:type="pct"/>
                  <w:noWrap w:val="0"/>
                  <w:vAlign w:val="center"/>
                </w:tcPr>
                <w:p>
                  <w:pPr>
                    <w:pStyle w:val="94"/>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本项目情况</w:t>
                  </w:r>
                </w:p>
              </w:tc>
              <w:tc>
                <w:tcPr>
                  <w:tcW w:w="414" w:type="pct"/>
                  <w:noWrap w:val="0"/>
                  <w:vAlign w:val="center"/>
                </w:tcPr>
                <w:p>
                  <w:pPr>
                    <w:pStyle w:val="94"/>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是否符合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0" w:type="pct"/>
                  <w:gridSpan w:val="3"/>
                  <w:noWrap w:val="0"/>
                  <w:vAlign w:val="center"/>
                </w:tcPr>
                <w:p>
                  <w:pPr>
                    <w:pStyle w:val="94"/>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一、加大产业机构调整力度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779" w:type="pct"/>
                  <w:noWrap w:val="0"/>
                  <w:vAlign w:val="center"/>
                </w:tcPr>
                <w:p>
                  <w:pPr>
                    <w:pStyle w:val="94"/>
                    <w:spacing w:line="240" w:lineRule="auto"/>
                    <w:ind w:firstLine="0" w:firstLineChars="0"/>
                    <w:jc w:val="center"/>
                    <w:rPr>
                      <w:rFonts w:ascii="Times New Roman" w:hAnsi="Times New Roman"/>
                      <w:color w:val="auto"/>
                      <w:sz w:val="21"/>
                      <w:szCs w:val="21"/>
                      <w:highlight w:val="none"/>
                    </w:rPr>
                  </w:pPr>
                  <w:r>
                    <w:rPr>
                      <w:rFonts w:ascii="Times New Roman" w:hAnsi="Times New Roman"/>
                      <w:b/>
                      <w:bCs/>
                      <w:color w:val="auto"/>
                      <w:sz w:val="21"/>
                      <w:szCs w:val="21"/>
                      <w:highlight w:val="none"/>
                    </w:rPr>
                    <w:t>加快推进</w:t>
                  </w:r>
                  <w:r>
                    <w:rPr>
                      <w:rFonts w:hint="eastAsia" w:ascii="Times New Roman" w:hAnsi="Times New Roman"/>
                      <w:b/>
                      <w:bCs/>
                      <w:color w:val="auto"/>
                      <w:sz w:val="21"/>
                      <w:szCs w:val="21"/>
                      <w:highlight w:val="none"/>
                    </w:rPr>
                    <w:t>“</w:t>
                  </w:r>
                  <w:r>
                    <w:rPr>
                      <w:rFonts w:ascii="Times New Roman" w:hAnsi="Times New Roman"/>
                      <w:b/>
                      <w:bCs/>
                      <w:color w:val="auto"/>
                      <w:sz w:val="21"/>
                      <w:szCs w:val="21"/>
                      <w:highlight w:val="none"/>
                    </w:rPr>
                    <w:t>散乱污</w:t>
                  </w:r>
                  <w:r>
                    <w:rPr>
                      <w:rFonts w:hint="eastAsia" w:ascii="Times New Roman" w:hAnsi="Times New Roman"/>
                      <w:b/>
                      <w:bCs/>
                      <w:color w:val="auto"/>
                      <w:sz w:val="21"/>
                      <w:szCs w:val="21"/>
                      <w:highlight w:val="none"/>
                    </w:rPr>
                    <w:t>”</w:t>
                  </w:r>
                  <w:r>
                    <w:rPr>
                      <w:rFonts w:ascii="Times New Roman" w:hAnsi="Times New Roman"/>
                      <w:b/>
                      <w:bCs/>
                      <w:color w:val="auto"/>
                      <w:sz w:val="21"/>
                      <w:szCs w:val="21"/>
                      <w:highlight w:val="none"/>
                    </w:rPr>
                    <w:t>企业综合整治。</w:t>
                  </w:r>
                  <w:r>
                    <w:rPr>
                      <w:rFonts w:ascii="Times New Roman" w:hAnsi="Times New Roman"/>
                      <w:color w:val="auto"/>
                      <w:sz w:val="21"/>
                      <w:szCs w:val="21"/>
                      <w:highlight w:val="none"/>
                    </w:rPr>
                    <w:t xml:space="preserve"> </w:t>
                  </w:r>
                </w:p>
                <w:p>
                  <w:pPr>
                    <w:pStyle w:val="94"/>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各地要全面开展涉 VOCs排放的</w:t>
                  </w:r>
                  <w:r>
                    <w:rPr>
                      <w:rFonts w:hint="eastAsia" w:ascii="Times New Roman" w:hAnsi="Times New Roman"/>
                      <w:color w:val="auto"/>
                      <w:sz w:val="21"/>
                      <w:szCs w:val="21"/>
                      <w:highlight w:val="none"/>
                    </w:rPr>
                    <w:t>“</w:t>
                  </w:r>
                  <w:r>
                    <w:rPr>
                      <w:rFonts w:ascii="Times New Roman" w:hAnsi="Times New Roman"/>
                      <w:color w:val="auto"/>
                      <w:sz w:val="21"/>
                      <w:szCs w:val="21"/>
                      <w:highlight w:val="none"/>
                    </w:rPr>
                    <w:t>散乱污</w:t>
                  </w:r>
                  <w:r>
                    <w:rPr>
                      <w:rFonts w:hint="eastAsia" w:ascii="Times New Roman" w:hAnsi="Times New Roman"/>
                      <w:color w:val="auto"/>
                      <w:sz w:val="21"/>
                      <w:szCs w:val="21"/>
                      <w:highlight w:val="none"/>
                    </w:rPr>
                    <w:t>”</w:t>
                  </w:r>
                  <w:r>
                    <w:rPr>
                      <w:rFonts w:ascii="Times New Roman" w:hAnsi="Times New Roman"/>
                      <w:color w:val="auto"/>
                      <w:sz w:val="21"/>
                      <w:szCs w:val="21"/>
                      <w:highlight w:val="none"/>
                    </w:rPr>
                    <w:t>企业排查工作，建立管理台账，实施分类处置。列入淘汰类的，依法依规予以取缔，做到</w:t>
                  </w:r>
                  <w:r>
                    <w:rPr>
                      <w:rFonts w:hint="eastAsia" w:ascii="Times New Roman" w:hAnsi="Times New Roman"/>
                      <w:color w:val="auto"/>
                      <w:sz w:val="21"/>
                      <w:szCs w:val="21"/>
                      <w:highlight w:val="none"/>
                    </w:rPr>
                    <w:t>“</w:t>
                  </w:r>
                  <w:r>
                    <w:rPr>
                      <w:rFonts w:ascii="Times New Roman" w:hAnsi="Times New Roman"/>
                      <w:color w:val="auto"/>
                      <w:sz w:val="21"/>
                      <w:szCs w:val="21"/>
                      <w:highlight w:val="none"/>
                    </w:rPr>
                    <w:t>两断三清</w:t>
                  </w:r>
                  <w:r>
                    <w:rPr>
                      <w:rFonts w:hint="eastAsia" w:ascii="Times New Roman" w:hAnsi="Times New Roman"/>
                      <w:color w:val="auto"/>
                      <w:sz w:val="21"/>
                      <w:szCs w:val="21"/>
                      <w:highlight w:val="none"/>
                    </w:rPr>
                    <w:t>”</w:t>
                  </w:r>
                  <w:r>
                    <w:rPr>
                      <w:rFonts w:ascii="Times New Roman" w:hAnsi="Times New Roman"/>
                      <w:color w:val="auto"/>
                      <w:sz w:val="21"/>
                      <w:szCs w:val="21"/>
                      <w:highlight w:val="none"/>
                    </w:rPr>
                    <w:t>，即断水、断电，清除原料、清除产品、清除设备；涉VOCs排放的</w:t>
                  </w:r>
                  <w:r>
                    <w:rPr>
                      <w:rFonts w:hint="eastAsia" w:ascii="Times New Roman" w:hAnsi="Times New Roman"/>
                      <w:color w:val="auto"/>
                      <w:sz w:val="21"/>
                      <w:szCs w:val="21"/>
                      <w:highlight w:val="none"/>
                    </w:rPr>
                    <w:t>“</w:t>
                  </w:r>
                  <w:r>
                    <w:rPr>
                      <w:rFonts w:ascii="Times New Roman" w:hAnsi="Times New Roman"/>
                      <w:color w:val="auto"/>
                      <w:sz w:val="21"/>
                      <w:szCs w:val="21"/>
                      <w:highlight w:val="none"/>
                    </w:rPr>
                    <w:t>散乱污</w:t>
                  </w:r>
                  <w:r>
                    <w:rPr>
                      <w:rFonts w:hint="eastAsia" w:ascii="Times New Roman" w:hAnsi="Times New Roman"/>
                      <w:color w:val="auto"/>
                      <w:sz w:val="21"/>
                      <w:szCs w:val="21"/>
                      <w:highlight w:val="none"/>
                    </w:rPr>
                    <w:t>”</w:t>
                  </w:r>
                  <w:r>
                    <w:rPr>
                      <w:rFonts w:ascii="Times New Roman" w:hAnsi="Times New Roman"/>
                      <w:color w:val="auto"/>
                      <w:sz w:val="21"/>
                      <w:szCs w:val="21"/>
                      <w:highlight w:val="none"/>
                    </w:rPr>
                    <w:t>企业主要为涂料、油墨、合成革、橡胶制品、塑料制品、化纤生产等化工企业，使用溶剂型涂料、油墨、胶粘剂和其他有机溶剂的印刷、家具、钢结构、人造板、注塑等制造加工企业，以及露天喷涂汽车维修作业等。</w:t>
                  </w:r>
                </w:p>
              </w:tc>
              <w:tc>
                <w:tcPr>
                  <w:tcW w:w="1806" w:type="pct"/>
                  <w:noWrap w:val="0"/>
                  <w:vAlign w:val="center"/>
                </w:tcPr>
                <w:p>
                  <w:pPr>
                    <w:pStyle w:val="94"/>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本项目不属于</w:t>
                  </w:r>
                  <w:r>
                    <w:rPr>
                      <w:rFonts w:hint="eastAsia" w:ascii="Times New Roman" w:hAnsi="Times New Roman"/>
                      <w:color w:val="auto"/>
                      <w:sz w:val="21"/>
                      <w:szCs w:val="21"/>
                      <w:highlight w:val="none"/>
                    </w:rPr>
                    <w:t>“</w:t>
                  </w:r>
                  <w:r>
                    <w:rPr>
                      <w:rFonts w:ascii="Times New Roman" w:hAnsi="Times New Roman"/>
                      <w:color w:val="auto"/>
                      <w:sz w:val="21"/>
                      <w:szCs w:val="21"/>
                      <w:highlight w:val="none"/>
                    </w:rPr>
                    <w:t>散乱污</w:t>
                  </w:r>
                  <w:r>
                    <w:rPr>
                      <w:rFonts w:hint="eastAsia" w:ascii="Times New Roman" w:hAnsi="Times New Roman"/>
                      <w:color w:val="auto"/>
                      <w:sz w:val="21"/>
                      <w:szCs w:val="21"/>
                      <w:highlight w:val="none"/>
                    </w:rPr>
                    <w:t>”</w:t>
                  </w:r>
                  <w:r>
                    <w:rPr>
                      <w:rFonts w:ascii="Times New Roman" w:hAnsi="Times New Roman"/>
                      <w:color w:val="auto"/>
                      <w:sz w:val="21"/>
                      <w:szCs w:val="21"/>
                      <w:highlight w:val="none"/>
                    </w:rPr>
                    <w:t>企业，属于《产业结构调整指导目录（201</w:t>
                  </w:r>
                  <w:r>
                    <w:rPr>
                      <w:rFonts w:hint="eastAsia" w:ascii="Times New Roman" w:hAnsi="Times New Roman"/>
                      <w:color w:val="auto"/>
                      <w:sz w:val="21"/>
                      <w:szCs w:val="21"/>
                      <w:highlight w:val="none"/>
                    </w:rPr>
                    <w:t>9</w:t>
                  </w:r>
                  <w:r>
                    <w:rPr>
                      <w:rFonts w:ascii="Times New Roman" w:hAnsi="Times New Roman"/>
                      <w:color w:val="auto"/>
                      <w:sz w:val="21"/>
                      <w:szCs w:val="21"/>
                      <w:highlight w:val="none"/>
                    </w:rPr>
                    <w:t xml:space="preserve"> 年本）》中</w:t>
                  </w:r>
                  <w:r>
                    <w:rPr>
                      <w:rFonts w:hint="eastAsia" w:ascii="Times New Roman" w:hAnsi="Times New Roman"/>
                      <w:color w:val="auto"/>
                      <w:sz w:val="21"/>
                      <w:szCs w:val="21"/>
                      <w:highlight w:val="none"/>
                      <w:lang w:val="en-US" w:eastAsia="zh-CN"/>
                    </w:rPr>
                    <w:t>允许</w:t>
                  </w:r>
                  <w:r>
                    <w:rPr>
                      <w:rFonts w:ascii="Times New Roman" w:hAnsi="Times New Roman"/>
                      <w:color w:val="auto"/>
                      <w:sz w:val="21"/>
                      <w:szCs w:val="21"/>
                      <w:highlight w:val="none"/>
                    </w:rPr>
                    <w:t>类项目</w:t>
                  </w:r>
                  <w:r>
                    <w:rPr>
                      <w:rFonts w:hint="eastAsia" w:ascii="Times New Roman" w:hAnsi="Times New Roman"/>
                      <w:color w:val="auto"/>
                      <w:sz w:val="21"/>
                      <w:szCs w:val="21"/>
                      <w:highlight w:val="none"/>
                    </w:rPr>
                    <w:t>。</w:t>
                  </w:r>
                </w:p>
              </w:tc>
              <w:tc>
                <w:tcPr>
                  <w:tcW w:w="414" w:type="pct"/>
                  <w:noWrap w:val="0"/>
                  <w:vAlign w:val="center"/>
                </w:tcPr>
                <w:p>
                  <w:pPr>
                    <w:pStyle w:val="94"/>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779" w:type="pct"/>
                  <w:noWrap w:val="0"/>
                  <w:vAlign w:val="center"/>
                </w:tcPr>
                <w:p>
                  <w:pPr>
                    <w:pStyle w:val="94"/>
                    <w:spacing w:line="240" w:lineRule="auto"/>
                    <w:ind w:firstLine="0" w:firstLineChars="0"/>
                    <w:jc w:val="center"/>
                    <w:rPr>
                      <w:rFonts w:ascii="Times New Roman" w:hAnsi="Times New Roman"/>
                      <w:b/>
                      <w:bCs/>
                      <w:color w:val="auto"/>
                      <w:sz w:val="21"/>
                      <w:szCs w:val="21"/>
                      <w:highlight w:val="none"/>
                    </w:rPr>
                  </w:pPr>
                  <w:r>
                    <w:rPr>
                      <w:rFonts w:ascii="Times New Roman" w:hAnsi="Times New Roman"/>
                      <w:b/>
                      <w:bCs/>
                      <w:color w:val="auto"/>
                      <w:sz w:val="21"/>
                      <w:szCs w:val="21"/>
                      <w:highlight w:val="none"/>
                    </w:rPr>
                    <w:t>严格建设项目环境准入。</w:t>
                  </w:r>
                </w:p>
                <w:p>
                  <w:pPr>
                    <w:pStyle w:val="94"/>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提高 VOCs排放重点行业环保准入门槛，严格控制新增污染物排放量。重点地区要严格限制石化、化工、包装印刷、工业涂装等高 VOCs排放建设项目。新建涉VOCs排放的工业企业要入园区。新、改、扩建涉VOCs 排放项目，应从源头加强控制，使用低（无）VOCs含量的原辅材料，加强废气收集，安装高效治理设施</w:t>
                  </w:r>
                </w:p>
              </w:tc>
              <w:tc>
                <w:tcPr>
                  <w:tcW w:w="1806" w:type="pct"/>
                  <w:noWrap w:val="0"/>
                  <w:vAlign w:val="center"/>
                </w:tcPr>
                <w:p>
                  <w:pPr>
                    <w:pStyle w:val="94"/>
                    <w:spacing w:line="240" w:lineRule="auto"/>
                    <w:ind w:firstLine="0" w:firstLineChars="0"/>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长春市不属于文件中的重点地区，不属于工业涂装VOCs产生项目。</w:t>
                  </w:r>
                  <w:r>
                    <w:rPr>
                      <w:rFonts w:ascii="Times New Roman" w:hAnsi="Times New Roman"/>
                      <w:color w:val="auto"/>
                      <w:sz w:val="21"/>
                      <w:szCs w:val="21"/>
                      <w:highlight w:val="none"/>
                    </w:rPr>
                    <w:t>VOCs</w:t>
                  </w:r>
                  <w:r>
                    <w:rPr>
                      <w:rFonts w:hint="eastAsia" w:ascii="Times New Roman" w:hAnsi="Times New Roman"/>
                      <w:color w:val="auto"/>
                      <w:sz w:val="21"/>
                      <w:szCs w:val="21"/>
                      <w:highlight w:val="none"/>
                      <w:lang w:val="en-US" w:eastAsia="zh-CN"/>
                    </w:rPr>
                    <w:t>主要产生于模具清洗环节清洗剂挥发，</w:t>
                  </w:r>
                  <w:r>
                    <w:rPr>
                      <w:rFonts w:hint="eastAsia" w:ascii="Times New Roman" w:hAnsi="Times New Roman" w:eastAsia="宋体" w:cs="Times New Roman"/>
                      <w:color w:val="auto"/>
                      <w:sz w:val="21"/>
                      <w:szCs w:val="21"/>
                      <w:highlight w:val="none"/>
                    </w:rPr>
                    <w:t>本项目</w:t>
                  </w:r>
                  <w:r>
                    <w:rPr>
                      <w:color w:val="auto"/>
                      <w:sz w:val="21"/>
                      <w:szCs w:val="21"/>
                      <w:highlight w:val="none"/>
                    </w:rPr>
                    <w:t>采用环保清洗剂为低挥发性有机物含量的原辅材料，且安装集气高效集气装置，</w:t>
                  </w:r>
                  <w:r>
                    <w:rPr>
                      <w:rFonts w:hint="eastAsia" w:ascii="Times New Roman" w:hAnsi="Times New Roman"/>
                      <w:color w:val="auto"/>
                      <w:sz w:val="21"/>
                      <w:szCs w:val="21"/>
                      <w:highlight w:val="none"/>
                    </w:rPr>
                    <w:t>且通过</w:t>
                  </w:r>
                  <w:r>
                    <w:rPr>
                      <w:rFonts w:hint="eastAsia" w:ascii="Times New Roman" w:hAnsi="Times New Roman"/>
                      <w:color w:val="auto"/>
                      <w:sz w:val="21"/>
                      <w:szCs w:val="21"/>
                      <w:highlight w:val="none"/>
                      <w:lang w:val="en-US" w:eastAsia="zh-CN"/>
                    </w:rPr>
                    <w:t>活性炭吸附装置处理后经15m</w:t>
                  </w:r>
                  <w:r>
                    <w:rPr>
                      <w:rFonts w:hint="eastAsia" w:ascii="Times New Roman" w:hAnsi="Times New Roman"/>
                      <w:color w:val="auto"/>
                      <w:sz w:val="21"/>
                      <w:szCs w:val="21"/>
                      <w:highlight w:val="none"/>
                    </w:rPr>
                    <w:t>高排气筒排放</w:t>
                  </w:r>
                  <w:r>
                    <w:rPr>
                      <w:rFonts w:hint="eastAsia" w:ascii="Times New Roman" w:hAnsi="Times New Roman"/>
                      <w:color w:val="auto"/>
                      <w:sz w:val="21"/>
                      <w:szCs w:val="21"/>
                      <w:highlight w:val="none"/>
                      <w:lang w:val="en-US" w:eastAsia="zh-CN"/>
                    </w:rPr>
                    <w:t>，废气</w:t>
                  </w:r>
                  <w:r>
                    <w:rPr>
                      <w:rFonts w:hint="eastAsia" w:ascii="Times New Roman" w:hAnsi="Times New Roman"/>
                      <w:color w:val="auto"/>
                      <w:sz w:val="21"/>
                      <w:szCs w:val="21"/>
                      <w:highlight w:val="none"/>
                    </w:rPr>
                    <w:t>排放量较小</w:t>
                  </w:r>
                  <w:r>
                    <w:rPr>
                      <w:color w:val="auto"/>
                      <w:sz w:val="21"/>
                      <w:szCs w:val="21"/>
                      <w:highlight w:val="none"/>
                    </w:rPr>
                    <w:t>。</w:t>
                  </w:r>
                  <w:r>
                    <w:rPr>
                      <w:rFonts w:hint="eastAsia" w:ascii="Times New Roman" w:hAnsi="Times New Roman" w:eastAsia="宋体" w:cs="Times New Roman"/>
                      <w:color w:val="auto"/>
                      <w:sz w:val="21"/>
                      <w:szCs w:val="21"/>
                      <w:highlight w:val="none"/>
                    </w:rPr>
                    <w:t>不属于</w:t>
                  </w:r>
                  <w:r>
                    <w:rPr>
                      <w:rFonts w:ascii="Times New Roman" w:hAnsi="Times New Roman" w:eastAsia="宋体" w:cs="Times New Roman"/>
                      <w:color w:val="auto"/>
                      <w:sz w:val="21"/>
                      <w:szCs w:val="21"/>
                      <w:highlight w:val="none"/>
                    </w:rPr>
                    <w:t>高VOCs排放建设项目</w:t>
                  </w:r>
                  <w:r>
                    <w:rPr>
                      <w:rFonts w:hint="eastAsia" w:ascii="Times New Roman" w:hAnsi="Times New Roman"/>
                      <w:color w:val="auto"/>
                      <w:sz w:val="21"/>
                      <w:szCs w:val="21"/>
                      <w:highlight w:val="none"/>
                    </w:rPr>
                    <w:t>。</w:t>
                  </w:r>
                </w:p>
              </w:tc>
              <w:tc>
                <w:tcPr>
                  <w:tcW w:w="414" w:type="pct"/>
                  <w:noWrap w:val="0"/>
                  <w:vAlign w:val="center"/>
                </w:tcPr>
                <w:p>
                  <w:pPr>
                    <w:pStyle w:val="94"/>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gridSpan w:val="3"/>
                  <w:noWrap w:val="0"/>
                  <w:vAlign w:val="center"/>
                </w:tcPr>
                <w:p>
                  <w:pPr>
                    <w:pStyle w:val="94"/>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二、加快实施工业源VOCs污染防治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779" w:type="pct"/>
                  <w:noWrap w:val="0"/>
                  <w:vAlign w:val="center"/>
                </w:tcPr>
                <w:p>
                  <w:pPr>
                    <w:pStyle w:val="94"/>
                    <w:spacing w:line="240" w:lineRule="auto"/>
                    <w:ind w:firstLine="0" w:firstLineChars="0"/>
                    <w:jc w:val="center"/>
                    <w:rPr>
                      <w:rFonts w:hint="eastAsia" w:ascii="Times New Roman" w:hAnsi="Times New Roman"/>
                      <w:b/>
                      <w:bCs/>
                      <w:color w:val="auto"/>
                      <w:sz w:val="21"/>
                      <w:szCs w:val="21"/>
                      <w:highlight w:val="none"/>
                    </w:rPr>
                  </w:pPr>
                  <w:r>
                    <w:rPr>
                      <w:rFonts w:hint="eastAsia" w:ascii="Times New Roman" w:hAnsi="Times New Roman"/>
                      <w:b/>
                      <w:bCs/>
                      <w:color w:val="auto"/>
                      <w:sz w:val="21"/>
                      <w:szCs w:val="21"/>
                      <w:highlight w:val="none"/>
                    </w:rPr>
                    <w:t>加大工业涂装</w:t>
                  </w:r>
                  <w:r>
                    <w:rPr>
                      <w:rFonts w:ascii="Times New Roman" w:hAnsi="Times New Roman"/>
                      <w:b/>
                      <w:bCs/>
                      <w:color w:val="auto"/>
                      <w:sz w:val="21"/>
                      <w:szCs w:val="21"/>
                      <w:highlight w:val="none"/>
                    </w:rPr>
                    <w:t>VOCs</w:t>
                  </w:r>
                  <w:r>
                    <w:rPr>
                      <w:rFonts w:hint="eastAsia" w:ascii="Times New Roman" w:hAnsi="Times New Roman"/>
                      <w:b/>
                      <w:bCs/>
                      <w:color w:val="auto"/>
                      <w:sz w:val="21"/>
                      <w:szCs w:val="21"/>
                      <w:highlight w:val="none"/>
                    </w:rPr>
                    <w:t>治理力度。</w:t>
                  </w:r>
                </w:p>
                <w:p>
                  <w:pPr>
                    <w:pStyle w:val="94"/>
                    <w:spacing w:line="240" w:lineRule="auto"/>
                    <w:ind w:firstLine="0" w:firstLineChars="0"/>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汽车制造行业。推进整车制造、改装汽车制造、汽车零部件制造等领域VOCs排放控制。推广使用高固体份、水性涂料，配套使用“三涂一烘”“两涂一烘”或免中涂等紧凑型涂装工艺；推广静电喷涂等高效涂装工艺，鼓励企业采用自动化、智能化喷涂设备替代人工喷涂；配置密闭收集系统，整车制造企业有机废气收集率不低于90%，其他汽车制造企业不低于80%；对喷漆废气建设吸附燃烧等高效治理设施，对烘干废气建设燃烧治理设施，实现达标排放。</w:t>
                  </w:r>
                </w:p>
              </w:tc>
              <w:tc>
                <w:tcPr>
                  <w:tcW w:w="1806" w:type="pct"/>
                  <w:noWrap w:val="0"/>
                  <w:vAlign w:val="center"/>
                </w:tcPr>
                <w:p>
                  <w:pPr>
                    <w:pStyle w:val="94"/>
                    <w:spacing w:line="240" w:lineRule="auto"/>
                    <w:ind w:firstLine="0" w:firstLineChars="0"/>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本项目不属于工业涂装VOCs产生项目。</w:t>
                  </w:r>
                </w:p>
              </w:tc>
              <w:tc>
                <w:tcPr>
                  <w:tcW w:w="414" w:type="pct"/>
                  <w:noWrap w:val="0"/>
                  <w:vAlign w:val="center"/>
                </w:tcPr>
                <w:p>
                  <w:pPr>
                    <w:pStyle w:val="94"/>
                    <w:spacing w:line="240" w:lineRule="auto"/>
                    <w:ind w:firstLine="0" w:firstLineChars="0"/>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是</w:t>
                  </w:r>
                </w:p>
              </w:tc>
            </w:tr>
          </w:tbl>
          <w:p>
            <w:pPr>
              <w:pStyle w:val="71"/>
              <w:autoSpaceDE w:val="0"/>
              <w:autoSpaceDN w:val="0"/>
              <w:rPr>
                <w:rFonts w:ascii="Times New Roman" w:hAnsi="Times New Roman" w:eastAsia="宋体" w:cs="Times New Roman"/>
                <w:color w:val="auto"/>
                <w:sz w:val="24"/>
                <w:highlight w:val="none"/>
                <w:lang w:val="en-US"/>
              </w:rPr>
            </w:pPr>
          </w:p>
          <w:p>
            <w:pPr>
              <w:pStyle w:val="94"/>
              <w:ind w:firstLine="480" w:firstLineChars="200"/>
              <w:rPr>
                <w:rFonts w:ascii="Times New Roman" w:hAnsi="Times New Roman"/>
                <w:b/>
                <w:bCs/>
                <w:color w:val="auto"/>
                <w:kern w:val="2"/>
                <w:highlight w:val="none"/>
                <w:lang w:bidi="zh-CN"/>
              </w:rPr>
            </w:pPr>
            <w:r>
              <w:rPr>
                <w:rFonts w:ascii="Times New Roman" w:hAnsi="Times New Roman"/>
                <w:color w:val="auto"/>
                <w:kern w:val="2"/>
                <w:highlight w:val="none"/>
              </w:rPr>
              <w:t>由上表分析，本项目与</w:t>
            </w:r>
            <w:r>
              <w:rPr>
                <w:rFonts w:hint="eastAsia" w:ascii="Times New Roman" w:hAnsi="Times New Roman"/>
                <w:color w:val="auto"/>
                <w:kern w:val="2"/>
                <w:highlight w:val="none"/>
              </w:rPr>
              <w:t>“</w:t>
            </w:r>
            <w:r>
              <w:rPr>
                <w:rFonts w:ascii="Times New Roman" w:hAnsi="Times New Roman"/>
                <w:color w:val="auto"/>
                <w:kern w:val="2"/>
                <w:highlight w:val="none"/>
              </w:rPr>
              <w:t>十三五</w:t>
            </w:r>
            <w:r>
              <w:rPr>
                <w:rFonts w:hint="eastAsia" w:ascii="Times New Roman" w:hAnsi="Times New Roman"/>
                <w:color w:val="auto"/>
                <w:kern w:val="2"/>
                <w:highlight w:val="none"/>
              </w:rPr>
              <w:t>”</w:t>
            </w:r>
            <w:r>
              <w:rPr>
                <w:rFonts w:ascii="Times New Roman" w:hAnsi="Times New Roman"/>
                <w:color w:val="auto"/>
                <w:kern w:val="2"/>
                <w:highlight w:val="none"/>
              </w:rPr>
              <w:t>挥发性有机物污染防治工作方案是相符的。</w:t>
            </w:r>
          </w:p>
          <w:p>
            <w:pPr>
              <w:pStyle w:val="71"/>
              <w:autoSpaceDE w:val="0"/>
              <w:autoSpaceDN w:val="0"/>
              <w:spacing w:line="360" w:lineRule="auto"/>
              <w:ind w:firstLine="482" w:firstLineChars="200"/>
              <w:jc w:val="both"/>
              <w:rPr>
                <w:color w:val="auto"/>
                <w:kern w:val="0"/>
                <w:sz w:val="24"/>
                <w:highlight w:val="none"/>
              </w:rPr>
            </w:pPr>
            <w:r>
              <w:rPr>
                <w:rFonts w:hint="eastAsia"/>
                <w:b/>
                <w:bCs/>
                <w:color w:val="auto"/>
                <w:sz w:val="24"/>
                <w:highlight w:val="none"/>
                <w:lang w:val="en-US" w:eastAsia="zh-CN"/>
              </w:rPr>
              <w:t>4</w:t>
            </w:r>
            <w:r>
              <w:rPr>
                <w:rFonts w:hint="eastAsia"/>
                <w:b/>
                <w:bCs/>
                <w:color w:val="auto"/>
                <w:sz w:val="24"/>
                <w:highlight w:val="none"/>
                <w:lang w:eastAsia="zh-CN"/>
              </w:rPr>
              <w:t>、</w:t>
            </w:r>
            <w:r>
              <w:rPr>
                <w:b/>
                <w:bCs/>
                <w:color w:val="auto"/>
                <w:sz w:val="24"/>
                <w:highlight w:val="none"/>
              </w:rPr>
              <w:t>与</w:t>
            </w:r>
            <w:r>
              <w:rPr>
                <w:b/>
                <w:bCs/>
                <w:color w:val="auto"/>
                <w:kern w:val="8"/>
                <w:sz w:val="24"/>
                <w:highlight w:val="none"/>
              </w:rPr>
              <w:t>《长春市空气质量巩固提升行动方案》</w:t>
            </w:r>
            <w:r>
              <w:rPr>
                <w:b/>
                <w:bCs/>
                <w:color w:val="auto"/>
                <w:sz w:val="24"/>
                <w:highlight w:val="none"/>
              </w:rPr>
              <w:t>符合性</w:t>
            </w:r>
          </w:p>
          <w:p>
            <w:pPr>
              <w:pStyle w:val="71"/>
              <w:autoSpaceDE w:val="0"/>
              <w:autoSpaceDN w:val="0"/>
              <w:spacing w:line="360" w:lineRule="auto"/>
              <w:ind w:firstLine="480" w:firstLineChars="200"/>
              <w:jc w:val="both"/>
              <w:rPr>
                <w:color w:val="auto"/>
                <w:highlight w:val="none"/>
              </w:rPr>
            </w:pPr>
            <w:r>
              <w:rPr>
                <w:color w:val="auto"/>
                <w:kern w:val="0"/>
                <w:sz w:val="24"/>
                <w:highlight w:val="none"/>
              </w:rPr>
              <w:t>本项目与《长春市空气质量巩固提升行动方案》符合性分析详见下表。</w:t>
            </w:r>
          </w:p>
          <w:p>
            <w:pPr>
              <w:widowControl/>
              <w:jc w:val="center"/>
              <w:rPr>
                <w:color w:val="auto"/>
                <w:kern w:val="0"/>
                <w:sz w:val="24"/>
                <w:highlight w:val="none"/>
              </w:rPr>
            </w:pPr>
            <w:r>
              <w:rPr>
                <w:b/>
                <w:bCs/>
                <w:color w:val="auto"/>
                <w:kern w:val="8"/>
                <w:sz w:val="24"/>
                <w:highlight w:val="none"/>
              </w:rPr>
              <w:t>表1-2</w:t>
            </w:r>
            <w:r>
              <w:rPr>
                <w:b/>
                <w:bCs/>
                <w:color w:val="auto"/>
                <w:sz w:val="24"/>
                <w:highlight w:val="none"/>
              </w:rPr>
              <w:t xml:space="preserve">  </w:t>
            </w:r>
            <w:r>
              <w:rPr>
                <w:b/>
                <w:bCs/>
                <w:color w:val="auto"/>
                <w:kern w:val="8"/>
                <w:sz w:val="24"/>
                <w:highlight w:val="none"/>
              </w:rPr>
              <w:t>与《长春市空气质量巩固提升行动方案》符合性</w:t>
            </w:r>
          </w:p>
          <w:tbl>
            <w:tblPr>
              <w:tblStyle w:val="30"/>
              <w:tblW w:w="747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9"/>
              <w:gridCol w:w="3587"/>
              <w:gridCol w:w="2519"/>
              <w:gridCol w:w="7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33" w:type="pct"/>
                  <w:tcBorders>
                    <w:tl2br w:val="nil"/>
                    <w:tr2bl w:val="nil"/>
                  </w:tcBorders>
                  <w:vAlign w:val="center"/>
                </w:tcPr>
                <w:p>
                  <w:pPr>
                    <w:pStyle w:val="2"/>
                    <w:snapToGrid/>
                    <w:spacing w:before="0" w:after="0" w:line="240" w:lineRule="auto"/>
                    <w:ind w:right="0"/>
                    <w:jc w:val="center"/>
                    <w:rPr>
                      <w:color w:val="auto"/>
                      <w:sz w:val="21"/>
                      <w:szCs w:val="21"/>
                      <w:highlight w:val="none"/>
                    </w:rPr>
                  </w:pPr>
                  <w:r>
                    <w:rPr>
                      <w:color w:val="auto"/>
                      <w:sz w:val="21"/>
                      <w:szCs w:val="21"/>
                      <w:highlight w:val="none"/>
                    </w:rPr>
                    <w:t>类别</w:t>
                  </w:r>
                </w:p>
              </w:tc>
              <w:tc>
                <w:tcPr>
                  <w:tcW w:w="2398" w:type="pct"/>
                  <w:tcBorders>
                    <w:tl2br w:val="nil"/>
                    <w:tr2bl w:val="nil"/>
                  </w:tcBorders>
                  <w:vAlign w:val="center"/>
                </w:tcPr>
                <w:p>
                  <w:pPr>
                    <w:pStyle w:val="2"/>
                    <w:snapToGrid/>
                    <w:spacing w:before="0" w:after="0" w:line="240" w:lineRule="auto"/>
                    <w:ind w:right="0"/>
                    <w:jc w:val="center"/>
                    <w:rPr>
                      <w:color w:val="auto"/>
                      <w:sz w:val="21"/>
                      <w:szCs w:val="21"/>
                      <w:highlight w:val="none"/>
                    </w:rPr>
                  </w:pPr>
                  <w:r>
                    <w:rPr>
                      <w:color w:val="auto"/>
                      <w:sz w:val="21"/>
                      <w:szCs w:val="21"/>
                      <w:highlight w:val="none"/>
                    </w:rPr>
                    <w:t>方案要求内容</w:t>
                  </w:r>
                </w:p>
              </w:tc>
              <w:tc>
                <w:tcPr>
                  <w:tcW w:w="1684" w:type="pct"/>
                  <w:tcBorders>
                    <w:tl2br w:val="nil"/>
                    <w:tr2bl w:val="nil"/>
                  </w:tcBorders>
                  <w:vAlign w:val="center"/>
                </w:tcPr>
                <w:p>
                  <w:pPr>
                    <w:pStyle w:val="2"/>
                    <w:snapToGrid/>
                    <w:spacing w:before="0" w:after="0" w:line="240" w:lineRule="auto"/>
                    <w:ind w:right="0"/>
                    <w:jc w:val="center"/>
                    <w:rPr>
                      <w:color w:val="auto"/>
                      <w:sz w:val="21"/>
                      <w:szCs w:val="21"/>
                      <w:highlight w:val="none"/>
                    </w:rPr>
                  </w:pPr>
                  <w:r>
                    <w:rPr>
                      <w:color w:val="auto"/>
                      <w:sz w:val="21"/>
                      <w:szCs w:val="21"/>
                      <w:highlight w:val="none"/>
                    </w:rPr>
                    <w:t>本项目</w:t>
                  </w:r>
                </w:p>
              </w:tc>
              <w:tc>
                <w:tcPr>
                  <w:tcW w:w="483" w:type="pct"/>
                  <w:tcBorders>
                    <w:tl2br w:val="nil"/>
                    <w:tr2bl w:val="nil"/>
                  </w:tcBorders>
                  <w:vAlign w:val="center"/>
                </w:tcPr>
                <w:p>
                  <w:pPr>
                    <w:pStyle w:val="2"/>
                    <w:snapToGrid/>
                    <w:spacing w:before="0" w:after="0" w:line="240" w:lineRule="auto"/>
                    <w:ind w:right="0"/>
                    <w:jc w:val="center"/>
                    <w:rPr>
                      <w:color w:val="auto"/>
                      <w:sz w:val="21"/>
                      <w:szCs w:val="21"/>
                      <w:highlight w:val="none"/>
                    </w:rPr>
                  </w:pPr>
                  <w:r>
                    <w:rPr>
                      <w:color w:val="auto"/>
                      <w:sz w:val="21"/>
                      <w:szCs w:val="21"/>
                      <w:highlight w:val="none"/>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1" w:hRule="atLeast"/>
                <w:jc w:val="center"/>
              </w:trPr>
              <w:tc>
                <w:tcPr>
                  <w:tcW w:w="433" w:type="pct"/>
                  <w:vMerge w:val="restart"/>
                  <w:tcBorders>
                    <w:tl2br w:val="nil"/>
                    <w:tr2bl w:val="nil"/>
                  </w:tcBorders>
                  <w:vAlign w:val="center"/>
                </w:tcPr>
                <w:p>
                  <w:pPr>
                    <w:widowControl/>
                    <w:jc w:val="center"/>
                    <w:rPr>
                      <w:color w:val="auto"/>
                      <w:szCs w:val="21"/>
                      <w:highlight w:val="none"/>
                    </w:rPr>
                  </w:pPr>
                  <w:r>
                    <w:rPr>
                      <w:color w:val="auto"/>
                      <w:szCs w:val="21"/>
                      <w:highlight w:val="none"/>
                    </w:rPr>
                    <w:t>长春市空气质量巩固提升行动方案</w:t>
                  </w:r>
                </w:p>
              </w:tc>
              <w:tc>
                <w:tcPr>
                  <w:tcW w:w="2398" w:type="pct"/>
                  <w:tcBorders>
                    <w:tl2br w:val="nil"/>
                    <w:tr2bl w:val="nil"/>
                  </w:tcBorders>
                  <w:vAlign w:val="center"/>
                </w:tcPr>
                <w:p>
                  <w:pPr>
                    <w:pStyle w:val="2"/>
                    <w:jc w:val="center"/>
                    <w:rPr>
                      <w:color w:val="auto"/>
                      <w:sz w:val="21"/>
                      <w:szCs w:val="21"/>
                      <w:highlight w:val="none"/>
                    </w:rPr>
                  </w:pPr>
                  <w:r>
                    <w:rPr>
                      <w:color w:val="auto"/>
                      <w:sz w:val="21"/>
                      <w:szCs w:val="21"/>
                      <w:highlight w:val="none"/>
                    </w:rPr>
                    <w:t>持续推进工业污染源全面达标排放。加大工业污染源烟气高效脱硫脱硝、除尘改造力度，确保各项污染物稳定达标排放。重点排污单位全部安装自动监控设备并与生态环境部门联网。对排放不达标的企业按照</w:t>
                  </w:r>
                  <w:r>
                    <w:rPr>
                      <w:rFonts w:hint="eastAsia"/>
                      <w:color w:val="auto"/>
                      <w:sz w:val="21"/>
                      <w:szCs w:val="21"/>
                      <w:highlight w:val="none"/>
                      <w:lang w:eastAsia="zh-CN"/>
                    </w:rPr>
                    <w:t>“</w:t>
                  </w:r>
                  <w:r>
                    <w:rPr>
                      <w:color w:val="auto"/>
                      <w:sz w:val="21"/>
                      <w:szCs w:val="21"/>
                      <w:highlight w:val="none"/>
                    </w:rPr>
                    <w:t>一企一策</w:t>
                  </w:r>
                  <w:r>
                    <w:rPr>
                      <w:rFonts w:hint="eastAsia"/>
                      <w:color w:val="auto"/>
                      <w:sz w:val="21"/>
                      <w:szCs w:val="21"/>
                      <w:highlight w:val="none"/>
                      <w:lang w:eastAsia="zh-CN"/>
                    </w:rPr>
                    <w:t>”</w:t>
                  </w:r>
                  <w:r>
                    <w:rPr>
                      <w:color w:val="auto"/>
                      <w:sz w:val="21"/>
                      <w:szCs w:val="21"/>
                      <w:highlight w:val="none"/>
                    </w:rPr>
                    <w:t>的原则，限期整改到位。全面加强工业无组织排放管控。</w:t>
                  </w:r>
                </w:p>
              </w:tc>
              <w:tc>
                <w:tcPr>
                  <w:tcW w:w="1684" w:type="pct"/>
                  <w:tcBorders>
                    <w:tl2br w:val="nil"/>
                    <w:tr2bl w:val="nil"/>
                  </w:tcBorders>
                  <w:vAlign w:val="center"/>
                </w:tcPr>
                <w:p>
                  <w:pPr>
                    <w:pStyle w:val="2"/>
                    <w:jc w:val="center"/>
                    <w:rPr>
                      <w:color w:val="auto"/>
                      <w:sz w:val="21"/>
                      <w:szCs w:val="21"/>
                      <w:highlight w:val="none"/>
                    </w:rPr>
                  </w:pPr>
                  <w:r>
                    <w:rPr>
                      <w:color w:val="auto"/>
                      <w:sz w:val="21"/>
                      <w:szCs w:val="21"/>
                      <w:highlight w:val="none"/>
                    </w:rPr>
                    <w:t>本项目不属于重点行业，废气污染物执行《合成树脂工业污染物排放标准》（GB31572-2015）中表5大气污染物特别排放限值及《挥发性有机物无组织排放控制标准》（GB37822-2019）附录A特别排放标准要求。</w:t>
                  </w:r>
                </w:p>
              </w:tc>
              <w:tc>
                <w:tcPr>
                  <w:tcW w:w="483" w:type="pct"/>
                  <w:tcBorders>
                    <w:tl2br w:val="nil"/>
                    <w:tr2bl w:val="nil"/>
                  </w:tcBorders>
                  <w:vAlign w:val="center"/>
                </w:tcPr>
                <w:p>
                  <w:pPr>
                    <w:pStyle w:val="2"/>
                    <w:snapToGrid/>
                    <w:spacing w:before="0" w:after="0" w:line="240" w:lineRule="auto"/>
                    <w:ind w:right="0"/>
                    <w:jc w:val="center"/>
                    <w:rPr>
                      <w:color w:val="auto"/>
                      <w:sz w:val="21"/>
                      <w:szCs w:val="21"/>
                      <w:highlight w:val="none"/>
                    </w:rPr>
                  </w:pPr>
                  <w:r>
                    <w:rPr>
                      <w:color w:val="auto"/>
                      <w:sz w:val="21"/>
                      <w:szCs w:val="21"/>
                      <w:highlight w:val="non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20" w:hRule="atLeast"/>
                <w:jc w:val="center"/>
              </w:trPr>
              <w:tc>
                <w:tcPr>
                  <w:tcW w:w="433" w:type="pct"/>
                  <w:vMerge w:val="continue"/>
                  <w:tcBorders>
                    <w:tl2br w:val="nil"/>
                    <w:tr2bl w:val="nil"/>
                  </w:tcBorders>
                  <w:vAlign w:val="center"/>
                </w:tcPr>
                <w:p>
                  <w:pPr>
                    <w:pStyle w:val="2"/>
                    <w:snapToGrid/>
                    <w:spacing w:before="0" w:after="0" w:line="240" w:lineRule="auto"/>
                    <w:ind w:right="0"/>
                    <w:jc w:val="center"/>
                    <w:rPr>
                      <w:color w:val="auto"/>
                      <w:sz w:val="21"/>
                      <w:szCs w:val="21"/>
                      <w:highlight w:val="none"/>
                    </w:rPr>
                  </w:pPr>
                </w:p>
              </w:tc>
              <w:tc>
                <w:tcPr>
                  <w:tcW w:w="2398" w:type="pct"/>
                  <w:tcBorders>
                    <w:tl2br w:val="nil"/>
                    <w:tr2bl w:val="nil"/>
                  </w:tcBorders>
                  <w:vAlign w:val="center"/>
                </w:tcPr>
                <w:p>
                  <w:pPr>
                    <w:pStyle w:val="2"/>
                    <w:snapToGrid/>
                    <w:spacing w:before="0" w:after="0" w:line="240" w:lineRule="auto"/>
                    <w:ind w:right="0"/>
                    <w:jc w:val="center"/>
                    <w:rPr>
                      <w:color w:val="auto"/>
                      <w:sz w:val="21"/>
                      <w:szCs w:val="21"/>
                      <w:highlight w:val="none"/>
                    </w:rPr>
                  </w:pPr>
                  <w:r>
                    <w:rPr>
                      <w:color w:val="auto"/>
                      <w:sz w:val="21"/>
                      <w:szCs w:val="21"/>
                      <w:highlight w:val="none"/>
                    </w:rPr>
                    <w:t>加强</w:t>
                  </w:r>
                  <w:r>
                    <w:rPr>
                      <w:rFonts w:hint="eastAsia"/>
                      <w:color w:val="auto"/>
                      <w:sz w:val="21"/>
                      <w:szCs w:val="21"/>
                      <w:highlight w:val="none"/>
                      <w:lang w:eastAsia="zh-CN"/>
                    </w:rPr>
                    <w:t>“</w:t>
                  </w:r>
                  <w:r>
                    <w:rPr>
                      <w:color w:val="auto"/>
                      <w:sz w:val="21"/>
                      <w:szCs w:val="21"/>
                      <w:highlight w:val="none"/>
                    </w:rPr>
                    <w:t>散乱污</w:t>
                  </w:r>
                  <w:r>
                    <w:rPr>
                      <w:rFonts w:hint="eastAsia"/>
                      <w:color w:val="auto"/>
                      <w:sz w:val="21"/>
                      <w:szCs w:val="21"/>
                      <w:highlight w:val="none"/>
                      <w:lang w:eastAsia="zh-CN"/>
                    </w:rPr>
                    <w:t>”</w:t>
                  </w:r>
                  <w:r>
                    <w:rPr>
                      <w:color w:val="auto"/>
                      <w:sz w:val="21"/>
                      <w:szCs w:val="21"/>
                      <w:highlight w:val="none"/>
                    </w:rPr>
                    <w:t>企业监管。建立</w:t>
                  </w:r>
                  <w:r>
                    <w:rPr>
                      <w:rFonts w:hint="eastAsia"/>
                      <w:color w:val="auto"/>
                      <w:sz w:val="21"/>
                      <w:szCs w:val="21"/>
                      <w:highlight w:val="none"/>
                      <w:lang w:eastAsia="zh-CN"/>
                    </w:rPr>
                    <w:t>“</w:t>
                  </w:r>
                  <w:r>
                    <w:rPr>
                      <w:color w:val="auto"/>
                      <w:sz w:val="21"/>
                      <w:szCs w:val="21"/>
                      <w:highlight w:val="none"/>
                    </w:rPr>
                    <w:t>散乱污</w:t>
                  </w:r>
                  <w:r>
                    <w:rPr>
                      <w:rFonts w:hint="eastAsia"/>
                      <w:color w:val="auto"/>
                      <w:sz w:val="21"/>
                      <w:szCs w:val="21"/>
                      <w:highlight w:val="none"/>
                      <w:lang w:eastAsia="zh-CN"/>
                    </w:rPr>
                    <w:t>”</w:t>
                  </w:r>
                  <w:r>
                    <w:rPr>
                      <w:color w:val="auto"/>
                      <w:sz w:val="21"/>
                      <w:szCs w:val="21"/>
                      <w:highlight w:val="none"/>
                    </w:rPr>
                    <w:t>企业动态管理机制，对完成整治的</w:t>
                  </w:r>
                  <w:r>
                    <w:rPr>
                      <w:rFonts w:hint="eastAsia"/>
                      <w:color w:val="auto"/>
                      <w:sz w:val="21"/>
                      <w:szCs w:val="21"/>
                      <w:highlight w:val="none"/>
                      <w:lang w:eastAsia="zh-CN"/>
                    </w:rPr>
                    <w:t>“</w:t>
                  </w:r>
                  <w:r>
                    <w:rPr>
                      <w:color w:val="auto"/>
                      <w:sz w:val="21"/>
                      <w:szCs w:val="21"/>
                      <w:highlight w:val="none"/>
                    </w:rPr>
                    <w:t>散乱污</w:t>
                  </w:r>
                  <w:r>
                    <w:rPr>
                      <w:rFonts w:hint="eastAsia"/>
                      <w:color w:val="auto"/>
                      <w:sz w:val="21"/>
                      <w:szCs w:val="21"/>
                      <w:highlight w:val="none"/>
                      <w:lang w:eastAsia="zh-CN"/>
                    </w:rPr>
                    <w:t>”</w:t>
                  </w:r>
                  <w:r>
                    <w:rPr>
                      <w:color w:val="auto"/>
                      <w:sz w:val="21"/>
                      <w:szCs w:val="21"/>
                      <w:highlight w:val="none"/>
                    </w:rPr>
                    <w:t>企业开展</w:t>
                  </w:r>
                  <w:r>
                    <w:rPr>
                      <w:rFonts w:hint="eastAsia"/>
                      <w:color w:val="auto"/>
                      <w:sz w:val="21"/>
                      <w:szCs w:val="21"/>
                      <w:highlight w:val="none"/>
                      <w:lang w:eastAsia="zh-CN"/>
                    </w:rPr>
                    <w:t>“</w:t>
                  </w:r>
                  <w:r>
                    <w:rPr>
                      <w:color w:val="auto"/>
                      <w:sz w:val="21"/>
                      <w:szCs w:val="21"/>
                      <w:highlight w:val="none"/>
                    </w:rPr>
                    <w:t>回头看</w:t>
                  </w:r>
                  <w:r>
                    <w:rPr>
                      <w:rFonts w:hint="eastAsia"/>
                      <w:color w:val="auto"/>
                      <w:sz w:val="21"/>
                      <w:szCs w:val="21"/>
                      <w:highlight w:val="none"/>
                      <w:lang w:eastAsia="zh-CN"/>
                    </w:rPr>
                    <w:t>”</w:t>
                  </w:r>
                  <w:r>
                    <w:rPr>
                      <w:color w:val="auto"/>
                      <w:sz w:val="21"/>
                      <w:szCs w:val="21"/>
                      <w:highlight w:val="none"/>
                    </w:rPr>
                    <w:t>，及时更新动态管理台账，坚决杜绝已取缔的</w:t>
                  </w:r>
                  <w:r>
                    <w:rPr>
                      <w:rFonts w:hint="eastAsia"/>
                      <w:color w:val="auto"/>
                      <w:sz w:val="21"/>
                      <w:szCs w:val="21"/>
                      <w:highlight w:val="none"/>
                      <w:lang w:eastAsia="zh-CN"/>
                    </w:rPr>
                    <w:t>“</w:t>
                  </w:r>
                  <w:r>
                    <w:rPr>
                      <w:color w:val="auto"/>
                      <w:sz w:val="21"/>
                      <w:szCs w:val="21"/>
                      <w:highlight w:val="none"/>
                    </w:rPr>
                    <w:t>散乱污</w:t>
                  </w:r>
                  <w:r>
                    <w:rPr>
                      <w:rFonts w:hint="eastAsia"/>
                      <w:color w:val="auto"/>
                      <w:sz w:val="21"/>
                      <w:szCs w:val="21"/>
                      <w:highlight w:val="none"/>
                      <w:lang w:eastAsia="zh-CN"/>
                    </w:rPr>
                    <w:t>”</w:t>
                  </w:r>
                  <w:r>
                    <w:rPr>
                      <w:color w:val="auto"/>
                      <w:sz w:val="21"/>
                      <w:szCs w:val="21"/>
                      <w:highlight w:val="none"/>
                    </w:rPr>
                    <w:t>企业死灰复燃、异地转移；对新发现的</w:t>
                  </w:r>
                  <w:r>
                    <w:rPr>
                      <w:rFonts w:hint="eastAsia"/>
                      <w:color w:val="auto"/>
                      <w:sz w:val="21"/>
                      <w:szCs w:val="21"/>
                      <w:highlight w:val="none"/>
                      <w:lang w:eastAsia="zh-CN"/>
                    </w:rPr>
                    <w:t>“</w:t>
                  </w:r>
                  <w:r>
                    <w:rPr>
                      <w:color w:val="auto"/>
                      <w:sz w:val="21"/>
                      <w:szCs w:val="21"/>
                      <w:highlight w:val="none"/>
                    </w:rPr>
                    <w:t>散乱污</w:t>
                  </w:r>
                  <w:r>
                    <w:rPr>
                      <w:rFonts w:hint="eastAsia"/>
                      <w:color w:val="auto"/>
                      <w:sz w:val="21"/>
                      <w:szCs w:val="21"/>
                      <w:highlight w:val="none"/>
                      <w:lang w:eastAsia="zh-CN"/>
                    </w:rPr>
                    <w:t>”</w:t>
                  </w:r>
                  <w:r>
                    <w:rPr>
                      <w:color w:val="auto"/>
                      <w:sz w:val="21"/>
                      <w:szCs w:val="21"/>
                      <w:highlight w:val="none"/>
                    </w:rPr>
                    <w:t>企业依法限期整治，对不符合国家产业政策、治理无望的</w:t>
                  </w:r>
                  <w:r>
                    <w:rPr>
                      <w:rFonts w:hint="eastAsia"/>
                      <w:color w:val="auto"/>
                      <w:sz w:val="21"/>
                      <w:szCs w:val="21"/>
                      <w:highlight w:val="none"/>
                      <w:lang w:eastAsia="zh-CN"/>
                    </w:rPr>
                    <w:t>“</w:t>
                  </w:r>
                  <w:r>
                    <w:rPr>
                      <w:color w:val="auto"/>
                      <w:sz w:val="21"/>
                      <w:szCs w:val="21"/>
                      <w:highlight w:val="none"/>
                    </w:rPr>
                    <w:t>散乱污</w:t>
                  </w:r>
                  <w:r>
                    <w:rPr>
                      <w:rFonts w:hint="eastAsia"/>
                      <w:color w:val="auto"/>
                      <w:sz w:val="21"/>
                      <w:szCs w:val="21"/>
                      <w:highlight w:val="none"/>
                      <w:lang w:eastAsia="zh-CN"/>
                    </w:rPr>
                    <w:t>”</w:t>
                  </w:r>
                  <w:r>
                    <w:rPr>
                      <w:color w:val="auto"/>
                      <w:sz w:val="21"/>
                      <w:szCs w:val="21"/>
                      <w:highlight w:val="none"/>
                    </w:rPr>
                    <w:t>企业，依法关停取缔。</w:t>
                  </w:r>
                </w:p>
              </w:tc>
              <w:tc>
                <w:tcPr>
                  <w:tcW w:w="1684" w:type="pct"/>
                  <w:tcBorders>
                    <w:tl2br w:val="nil"/>
                    <w:tr2bl w:val="nil"/>
                  </w:tcBorders>
                  <w:vAlign w:val="center"/>
                </w:tcPr>
                <w:p>
                  <w:pPr>
                    <w:pStyle w:val="2"/>
                    <w:snapToGrid/>
                    <w:spacing w:before="0" w:after="0" w:line="240" w:lineRule="auto"/>
                    <w:ind w:right="0"/>
                    <w:jc w:val="center"/>
                    <w:rPr>
                      <w:color w:val="auto"/>
                      <w:kern w:val="2"/>
                      <w:sz w:val="21"/>
                      <w:szCs w:val="21"/>
                      <w:highlight w:val="none"/>
                    </w:rPr>
                  </w:pPr>
                  <w:r>
                    <w:rPr>
                      <w:color w:val="auto"/>
                      <w:kern w:val="2"/>
                      <w:sz w:val="21"/>
                      <w:szCs w:val="21"/>
                      <w:highlight w:val="none"/>
                    </w:rPr>
                    <w:t>本项目不属于上述项目</w:t>
                  </w:r>
                  <w:r>
                    <w:rPr>
                      <w:color w:val="auto"/>
                      <w:sz w:val="21"/>
                      <w:szCs w:val="21"/>
                      <w:highlight w:val="none"/>
                    </w:rPr>
                    <w:t>。</w:t>
                  </w:r>
                </w:p>
              </w:tc>
              <w:tc>
                <w:tcPr>
                  <w:tcW w:w="483" w:type="pct"/>
                  <w:tcBorders>
                    <w:tl2br w:val="nil"/>
                    <w:tr2bl w:val="nil"/>
                  </w:tcBorders>
                  <w:vAlign w:val="center"/>
                </w:tcPr>
                <w:p>
                  <w:pPr>
                    <w:snapToGrid/>
                    <w:spacing w:before="0" w:after="0" w:line="240" w:lineRule="auto"/>
                    <w:ind w:right="0"/>
                    <w:jc w:val="center"/>
                    <w:rPr>
                      <w:color w:val="auto"/>
                      <w:kern w:val="2"/>
                      <w:sz w:val="21"/>
                      <w:szCs w:val="21"/>
                      <w:highlight w:val="none"/>
                    </w:rPr>
                  </w:pPr>
                  <w:r>
                    <w:rPr>
                      <w:color w:val="auto"/>
                      <w:sz w:val="21"/>
                      <w:szCs w:val="21"/>
                      <w:highlight w:val="non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26" w:hRule="atLeast"/>
                <w:jc w:val="center"/>
              </w:trPr>
              <w:tc>
                <w:tcPr>
                  <w:tcW w:w="433" w:type="pct"/>
                  <w:vMerge w:val="continue"/>
                  <w:tcBorders>
                    <w:tl2br w:val="nil"/>
                    <w:tr2bl w:val="nil"/>
                  </w:tcBorders>
                  <w:vAlign w:val="center"/>
                </w:tcPr>
                <w:p>
                  <w:pPr>
                    <w:pStyle w:val="2"/>
                    <w:snapToGrid/>
                    <w:spacing w:before="0" w:after="0" w:line="240" w:lineRule="auto"/>
                    <w:ind w:right="0"/>
                    <w:jc w:val="center"/>
                    <w:rPr>
                      <w:color w:val="auto"/>
                      <w:sz w:val="21"/>
                      <w:szCs w:val="21"/>
                      <w:highlight w:val="none"/>
                    </w:rPr>
                  </w:pPr>
                </w:p>
              </w:tc>
              <w:tc>
                <w:tcPr>
                  <w:tcW w:w="2398" w:type="pct"/>
                  <w:tcBorders>
                    <w:tl2br w:val="nil"/>
                    <w:tr2bl w:val="nil"/>
                  </w:tcBorders>
                  <w:vAlign w:val="center"/>
                </w:tcPr>
                <w:p>
                  <w:pPr>
                    <w:pStyle w:val="2"/>
                    <w:snapToGrid/>
                    <w:spacing w:before="0" w:after="0" w:line="240" w:lineRule="auto"/>
                    <w:ind w:right="0" w:rightChars="0"/>
                    <w:jc w:val="center"/>
                    <w:rPr>
                      <w:rFonts w:ascii="Times New Roman" w:hAnsi="Times New Roman" w:eastAsia="宋体" w:cs="Times New Roman"/>
                      <w:color w:val="auto"/>
                      <w:kern w:val="0"/>
                      <w:sz w:val="21"/>
                      <w:szCs w:val="21"/>
                      <w:highlight w:val="none"/>
                      <w:lang w:val="en-US" w:eastAsia="zh-CN" w:bidi="ar-SA"/>
                    </w:rPr>
                  </w:pPr>
                  <w:r>
                    <w:rPr>
                      <w:color w:val="auto"/>
                      <w:sz w:val="21"/>
                      <w:szCs w:val="21"/>
                      <w:highlight w:val="none"/>
                    </w:rPr>
                    <w:t>深化重点行业挥发性有机物（VOCs）治理。全面推进挥发性有机物总量减排，深入推进石化、化工、工业涂装、包装印刷和油品储运销等行业挥发性有机物深度治理，加强高效收集治理设施建设，实现排气筒与厂界双达标</w:t>
                  </w:r>
                  <w:r>
                    <w:rPr>
                      <w:rFonts w:hint="eastAsia"/>
                      <w:color w:val="auto"/>
                      <w:sz w:val="21"/>
                      <w:szCs w:val="21"/>
                      <w:highlight w:val="none"/>
                    </w:rPr>
                    <w:t>，除恶臭异味治理外，一般不采用低温等离子、光催化、光氧化等技术。</w:t>
                  </w:r>
                  <w:r>
                    <w:rPr>
                      <w:color w:val="auto"/>
                      <w:sz w:val="21"/>
                      <w:szCs w:val="21"/>
                      <w:highlight w:val="none"/>
                    </w:rPr>
                    <w:t>加快推进挥发性有机物排放重点企业、产业集中园区治理和在线监控设施建设，推动挥发性有机物产品源头替代。</w:t>
                  </w:r>
                </w:p>
              </w:tc>
              <w:tc>
                <w:tcPr>
                  <w:tcW w:w="1684" w:type="pct"/>
                  <w:tcBorders>
                    <w:tl2br w:val="nil"/>
                    <w:tr2bl w:val="nil"/>
                  </w:tcBorders>
                  <w:vAlign w:val="center"/>
                </w:tcPr>
                <w:p>
                  <w:pPr>
                    <w:jc w:val="center"/>
                    <w:rPr>
                      <w:rFonts w:hint="eastAsia" w:ascii="Times New Roman" w:hAnsi="Times New Roman" w:eastAsia="宋体" w:cs="Times New Roman"/>
                      <w:color w:val="auto"/>
                      <w:kern w:val="0"/>
                      <w:sz w:val="21"/>
                      <w:szCs w:val="21"/>
                      <w:highlight w:val="none"/>
                      <w:lang w:val="en-US" w:eastAsia="zh-CN" w:bidi="ar-SA"/>
                    </w:rPr>
                  </w:pPr>
                  <w:r>
                    <w:rPr>
                      <w:color w:val="auto"/>
                      <w:sz w:val="21"/>
                      <w:szCs w:val="21"/>
                      <w:highlight w:val="none"/>
                    </w:rPr>
                    <w:t>本项目采用环保清洗剂为低挥发性有机物含量的原辅材料，且安装集气高效集气装置，提升工艺废气、尾气的收集处置率。</w:t>
                  </w:r>
                </w:p>
              </w:tc>
              <w:tc>
                <w:tcPr>
                  <w:tcW w:w="483" w:type="pct"/>
                  <w:tcBorders>
                    <w:tl2br w:val="nil"/>
                    <w:tr2bl w:val="nil"/>
                  </w:tcBorders>
                  <w:vAlign w:val="center"/>
                </w:tcPr>
                <w:p>
                  <w:pPr>
                    <w:snapToGrid/>
                    <w:spacing w:before="0" w:after="0" w:line="240" w:lineRule="auto"/>
                    <w:ind w:right="0"/>
                    <w:jc w:val="center"/>
                    <w:rPr>
                      <w:color w:val="auto"/>
                      <w:kern w:val="2"/>
                      <w:sz w:val="21"/>
                      <w:szCs w:val="21"/>
                      <w:highlight w:val="none"/>
                    </w:rPr>
                  </w:pPr>
                  <w:r>
                    <w:rPr>
                      <w:color w:val="auto"/>
                      <w:sz w:val="21"/>
                      <w:szCs w:val="21"/>
                      <w:highlight w:val="none"/>
                    </w:rPr>
                    <w:t>符合</w:t>
                  </w:r>
                </w:p>
              </w:tc>
            </w:tr>
          </w:tbl>
          <w:p>
            <w:pPr>
              <w:pStyle w:val="75"/>
              <w:spacing w:line="240" w:lineRule="auto"/>
              <w:ind w:firstLine="482" w:firstLineChars="200"/>
              <w:jc w:val="both"/>
              <w:rPr>
                <w:bCs/>
                <w:color w:val="auto"/>
                <w:kern w:val="2"/>
                <w:sz w:val="24"/>
                <w:szCs w:val="22"/>
                <w:highlight w:val="none"/>
              </w:rPr>
            </w:pPr>
          </w:p>
          <w:p>
            <w:pPr>
              <w:pStyle w:val="71"/>
              <w:autoSpaceDE w:val="0"/>
              <w:autoSpaceDN w:val="0"/>
              <w:spacing w:line="360" w:lineRule="auto"/>
              <w:ind w:firstLine="482" w:firstLineChars="200"/>
              <w:jc w:val="both"/>
              <w:rPr>
                <w:rFonts w:ascii="Times New Roman" w:hAnsi="Times New Roman" w:eastAsia="宋体" w:cs="Times New Roman"/>
                <w:b/>
                <w:bCs/>
                <w:color w:val="auto"/>
                <w:kern w:val="8"/>
                <w:sz w:val="24"/>
                <w:highlight w:val="none"/>
                <w:lang w:val="en-US" w:bidi="ar-SA"/>
              </w:rPr>
            </w:pPr>
            <w:r>
              <w:rPr>
                <w:rFonts w:hint="eastAsia"/>
                <w:b/>
                <w:bCs/>
                <w:color w:val="auto"/>
                <w:sz w:val="24"/>
                <w:highlight w:val="none"/>
                <w:lang w:val="en-US" w:eastAsia="zh-CN"/>
              </w:rPr>
              <w:t>5、</w:t>
            </w:r>
            <w:r>
              <w:rPr>
                <w:rFonts w:hint="eastAsia"/>
                <w:b/>
                <w:bCs/>
                <w:color w:val="auto"/>
                <w:sz w:val="24"/>
                <w:highlight w:val="none"/>
                <w:lang w:val="en-US"/>
              </w:rPr>
              <w:t>与</w:t>
            </w:r>
            <w:r>
              <w:rPr>
                <w:rFonts w:hint="eastAsia"/>
                <w:b/>
                <w:bCs/>
                <w:color w:val="auto"/>
                <w:sz w:val="24"/>
                <w:highlight w:val="none"/>
                <w:lang w:val="en-US" w:eastAsia="zh-CN"/>
              </w:rPr>
              <w:t>“</w:t>
            </w:r>
            <w:r>
              <w:rPr>
                <w:rFonts w:hint="eastAsia"/>
                <w:b/>
                <w:bCs/>
                <w:color w:val="auto"/>
                <w:sz w:val="24"/>
                <w:highlight w:val="none"/>
                <w:lang w:val="en-US"/>
              </w:rPr>
              <w:t>长春市挥发性</w:t>
            </w:r>
            <w:r>
              <w:rPr>
                <w:rFonts w:hint="eastAsia" w:ascii="宋体" w:hAnsi="宋体" w:eastAsia="宋体" w:cs="宋体"/>
                <w:b/>
                <w:bCs/>
                <w:color w:val="auto"/>
                <w:sz w:val="24"/>
                <w:highlight w:val="none"/>
                <w:lang w:val="en-US"/>
              </w:rPr>
              <w:t>有机物污染防治工作实施方案</w:t>
            </w:r>
            <w:r>
              <w:rPr>
                <w:rFonts w:hint="eastAsia" w:ascii="宋体" w:hAnsi="宋体" w:cs="宋体"/>
                <w:b/>
                <w:bCs/>
                <w:color w:val="auto"/>
                <w:sz w:val="24"/>
                <w:highlight w:val="none"/>
                <w:lang w:val="en-US" w:eastAsia="zh-CN"/>
              </w:rPr>
              <w:t>”</w:t>
            </w:r>
            <w:r>
              <w:rPr>
                <w:rFonts w:ascii="Times New Roman" w:hAnsi="Times New Roman" w:eastAsia="宋体" w:cs="Times New Roman"/>
                <w:b/>
                <w:bCs/>
                <w:color w:val="auto"/>
                <w:sz w:val="24"/>
                <w:highlight w:val="none"/>
                <w:lang w:val="en-US"/>
              </w:rPr>
              <w:t>（长气办[2019]3号）的符合性分析</w:t>
            </w:r>
          </w:p>
          <w:p>
            <w:pPr>
              <w:pStyle w:val="71"/>
              <w:autoSpaceDE w:val="0"/>
              <w:autoSpaceDN w:val="0"/>
              <w:jc w:val="center"/>
              <w:rPr>
                <w:rFonts w:ascii="Times New Roman" w:hAnsi="Times New Roman" w:eastAsia="宋体" w:cs="Times New Roman"/>
                <w:b/>
                <w:bCs/>
                <w:color w:val="auto"/>
                <w:kern w:val="8"/>
                <w:sz w:val="24"/>
                <w:highlight w:val="none"/>
                <w:lang w:val="en-US" w:bidi="ar-SA"/>
              </w:rPr>
            </w:pPr>
            <w:r>
              <w:rPr>
                <w:rFonts w:hint="eastAsia" w:ascii="Times New Roman" w:hAnsi="Times New Roman" w:eastAsia="宋体" w:cs="Times New Roman"/>
                <w:b/>
                <w:bCs/>
                <w:color w:val="auto"/>
                <w:kern w:val="8"/>
                <w:sz w:val="24"/>
                <w:highlight w:val="none"/>
                <w:lang w:val="en-US" w:bidi="ar-SA"/>
              </w:rPr>
              <w:t>表1</w:t>
            </w:r>
            <w:r>
              <w:rPr>
                <w:rFonts w:hint="eastAsia" w:ascii="Times New Roman" w:hAnsi="Times New Roman" w:eastAsia="宋体" w:cs="Times New Roman"/>
                <w:b/>
                <w:bCs/>
                <w:color w:val="auto"/>
                <w:kern w:val="8"/>
                <w:sz w:val="24"/>
                <w:highlight w:val="none"/>
                <w:lang w:val="en-US" w:eastAsia="zh-CN" w:bidi="ar-SA"/>
              </w:rPr>
              <w:t>-</w:t>
            </w:r>
            <w:r>
              <w:rPr>
                <w:rFonts w:hint="eastAsia" w:cs="Times New Roman"/>
                <w:b/>
                <w:bCs/>
                <w:color w:val="auto"/>
                <w:kern w:val="8"/>
                <w:sz w:val="24"/>
                <w:highlight w:val="none"/>
                <w:lang w:val="en-US" w:eastAsia="zh-CN" w:bidi="ar-SA"/>
              </w:rPr>
              <w:t>3</w:t>
            </w:r>
            <w:r>
              <w:rPr>
                <w:rFonts w:hint="eastAsia" w:ascii="Times New Roman" w:hAnsi="Times New Roman" w:eastAsia="宋体" w:cs="Times New Roman"/>
                <w:b/>
                <w:bCs/>
                <w:color w:val="auto"/>
                <w:kern w:val="8"/>
                <w:sz w:val="24"/>
                <w:highlight w:val="none"/>
                <w:lang w:val="en-US" w:bidi="ar-SA"/>
              </w:rPr>
              <w:t xml:space="preserve">  </w:t>
            </w:r>
            <w:r>
              <w:rPr>
                <w:rFonts w:ascii="Times New Roman" w:hAnsi="Times New Roman" w:eastAsia="宋体" w:cs="Times New Roman"/>
                <w:b/>
                <w:bCs/>
                <w:color w:val="auto"/>
                <w:kern w:val="8"/>
                <w:sz w:val="24"/>
                <w:highlight w:val="none"/>
                <w:lang w:val="en-US" w:bidi="ar-SA"/>
              </w:rPr>
              <w:t xml:space="preserve"> </w:t>
            </w:r>
            <w:r>
              <w:rPr>
                <w:rFonts w:hint="eastAsia" w:ascii="宋体" w:hAnsi="宋体" w:eastAsia="宋体" w:cs="宋体"/>
                <w:b/>
                <w:bCs/>
                <w:color w:val="auto"/>
                <w:kern w:val="8"/>
                <w:sz w:val="24"/>
                <w:highlight w:val="none"/>
                <w:lang w:val="en-US" w:bidi="ar-SA"/>
              </w:rPr>
              <w:t>与</w:t>
            </w:r>
            <w:r>
              <w:rPr>
                <w:rFonts w:hint="eastAsia" w:ascii="宋体" w:hAnsi="宋体" w:cs="宋体"/>
                <w:b/>
                <w:bCs/>
                <w:color w:val="auto"/>
                <w:kern w:val="8"/>
                <w:sz w:val="24"/>
                <w:highlight w:val="none"/>
                <w:lang w:val="en-US" w:eastAsia="zh-CN" w:bidi="ar-SA"/>
              </w:rPr>
              <w:t>“</w:t>
            </w:r>
            <w:r>
              <w:rPr>
                <w:rFonts w:hint="eastAsia" w:ascii="宋体" w:hAnsi="宋体" w:eastAsia="宋体" w:cs="宋体"/>
                <w:b/>
                <w:bCs/>
                <w:color w:val="auto"/>
                <w:kern w:val="8"/>
                <w:sz w:val="24"/>
                <w:highlight w:val="none"/>
                <w:lang w:val="en-US" w:bidi="ar-SA"/>
              </w:rPr>
              <w:t>长春市挥发性有机物污染防治工作实施方案</w:t>
            </w:r>
            <w:r>
              <w:rPr>
                <w:rFonts w:hint="eastAsia" w:ascii="宋体" w:hAnsi="宋体" w:cs="宋体"/>
                <w:b/>
                <w:bCs/>
                <w:color w:val="auto"/>
                <w:kern w:val="8"/>
                <w:sz w:val="24"/>
                <w:highlight w:val="none"/>
                <w:lang w:val="en-US" w:eastAsia="zh-CN" w:bidi="ar-SA"/>
              </w:rPr>
              <w:t>”</w:t>
            </w:r>
            <w:r>
              <w:rPr>
                <w:rFonts w:ascii="Times New Roman" w:hAnsi="Times New Roman" w:eastAsia="宋体" w:cs="Times New Roman"/>
                <w:b/>
                <w:bCs/>
                <w:color w:val="auto"/>
                <w:kern w:val="8"/>
                <w:sz w:val="24"/>
                <w:highlight w:val="none"/>
                <w:lang w:val="en-US" w:bidi="ar-SA"/>
              </w:rPr>
              <w:t>分析一览表</w:t>
            </w:r>
          </w:p>
          <w:tbl>
            <w:tblPr>
              <w:tblStyle w:val="30"/>
              <w:tblW w:w="747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307"/>
              <w:gridCol w:w="3516"/>
              <w:gridCol w:w="6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211" w:type="pct"/>
                  <w:noWrap w:val="0"/>
                  <w:vAlign w:val="center"/>
                </w:tcPr>
                <w:p>
                  <w:pPr>
                    <w:pStyle w:val="94"/>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长春市挥发性有机物污染防治工作实施方案</w:t>
                  </w:r>
                </w:p>
              </w:tc>
              <w:tc>
                <w:tcPr>
                  <w:tcW w:w="2350" w:type="pct"/>
                  <w:noWrap w:val="0"/>
                  <w:vAlign w:val="center"/>
                </w:tcPr>
                <w:p>
                  <w:pPr>
                    <w:pStyle w:val="94"/>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本项目情况</w:t>
                  </w:r>
                </w:p>
              </w:tc>
              <w:tc>
                <w:tcPr>
                  <w:tcW w:w="437" w:type="pct"/>
                  <w:noWrap w:val="0"/>
                  <w:vAlign w:val="center"/>
                </w:tcPr>
                <w:p>
                  <w:pPr>
                    <w:pStyle w:val="94"/>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是否符合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2211" w:type="pct"/>
                  <w:noWrap w:val="0"/>
                  <w:vAlign w:val="center"/>
                </w:tcPr>
                <w:p>
                  <w:pPr>
                    <w:pStyle w:val="94"/>
                    <w:spacing w:line="240" w:lineRule="auto"/>
                    <w:ind w:firstLine="0" w:firstLineChars="0"/>
                    <w:jc w:val="center"/>
                    <w:rPr>
                      <w:rFonts w:ascii="Times New Roman" w:hAnsi="Times New Roman"/>
                      <w:b/>
                      <w:bCs/>
                      <w:color w:val="auto"/>
                      <w:sz w:val="21"/>
                      <w:szCs w:val="21"/>
                      <w:highlight w:val="none"/>
                    </w:rPr>
                  </w:pPr>
                  <w:r>
                    <w:rPr>
                      <w:rFonts w:ascii="Times New Roman" w:hAnsi="Times New Roman"/>
                      <w:b/>
                      <w:bCs/>
                      <w:color w:val="auto"/>
                      <w:sz w:val="21"/>
                      <w:szCs w:val="21"/>
                      <w:highlight w:val="none"/>
                    </w:rPr>
                    <w:t>加大产业</w:t>
                  </w:r>
                  <w:r>
                    <w:rPr>
                      <w:rFonts w:hint="eastAsia" w:ascii="Times New Roman" w:hAnsi="Times New Roman"/>
                      <w:b/>
                      <w:bCs/>
                      <w:color w:val="auto"/>
                      <w:sz w:val="21"/>
                      <w:szCs w:val="21"/>
                      <w:highlight w:val="none"/>
                    </w:rPr>
                    <w:t>结构</w:t>
                  </w:r>
                  <w:r>
                    <w:rPr>
                      <w:rFonts w:ascii="Times New Roman" w:hAnsi="Times New Roman"/>
                      <w:b/>
                      <w:bCs/>
                      <w:color w:val="auto"/>
                      <w:sz w:val="21"/>
                      <w:szCs w:val="21"/>
                      <w:highlight w:val="none"/>
                    </w:rPr>
                    <w:t>调整力度。</w:t>
                  </w:r>
                </w:p>
                <w:p>
                  <w:pPr>
                    <w:pStyle w:val="94"/>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加快推进涉VOCs排放的</w:t>
                  </w:r>
                  <w:r>
                    <w:rPr>
                      <w:rFonts w:hint="eastAsia" w:ascii="Times New Roman" w:hAnsi="Times New Roman"/>
                      <w:color w:val="auto"/>
                      <w:sz w:val="21"/>
                      <w:szCs w:val="21"/>
                      <w:highlight w:val="none"/>
                      <w:lang w:eastAsia="zh-CN"/>
                    </w:rPr>
                    <w:t>“</w:t>
                  </w:r>
                  <w:r>
                    <w:rPr>
                      <w:rFonts w:ascii="Times New Roman" w:hAnsi="Times New Roman"/>
                      <w:color w:val="auto"/>
                      <w:sz w:val="21"/>
                      <w:szCs w:val="21"/>
                      <w:highlight w:val="none"/>
                    </w:rPr>
                    <w:t>散乱污</w:t>
                  </w:r>
                  <w:r>
                    <w:rPr>
                      <w:rFonts w:hint="eastAsia" w:ascii="Times New Roman" w:hAnsi="Times New Roman"/>
                      <w:color w:val="auto"/>
                      <w:sz w:val="21"/>
                      <w:szCs w:val="21"/>
                      <w:highlight w:val="none"/>
                      <w:lang w:eastAsia="zh-CN"/>
                    </w:rPr>
                    <w:t>”</w:t>
                  </w:r>
                  <w:r>
                    <w:rPr>
                      <w:rFonts w:ascii="Times New Roman" w:hAnsi="Times New Roman"/>
                      <w:color w:val="auto"/>
                      <w:sz w:val="21"/>
                      <w:szCs w:val="21"/>
                      <w:highlight w:val="none"/>
                    </w:rPr>
                    <w:t>企业综合整治。</w:t>
                  </w:r>
                </w:p>
              </w:tc>
              <w:tc>
                <w:tcPr>
                  <w:tcW w:w="2350" w:type="pct"/>
                  <w:noWrap w:val="0"/>
                  <w:vAlign w:val="center"/>
                </w:tcPr>
                <w:p>
                  <w:pPr>
                    <w:pStyle w:val="94"/>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本项目不属于</w:t>
                  </w:r>
                  <w:r>
                    <w:rPr>
                      <w:rFonts w:hint="eastAsia" w:ascii="Times New Roman" w:hAnsi="Times New Roman"/>
                      <w:color w:val="auto"/>
                      <w:sz w:val="21"/>
                      <w:szCs w:val="21"/>
                      <w:highlight w:val="none"/>
                      <w:lang w:eastAsia="zh-CN"/>
                    </w:rPr>
                    <w:t>“</w:t>
                  </w:r>
                  <w:r>
                    <w:rPr>
                      <w:rFonts w:ascii="Times New Roman" w:hAnsi="Times New Roman"/>
                      <w:color w:val="auto"/>
                      <w:sz w:val="21"/>
                      <w:szCs w:val="21"/>
                      <w:highlight w:val="none"/>
                    </w:rPr>
                    <w:t>散乱污</w:t>
                  </w:r>
                  <w:r>
                    <w:rPr>
                      <w:rFonts w:hint="eastAsia" w:ascii="Times New Roman" w:hAnsi="Times New Roman"/>
                      <w:color w:val="auto"/>
                      <w:sz w:val="21"/>
                      <w:szCs w:val="21"/>
                      <w:highlight w:val="none"/>
                      <w:lang w:eastAsia="zh-CN"/>
                    </w:rPr>
                    <w:t>”</w:t>
                  </w:r>
                  <w:r>
                    <w:rPr>
                      <w:rFonts w:ascii="Times New Roman" w:hAnsi="Times New Roman"/>
                      <w:color w:val="auto"/>
                      <w:sz w:val="21"/>
                      <w:szCs w:val="21"/>
                      <w:highlight w:val="none"/>
                    </w:rPr>
                    <w:t>企业，属于《产业结构调整指导目录（201</w:t>
                  </w:r>
                  <w:r>
                    <w:rPr>
                      <w:rFonts w:hint="eastAsia" w:ascii="Times New Roman" w:hAnsi="Times New Roman"/>
                      <w:color w:val="auto"/>
                      <w:sz w:val="21"/>
                      <w:szCs w:val="21"/>
                      <w:highlight w:val="none"/>
                    </w:rPr>
                    <w:t>9</w:t>
                  </w:r>
                  <w:r>
                    <w:rPr>
                      <w:rFonts w:ascii="Times New Roman" w:hAnsi="Times New Roman"/>
                      <w:color w:val="auto"/>
                      <w:sz w:val="21"/>
                      <w:szCs w:val="21"/>
                      <w:highlight w:val="none"/>
                    </w:rPr>
                    <w:t xml:space="preserve"> 年本）》中</w:t>
                  </w:r>
                  <w:r>
                    <w:rPr>
                      <w:rFonts w:hint="eastAsia" w:ascii="Times New Roman" w:hAnsi="Times New Roman"/>
                      <w:color w:val="auto"/>
                      <w:sz w:val="21"/>
                      <w:szCs w:val="21"/>
                      <w:highlight w:val="none"/>
                      <w:lang w:val="en-US" w:eastAsia="zh-CN"/>
                    </w:rPr>
                    <w:t>允许</w:t>
                  </w:r>
                  <w:r>
                    <w:rPr>
                      <w:rFonts w:ascii="Times New Roman" w:hAnsi="Times New Roman"/>
                      <w:color w:val="auto"/>
                      <w:sz w:val="21"/>
                      <w:szCs w:val="21"/>
                      <w:highlight w:val="none"/>
                    </w:rPr>
                    <w:t>类项目</w:t>
                  </w:r>
                  <w:r>
                    <w:rPr>
                      <w:rFonts w:hint="eastAsia" w:ascii="Times New Roman" w:hAnsi="Times New Roman"/>
                      <w:color w:val="auto"/>
                      <w:sz w:val="21"/>
                      <w:szCs w:val="21"/>
                      <w:highlight w:val="none"/>
                    </w:rPr>
                    <w:t>。</w:t>
                  </w:r>
                </w:p>
              </w:tc>
              <w:tc>
                <w:tcPr>
                  <w:tcW w:w="437" w:type="pct"/>
                  <w:noWrap w:val="0"/>
                  <w:vAlign w:val="center"/>
                </w:tcPr>
                <w:p>
                  <w:pPr>
                    <w:pStyle w:val="94"/>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3" w:hRule="atLeast"/>
                <w:jc w:val="center"/>
              </w:trPr>
              <w:tc>
                <w:tcPr>
                  <w:tcW w:w="2211" w:type="pct"/>
                  <w:noWrap w:val="0"/>
                  <w:vAlign w:val="center"/>
                </w:tcPr>
                <w:p>
                  <w:pPr>
                    <w:pStyle w:val="94"/>
                    <w:spacing w:line="240" w:lineRule="auto"/>
                    <w:ind w:firstLine="0" w:firstLineChars="0"/>
                    <w:jc w:val="center"/>
                    <w:rPr>
                      <w:rFonts w:ascii="Times New Roman" w:hAnsi="Times New Roman"/>
                      <w:b/>
                      <w:bCs/>
                      <w:color w:val="auto"/>
                      <w:sz w:val="21"/>
                      <w:szCs w:val="21"/>
                      <w:highlight w:val="none"/>
                    </w:rPr>
                  </w:pPr>
                  <w:r>
                    <w:rPr>
                      <w:rFonts w:ascii="Times New Roman" w:hAnsi="Times New Roman"/>
                      <w:b/>
                      <w:bCs/>
                      <w:color w:val="auto"/>
                      <w:sz w:val="21"/>
                      <w:szCs w:val="21"/>
                      <w:highlight w:val="none"/>
                    </w:rPr>
                    <w:t xml:space="preserve">严格建设项目环境准入。 </w:t>
                  </w:r>
                </w:p>
                <w:p>
                  <w:pPr>
                    <w:pStyle w:val="94"/>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提高VOCs排放重点行业环保准入门槛，严格控制新增污染物排放量。严格限制石化、化工、包装印刷、工业涂装等高VOCs排放建设项目。新建涉VOCs排放的工业企业要入园区。对新、改、扩建涉VOCs排放</w:t>
                  </w:r>
                  <w:r>
                    <w:rPr>
                      <w:rFonts w:hint="eastAsia" w:ascii="Times New Roman" w:hAnsi="Times New Roman"/>
                      <w:color w:val="auto"/>
                      <w:sz w:val="21"/>
                      <w:szCs w:val="21"/>
                      <w:highlight w:val="none"/>
                    </w:rPr>
                    <w:t>项目</w:t>
                  </w:r>
                  <w:r>
                    <w:rPr>
                      <w:rFonts w:ascii="Times New Roman" w:hAnsi="Times New Roman"/>
                      <w:color w:val="auto"/>
                      <w:sz w:val="21"/>
                      <w:szCs w:val="21"/>
                      <w:highlight w:val="none"/>
                    </w:rPr>
                    <w:t>，全面加强源头控制，使用低(无)VOCs含量的原辅材料，加强废气收集，安装高效治理设施。</w:t>
                  </w:r>
                </w:p>
              </w:tc>
              <w:tc>
                <w:tcPr>
                  <w:tcW w:w="2350" w:type="pct"/>
                  <w:noWrap w:val="0"/>
                  <w:vAlign w:val="center"/>
                </w:tcPr>
                <w:p>
                  <w:pPr>
                    <w:pStyle w:val="94"/>
                    <w:spacing w:line="240" w:lineRule="auto"/>
                    <w:ind w:firstLine="0" w:firstLineChars="0"/>
                    <w:rPr>
                      <w:rFonts w:ascii="Times New Roman" w:hAnsi="Times New Roman"/>
                      <w:color w:val="auto"/>
                      <w:sz w:val="21"/>
                      <w:szCs w:val="21"/>
                      <w:highlight w:val="none"/>
                    </w:rPr>
                  </w:pPr>
                  <w:r>
                    <w:rPr>
                      <w:rFonts w:ascii="Times New Roman" w:hAnsi="Times New Roman" w:eastAsia="宋体" w:cs="Times New Roman"/>
                      <w:color w:val="auto"/>
                      <w:sz w:val="21"/>
                      <w:szCs w:val="21"/>
                      <w:highlight w:val="none"/>
                    </w:rPr>
                    <w:t>本</w:t>
                  </w:r>
                  <w:r>
                    <w:rPr>
                      <w:rFonts w:hint="eastAsia" w:ascii="Times New Roman" w:hAnsi="Times New Roman"/>
                      <w:color w:val="auto"/>
                      <w:sz w:val="21"/>
                      <w:szCs w:val="21"/>
                      <w:highlight w:val="none"/>
                    </w:rPr>
                    <w:t>长春市不属于文件中的重点地区</w:t>
                  </w:r>
                  <w:r>
                    <w:rPr>
                      <w:rFonts w:hint="eastAsia" w:ascii="Times New Roman" w:hAnsi="Times New Roman" w:eastAsia="宋体" w:cs="Times New Roman"/>
                      <w:color w:val="auto"/>
                      <w:sz w:val="21"/>
                      <w:szCs w:val="21"/>
                      <w:highlight w:val="none"/>
                    </w:rPr>
                    <w:t>，</w:t>
                  </w:r>
                  <w:r>
                    <w:rPr>
                      <w:rFonts w:hint="eastAsia" w:ascii="Times New Roman" w:hAnsi="Times New Roman"/>
                      <w:color w:val="auto"/>
                      <w:sz w:val="21"/>
                      <w:szCs w:val="21"/>
                      <w:highlight w:val="none"/>
                    </w:rPr>
                    <w:t>不属于工业涂装VOCs产生项目。</w:t>
                  </w:r>
                  <w:r>
                    <w:rPr>
                      <w:rFonts w:ascii="Times New Roman" w:hAnsi="Times New Roman"/>
                      <w:color w:val="auto"/>
                      <w:sz w:val="21"/>
                      <w:szCs w:val="21"/>
                      <w:highlight w:val="none"/>
                    </w:rPr>
                    <w:t>VOCs</w:t>
                  </w:r>
                  <w:r>
                    <w:rPr>
                      <w:rFonts w:hint="eastAsia" w:ascii="Times New Roman" w:hAnsi="Times New Roman"/>
                      <w:color w:val="auto"/>
                      <w:sz w:val="21"/>
                      <w:szCs w:val="21"/>
                      <w:highlight w:val="none"/>
                      <w:lang w:val="en-US" w:eastAsia="zh-CN"/>
                    </w:rPr>
                    <w:t>主要产生于模具清洗环节清洗剂挥发，</w:t>
                  </w:r>
                  <w:r>
                    <w:rPr>
                      <w:rFonts w:hint="eastAsia" w:ascii="Times New Roman" w:hAnsi="Times New Roman" w:eastAsia="宋体" w:cs="Times New Roman"/>
                      <w:color w:val="auto"/>
                      <w:sz w:val="21"/>
                      <w:szCs w:val="21"/>
                      <w:highlight w:val="none"/>
                    </w:rPr>
                    <w:t>本项目</w:t>
                  </w:r>
                  <w:r>
                    <w:rPr>
                      <w:color w:val="auto"/>
                      <w:sz w:val="21"/>
                      <w:szCs w:val="21"/>
                      <w:highlight w:val="none"/>
                    </w:rPr>
                    <w:t>采用环保清洗剂为低挥发性有机物含量的原辅材料，且安装集气高效集气装置，</w:t>
                  </w:r>
                  <w:r>
                    <w:rPr>
                      <w:rFonts w:hint="eastAsia" w:ascii="Times New Roman" w:hAnsi="Times New Roman"/>
                      <w:color w:val="auto"/>
                      <w:sz w:val="21"/>
                      <w:szCs w:val="21"/>
                      <w:highlight w:val="none"/>
                    </w:rPr>
                    <w:t>且通过</w:t>
                  </w:r>
                  <w:r>
                    <w:rPr>
                      <w:rFonts w:hint="eastAsia" w:ascii="Times New Roman" w:hAnsi="Times New Roman"/>
                      <w:color w:val="auto"/>
                      <w:sz w:val="21"/>
                      <w:szCs w:val="21"/>
                      <w:highlight w:val="none"/>
                      <w:lang w:val="en-US" w:eastAsia="zh-CN"/>
                    </w:rPr>
                    <w:t>活性炭吸附装置处理后经15m</w:t>
                  </w:r>
                  <w:r>
                    <w:rPr>
                      <w:rFonts w:hint="eastAsia" w:ascii="Times New Roman" w:hAnsi="Times New Roman"/>
                      <w:color w:val="auto"/>
                      <w:sz w:val="21"/>
                      <w:szCs w:val="21"/>
                      <w:highlight w:val="none"/>
                    </w:rPr>
                    <w:t>高排气筒排放</w:t>
                  </w:r>
                  <w:r>
                    <w:rPr>
                      <w:rFonts w:hint="eastAsia" w:ascii="Times New Roman" w:hAnsi="Times New Roman"/>
                      <w:color w:val="auto"/>
                      <w:sz w:val="21"/>
                      <w:szCs w:val="21"/>
                      <w:highlight w:val="none"/>
                      <w:lang w:val="en-US" w:eastAsia="zh-CN"/>
                    </w:rPr>
                    <w:t>，废气</w:t>
                  </w:r>
                  <w:r>
                    <w:rPr>
                      <w:rFonts w:hint="eastAsia" w:ascii="Times New Roman" w:hAnsi="Times New Roman"/>
                      <w:color w:val="auto"/>
                      <w:sz w:val="21"/>
                      <w:szCs w:val="21"/>
                      <w:highlight w:val="none"/>
                    </w:rPr>
                    <w:t>排放量较小</w:t>
                  </w:r>
                  <w:r>
                    <w:rPr>
                      <w:color w:val="auto"/>
                      <w:sz w:val="21"/>
                      <w:szCs w:val="21"/>
                      <w:highlight w:val="none"/>
                    </w:rPr>
                    <w:t>。</w:t>
                  </w:r>
                  <w:r>
                    <w:rPr>
                      <w:rFonts w:hint="eastAsia" w:ascii="Times New Roman" w:hAnsi="Times New Roman" w:eastAsia="宋体" w:cs="Times New Roman"/>
                      <w:color w:val="auto"/>
                      <w:sz w:val="21"/>
                      <w:szCs w:val="21"/>
                      <w:highlight w:val="none"/>
                    </w:rPr>
                    <w:t>不属于</w:t>
                  </w:r>
                  <w:r>
                    <w:rPr>
                      <w:rFonts w:ascii="Times New Roman" w:hAnsi="Times New Roman" w:eastAsia="宋体" w:cs="Times New Roman"/>
                      <w:color w:val="auto"/>
                      <w:sz w:val="21"/>
                      <w:szCs w:val="21"/>
                      <w:highlight w:val="none"/>
                    </w:rPr>
                    <w:t>高VOCs排放建设项目</w:t>
                  </w:r>
                  <w:r>
                    <w:rPr>
                      <w:rFonts w:hint="eastAsia" w:ascii="Times New Roman" w:hAnsi="Times New Roman"/>
                      <w:color w:val="auto"/>
                      <w:sz w:val="21"/>
                      <w:szCs w:val="21"/>
                      <w:highlight w:val="none"/>
                    </w:rPr>
                    <w:t>。</w:t>
                  </w:r>
                </w:p>
              </w:tc>
              <w:tc>
                <w:tcPr>
                  <w:tcW w:w="437" w:type="pct"/>
                  <w:noWrap w:val="0"/>
                  <w:vAlign w:val="center"/>
                </w:tcPr>
                <w:p>
                  <w:pPr>
                    <w:pStyle w:val="94"/>
                    <w:spacing w:line="240" w:lineRule="auto"/>
                    <w:ind w:firstLine="0" w:firstLineChars="0"/>
                    <w:jc w:val="center"/>
                    <w:rPr>
                      <w:rFonts w:ascii="Times New Roman" w:hAnsi="Times New Roman"/>
                      <w:color w:val="auto"/>
                      <w:sz w:val="21"/>
                      <w:szCs w:val="21"/>
                      <w:highlight w:val="none"/>
                    </w:rPr>
                  </w:pPr>
                  <w:r>
                    <w:rPr>
                      <w:rFonts w:ascii="Times New Roman" w:hAnsi="Times New Roman"/>
                      <w:color w:val="auto"/>
                      <w:sz w:val="21"/>
                      <w:szCs w:val="21"/>
                      <w:highlight w:val="none"/>
                    </w:rPr>
                    <w:t>是</w:t>
                  </w:r>
                </w:p>
              </w:tc>
            </w:tr>
          </w:tbl>
          <w:p>
            <w:pPr>
              <w:pStyle w:val="2"/>
              <w:tabs>
                <w:tab w:val="left" w:pos="0"/>
                <w:tab w:val="left" w:pos="1260"/>
              </w:tabs>
              <w:spacing w:before="0" w:after="0" w:line="360" w:lineRule="auto"/>
              <w:ind w:right="0" w:firstLine="480" w:firstLineChars="200"/>
              <w:rPr>
                <w:color w:val="auto"/>
                <w:sz w:val="24"/>
                <w:szCs w:val="22"/>
                <w:highlight w:val="none"/>
              </w:rPr>
            </w:pPr>
          </w:p>
          <w:p>
            <w:pPr>
              <w:pStyle w:val="75"/>
              <w:ind w:firstLine="480" w:firstLineChars="200"/>
              <w:rPr>
                <w:color w:val="auto"/>
                <w:sz w:val="24"/>
                <w:highlight w:val="none"/>
              </w:rPr>
            </w:pPr>
            <w:r>
              <w:rPr>
                <w:b w:val="0"/>
                <w:color w:val="auto"/>
                <w:kern w:val="2"/>
                <w:sz w:val="24"/>
                <w:szCs w:val="22"/>
                <w:highlight w:val="none"/>
              </w:rPr>
              <w:t>综上，本项目符合《长春市挥发性有机物污染防治工作实施方案》中相关要求</w:t>
            </w:r>
            <w:r>
              <w:rPr>
                <w:rFonts w:hint="eastAsia"/>
                <w:b w:val="0"/>
                <w:color w:val="auto"/>
                <w:kern w:val="2"/>
                <w:sz w:val="24"/>
                <w:szCs w:val="22"/>
                <w:highlight w:val="none"/>
              </w:rPr>
              <w:t>。</w:t>
            </w:r>
          </w:p>
        </w:tc>
      </w:tr>
    </w:tbl>
    <w:p>
      <w:pPr>
        <w:spacing w:line="360" w:lineRule="auto"/>
        <w:outlineLvl w:val="0"/>
        <w:rPr>
          <w:color w:val="auto"/>
          <w:sz w:val="30"/>
          <w:highlight w:val="none"/>
        </w:rPr>
        <w:sectPr>
          <w:footerReference r:id="rId5" w:type="default"/>
          <w:pgSz w:w="11906" w:h="16838"/>
          <w:pgMar w:top="1701" w:right="1531" w:bottom="1701" w:left="1531" w:header="851" w:footer="1077" w:gutter="0"/>
          <w:pgBorders>
            <w:top w:val="none" w:sz="0" w:space="0"/>
            <w:left w:val="none" w:sz="0" w:space="0"/>
            <w:bottom w:val="none" w:sz="0" w:space="0"/>
            <w:right w:val="none" w:sz="0" w:space="0"/>
          </w:pgBorders>
          <w:pgNumType w:fmt="decimal" w:start="1"/>
          <w:cols w:space="720" w:num="1"/>
          <w:docGrid w:linePitch="312" w:charSpace="0"/>
        </w:sectPr>
      </w:pPr>
    </w:p>
    <w:p>
      <w:pPr>
        <w:pStyle w:val="26"/>
        <w:spacing w:before="0" w:beforeAutospacing="0" w:after="0" w:afterAutospacing="0"/>
        <w:jc w:val="center"/>
        <w:outlineLvl w:val="0"/>
        <w:rPr>
          <w:rFonts w:ascii="Times New Roman" w:hAnsi="Times New Roman"/>
          <w:b/>
          <w:bCs/>
          <w:snapToGrid w:val="0"/>
          <w:color w:val="auto"/>
          <w:sz w:val="30"/>
          <w:szCs w:val="30"/>
          <w:highlight w:val="none"/>
        </w:rPr>
      </w:pPr>
      <w:r>
        <w:rPr>
          <w:rFonts w:ascii="Times New Roman" w:hAnsi="Times New Roman"/>
          <w:b/>
          <w:bCs/>
          <w:snapToGrid w:val="0"/>
          <w:color w:val="auto"/>
          <w:sz w:val="30"/>
          <w:szCs w:val="30"/>
          <w:highlight w:val="none"/>
        </w:rPr>
        <w:t>二、建设项目工程分析</w:t>
      </w: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3"/>
        <w:gridCol w:w="82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3" w:type="dxa"/>
            <w:vAlign w:val="center"/>
          </w:tcPr>
          <w:p>
            <w:pPr>
              <w:pStyle w:val="26"/>
              <w:adjustRightInd w:val="0"/>
              <w:snapToGrid w:val="0"/>
              <w:spacing w:before="0" w:beforeAutospacing="0" w:after="0" w:afterAutospacing="0"/>
              <w:jc w:val="center"/>
              <w:rPr>
                <w:rFonts w:ascii="Times New Roman" w:hAnsi="Times New Roman"/>
                <w:color w:val="auto"/>
                <w:szCs w:val="24"/>
                <w:highlight w:val="none"/>
              </w:rPr>
            </w:pPr>
            <w:r>
              <w:rPr>
                <w:rFonts w:ascii="Times New Roman" w:hAnsi="Times New Roman"/>
                <w:b/>
                <w:bCs/>
                <w:color w:val="auto"/>
                <w:szCs w:val="24"/>
                <w:highlight w:val="none"/>
              </w:rPr>
              <w:t>建设内容</w:t>
            </w:r>
          </w:p>
        </w:tc>
        <w:tc>
          <w:tcPr>
            <w:tcW w:w="8281" w:type="dxa"/>
          </w:tcPr>
          <w:p>
            <w:pPr>
              <w:adjustRightInd w:val="0"/>
              <w:snapToGrid w:val="0"/>
              <w:spacing w:line="360" w:lineRule="auto"/>
              <w:ind w:firstLine="482" w:firstLineChars="200"/>
              <w:rPr>
                <w:b/>
                <w:bCs/>
                <w:color w:val="auto"/>
                <w:sz w:val="24"/>
                <w:highlight w:val="none"/>
              </w:rPr>
            </w:pPr>
            <w:r>
              <w:rPr>
                <w:b/>
                <w:bCs/>
                <w:color w:val="auto"/>
                <w:sz w:val="24"/>
                <w:highlight w:val="none"/>
              </w:rPr>
              <w:t>1.建设地点及周围环境概况</w:t>
            </w:r>
          </w:p>
          <w:p>
            <w:pPr>
              <w:widowControl/>
              <w:spacing w:line="360" w:lineRule="auto"/>
              <w:ind w:firstLine="480" w:firstLineChars="200"/>
              <w:rPr>
                <w:color w:val="auto"/>
                <w:sz w:val="24"/>
                <w:highlight w:val="none"/>
              </w:rPr>
            </w:pPr>
            <w:r>
              <w:rPr>
                <w:rFonts w:hint="eastAsia"/>
                <w:color w:val="auto"/>
                <w:sz w:val="24"/>
                <w:highlight w:val="none"/>
              </w:rPr>
              <w:t>饭田（长春）橡塑有限公司位于长春经济技术开发区石家庄路171D号，专用车园内，租用7#地块标准厂房7-4#厂房局部，本项目不新增占地，利用企业现厂房内产品存储区新购置生产线进行生产。饭田（长春）橡塑有限公司东侧紧邻空厂房（共用一座大厂房）；南侧隔园区内道路20m为石家庄路；西侧隔园区内道路22m为长春经开国资控股集团有限公司；北侧隔园区内道路20m为SGS通标标准技术服务有限公司长春分公司、50m为科瑞检测技术（长春）有限公司。企业所在园区东侧为长春市鑫盛唐物流有限公司；南侧为长春合心机械制造有限公司；西侧为绿地；北侧为长春经开区环卫基地。距离本项目最近敏感点为位于项目厂房东北侧487m处的前朝阳沟村居民。</w:t>
            </w:r>
          </w:p>
          <w:p>
            <w:pPr>
              <w:widowControl/>
              <w:spacing w:line="360" w:lineRule="auto"/>
              <w:ind w:firstLine="480" w:firstLineChars="200"/>
              <w:rPr>
                <w:color w:val="auto"/>
                <w:kern w:val="0"/>
                <w:sz w:val="24"/>
                <w:highlight w:val="none"/>
                <w:lang w:bidi="ar"/>
              </w:rPr>
            </w:pPr>
            <w:r>
              <w:rPr>
                <w:color w:val="auto"/>
                <w:kern w:val="0"/>
                <w:sz w:val="24"/>
                <w:highlight w:val="none"/>
                <w:lang w:bidi="ar"/>
              </w:rPr>
              <w:t>建设项目地理位置图详见附图1，项目周边关系图详见附图3。</w:t>
            </w:r>
          </w:p>
          <w:p>
            <w:pPr>
              <w:pStyle w:val="23"/>
              <w:spacing w:line="360" w:lineRule="auto"/>
              <w:ind w:left="0" w:leftChars="0" w:firstLine="482" w:firstLineChars="200"/>
              <w:rPr>
                <w:b/>
                <w:bCs/>
                <w:color w:val="auto"/>
                <w:sz w:val="24"/>
                <w:highlight w:val="none"/>
              </w:rPr>
            </w:pPr>
            <w:r>
              <w:rPr>
                <w:b/>
                <w:bCs/>
                <w:color w:val="auto"/>
                <w:sz w:val="24"/>
                <w:highlight w:val="none"/>
              </w:rPr>
              <w:t>2.建设内容及项目组成</w:t>
            </w:r>
          </w:p>
          <w:p>
            <w:pPr>
              <w:spacing w:line="360" w:lineRule="auto"/>
              <w:ind w:firstLine="482" w:firstLineChars="200"/>
              <w:rPr>
                <w:color w:val="auto"/>
                <w:highlight w:val="none"/>
              </w:rPr>
            </w:pPr>
            <w:r>
              <w:rPr>
                <w:b/>
                <w:bCs/>
                <w:color w:val="auto"/>
                <w:sz w:val="24"/>
                <w:highlight w:val="none"/>
              </w:rPr>
              <w:t>2.1建设内容</w:t>
            </w:r>
          </w:p>
          <w:p>
            <w:pPr>
              <w:widowControl/>
              <w:spacing w:line="360" w:lineRule="auto"/>
              <w:ind w:firstLine="480" w:firstLineChars="200"/>
              <w:rPr>
                <w:rFonts w:hint="eastAsia"/>
                <w:color w:val="auto"/>
                <w:sz w:val="24"/>
                <w:highlight w:val="none"/>
              </w:rPr>
            </w:pPr>
            <w:r>
              <w:rPr>
                <w:rFonts w:hint="eastAsia"/>
                <w:color w:val="auto"/>
                <w:sz w:val="24"/>
                <w:highlight w:val="none"/>
              </w:rPr>
              <w:t>本项目</w:t>
            </w:r>
            <w:r>
              <w:rPr>
                <w:rFonts w:hint="eastAsia"/>
                <w:color w:val="auto"/>
                <w:sz w:val="24"/>
                <w:highlight w:val="none"/>
                <w:lang w:eastAsia="zh-CN"/>
              </w:rPr>
              <w:t>新增</w:t>
            </w:r>
            <w:r>
              <w:rPr>
                <w:rFonts w:hint="eastAsia"/>
                <w:color w:val="auto"/>
                <w:sz w:val="24"/>
                <w:highlight w:val="none"/>
              </w:rPr>
              <w:t>产品为汽车用NVH橡塑制品，主要为</w:t>
            </w:r>
            <w:r>
              <w:rPr>
                <w:rFonts w:hint="default"/>
                <w:color w:val="auto"/>
                <w:sz w:val="24"/>
                <w:highlight w:val="none"/>
              </w:rPr>
              <w:t>树脂隔音材料</w:t>
            </w:r>
            <w:r>
              <w:rPr>
                <w:rFonts w:hint="eastAsia"/>
                <w:color w:val="auto"/>
                <w:sz w:val="24"/>
                <w:highlight w:val="none"/>
                <w:lang w:val="en-US" w:eastAsia="zh-CN"/>
              </w:rPr>
              <w:t>，</w:t>
            </w:r>
            <w:r>
              <w:rPr>
                <w:rFonts w:hint="eastAsia"/>
                <w:color w:val="auto"/>
                <w:sz w:val="24"/>
                <w:highlight w:val="none"/>
              </w:rPr>
              <w:t>年产量为</w:t>
            </w:r>
            <w:r>
              <w:rPr>
                <w:rFonts w:hint="eastAsia"/>
                <w:color w:val="auto"/>
                <w:sz w:val="24"/>
                <w:highlight w:val="none"/>
                <w:lang w:val="en-US" w:eastAsia="zh-CN"/>
              </w:rPr>
              <w:t>500t/a</w:t>
            </w:r>
            <w:r>
              <w:rPr>
                <w:rFonts w:hint="eastAsia"/>
                <w:color w:val="auto"/>
                <w:sz w:val="24"/>
                <w:highlight w:val="none"/>
              </w:rPr>
              <w:t>。</w:t>
            </w:r>
            <w:r>
              <w:rPr>
                <w:rFonts w:hint="default"/>
                <w:color w:val="auto"/>
                <w:sz w:val="24"/>
                <w:highlight w:val="none"/>
              </w:rPr>
              <w:t>树脂隔音材料</w:t>
            </w:r>
            <w:r>
              <w:rPr>
                <w:rFonts w:hint="eastAsia"/>
                <w:color w:val="auto"/>
                <w:sz w:val="24"/>
                <w:highlight w:val="none"/>
              </w:rPr>
              <w:t>主体工艺为</w:t>
            </w:r>
            <w:r>
              <w:rPr>
                <w:rFonts w:hint="eastAsia"/>
                <w:color w:val="auto"/>
                <w:sz w:val="24"/>
                <w:highlight w:val="none"/>
                <w:lang w:val="en-US" w:eastAsia="zh-CN"/>
              </w:rPr>
              <w:t>原料拆包</w:t>
            </w:r>
            <w:r>
              <w:rPr>
                <w:rFonts w:hint="eastAsia"/>
                <w:color w:val="auto"/>
                <w:sz w:val="24"/>
                <w:highlight w:val="none"/>
              </w:rPr>
              <w:t>、</w:t>
            </w:r>
            <w:r>
              <w:rPr>
                <w:rFonts w:hint="eastAsia"/>
                <w:color w:val="auto"/>
                <w:sz w:val="24"/>
                <w:highlight w:val="none"/>
                <w:lang w:val="en-US" w:eastAsia="zh-CN"/>
              </w:rPr>
              <w:t>注塑</w:t>
            </w:r>
            <w:r>
              <w:rPr>
                <w:rFonts w:hint="eastAsia"/>
                <w:color w:val="auto"/>
                <w:sz w:val="24"/>
                <w:highlight w:val="none"/>
              </w:rPr>
              <w:t>、</w:t>
            </w:r>
            <w:r>
              <w:rPr>
                <w:rFonts w:hint="eastAsia"/>
                <w:color w:val="auto"/>
                <w:sz w:val="24"/>
                <w:highlight w:val="none"/>
                <w:lang w:val="en-US" w:eastAsia="zh-CN"/>
              </w:rPr>
              <w:t>组装</w:t>
            </w:r>
            <w:r>
              <w:rPr>
                <w:rFonts w:hint="eastAsia"/>
                <w:color w:val="auto"/>
                <w:sz w:val="24"/>
                <w:highlight w:val="none"/>
              </w:rPr>
              <w:t>、检验等。</w:t>
            </w:r>
          </w:p>
          <w:p>
            <w:pPr>
              <w:adjustRightInd w:val="0"/>
              <w:snapToGrid w:val="0"/>
              <w:spacing w:line="360" w:lineRule="auto"/>
              <w:ind w:firstLine="482" w:firstLineChars="200"/>
              <w:rPr>
                <w:b/>
                <w:bCs/>
                <w:color w:val="auto"/>
                <w:sz w:val="24"/>
                <w:highlight w:val="none"/>
              </w:rPr>
            </w:pPr>
            <w:r>
              <w:rPr>
                <w:b/>
                <w:bCs/>
                <w:color w:val="auto"/>
                <w:sz w:val="24"/>
                <w:highlight w:val="none"/>
              </w:rPr>
              <w:t>2.2项目组成</w:t>
            </w:r>
          </w:p>
          <w:p>
            <w:pPr>
              <w:pStyle w:val="23"/>
              <w:spacing w:line="360" w:lineRule="auto"/>
              <w:ind w:left="0" w:leftChars="0" w:firstLine="480" w:firstLineChars="200"/>
              <w:rPr>
                <w:color w:val="auto"/>
                <w:sz w:val="24"/>
                <w:highlight w:val="none"/>
              </w:rPr>
            </w:pPr>
            <w:r>
              <w:rPr>
                <w:color w:val="auto"/>
                <w:sz w:val="24"/>
                <w:highlight w:val="none"/>
              </w:rPr>
              <w:t>项目</w:t>
            </w:r>
            <w:r>
              <w:rPr>
                <w:rFonts w:hint="eastAsia"/>
                <w:color w:val="auto"/>
                <w:sz w:val="24"/>
                <w:highlight w:val="none"/>
                <w:lang w:eastAsia="zh-CN"/>
              </w:rPr>
              <w:t>扩建完成后，企业工程</w:t>
            </w:r>
            <w:r>
              <w:rPr>
                <w:color w:val="auto"/>
                <w:sz w:val="24"/>
                <w:highlight w:val="none"/>
              </w:rPr>
              <w:t>组成详见下表。</w:t>
            </w:r>
          </w:p>
          <w:p>
            <w:pPr>
              <w:adjustRightInd w:val="0"/>
              <w:snapToGrid w:val="0"/>
              <w:jc w:val="center"/>
              <w:rPr>
                <w:b/>
                <w:bCs/>
                <w:color w:val="auto"/>
                <w:sz w:val="24"/>
                <w:highlight w:val="none"/>
              </w:rPr>
            </w:pPr>
            <w:r>
              <w:rPr>
                <w:b/>
                <w:bCs/>
                <w:color w:val="auto"/>
                <w:sz w:val="24"/>
                <w:highlight w:val="none"/>
              </w:rPr>
              <w:t xml:space="preserve">表2-1  </w:t>
            </w:r>
            <w:r>
              <w:rPr>
                <w:rFonts w:hint="eastAsia"/>
                <w:b/>
                <w:bCs/>
                <w:color w:val="auto"/>
                <w:sz w:val="24"/>
                <w:highlight w:val="none"/>
                <w:lang w:eastAsia="zh-CN"/>
              </w:rPr>
              <w:t>企业工程</w:t>
            </w:r>
            <w:r>
              <w:rPr>
                <w:b/>
                <w:bCs/>
                <w:color w:val="auto"/>
                <w:sz w:val="24"/>
                <w:highlight w:val="none"/>
              </w:rPr>
              <w:t>组成一览表</w:t>
            </w:r>
          </w:p>
          <w:tbl>
            <w:tblPr>
              <w:tblStyle w:val="30"/>
              <w:tblW w:w="500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5"/>
              <w:gridCol w:w="834"/>
              <w:gridCol w:w="1246"/>
              <w:gridCol w:w="4045"/>
              <w:gridCol w:w="13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399" w:type="pct"/>
                  <w:vAlign w:val="center"/>
                </w:tcPr>
                <w:p>
                  <w:pPr>
                    <w:pStyle w:val="23"/>
                    <w:ind w:left="0" w:leftChars="0"/>
                    <w:jc w:val="center"/>
                    <w:rPr>
                      <w:color w:val="auto"/>
                      <w:szCs w:val="21"/>
                      <w:highlight w:val="none"/>
                    </w:rPr>
                  </w:pPr>
                  <w:r>
                    <w:rPr>
                      <w:color w:val="auto"/>
                      <w:szCs w:val="21"/>
                      <w:highlight w:val="none"/>
                    </w:rPr>
                    <w:t>项目类型</w:t>
                  </w:r>
                </w:p>
              </w:tc>
              <w:tc>
                <w:tcPr>
                  <w:tcW w:w="516" w:type="pct"/>
                  <w:vAlign w:val="center"/>
                </w:tcPr>
                <w:p>
                  <w:pPr>
                    <w:pStyle w:val="23"/>
                    <w:ind w:left="0" w:leftChars="0"/>
                    <w:jc w:val="center"/>
                    <w:rPr>
                      <w:color w:val="auto"/>
                      <w:szCs w:val="21"/>
                      <w:highlight w:val="none"/>
                    </w:rPr>
                  </w:pPr>
                  <w:r>
                    <w:rPr>
                      <w:color w:val="auto"/>
                      <w:szCs w:val="21"/>
                      <w:highlight w:val="none"/>
                    </w:rPr>
                    <w:t>工程</w:t>
                  </w:r>
                </w:p>
                <w:p>
                  <w:pPr>
                    <w:pStyle w:val="23"/>
                    <w:ind w:left="0" w:leftChars="0"/>
                    <w:jc w:val="center"/>
                    <w:rPr>
                      <w:color w:val="auto"/>
                      <w:szCs w:val="21"/>
                      <w:highlight w:val="none"/>
                    </w:rPr>
                  </w:pPr>
                  <w:r>
                    <w:rPr>
                      <w:color w:val="auto"/>
                      <w:szCs w:val="21"/>
                      <w:highlight w:val="none"/>
                    </w:rPr>
                    <w:t>名称</w:t>
                  </w:r>
                </w:p>
              </w:tc>
              <w:tc>
                <w:tcPr>
                  <w:tcW w:w="3275" w:type="pct"/>
                  <w:gridSpan w:val="2"/>
                  <w:vAlign w:val="center"/>
                </w:tcPr>
                <w:p>
                  <w:pPr>
                    <w:pStyle w:val="23"/>
                    <w:ind w:left="0" w:leftChars="0"/>
                    <w:jc w:val="center"/>
                    <w:rPr>
                      <w:color w:val="auto"/>
                      <w:szCs w:val="21"/>
                      <w:highlight w:val="none"/>
                    </w:rPr>
                  </w:pPr>
                  <w:r>
                    <w:rPr>
                      <w:color w:val="auto"/>
                      <w:szCs w:val="21"/>
                      <w:highlight w:val="none"/>
                    </w:rPr>
                    <w:t>建设内容</w:t>
                  </w:r>
                </w:p>
              </w:tc>
              <w:tc>
                <w:tcPr>
                  <w:tcW w:w="809" w:type="pct"/>
                  <w:vAlign w:val="center"/>
                </w:tcPr>
                <w:p>
                  <w:pPr>
                    <w:pStyle w:val="23"/>
                    <w:ind w:left="0" w:leftChars="0"/>
                    <w:jc w:val="center"/>
                    <w:rPr>
                      <w:rFonts w:hint="eastAsia"/>
                      <w:color w:val="auto"/>
                      <w:szCs w:val="21"/>
                      <w:highlight w:val="none"/>
                      <w:lang w:eastAsia="zh-CN"/>
                    </w:rPr>
                  </w:pPr>
                  <w:r>
                    <w:rPr>
                      <w:rFonts w:hint="eastAsia"/>
                      <w:color w:val="auto"/>
                      <w:szCs w:val="21"/>
                      <w:highlight w:val="none"/>
                      <w:lang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83" w:hRule="atLeast"/>
              </w:trPr>
              <w:tc>
                <w:tcPr>
                  <w:tcW w:w="399" w:type="pct"/>
                  <w:vAlign w:val="center"/>
                </w:tcPr>
                <w:p>
                  <w:pPr>
                    <w:pStyle w:val="23"/>
                    <w:ind w:left="0" w:leftChars="0"/>
                    <w:jc w:val="center"/>
                    <w:rPr>
                      <w:color w:val="auto"/>
                      <w:szCs w:val="21"/>
                      <w:highlight w:val="none"/>
                    </w:rPr>
                  </w:pPr>
                  <w:r>
                    <w:rPr>
                      <w:color w:val="auto"/>
                      <w:szCs w:val="21"/>
                      <w:highlight w:val="none"/>
                    </w:rPr>
                    <w:t>主体工程</w:t>
                  </w:r>
                </w:p>
              </w:tc>
              <w:tc>
                <w:tcPr>
                  <w:tcW w:w="516" w:type="pct"/>
                  <w:vAlign w:val="center"/>
                </w:tcPr>
                <w:p>
                  <w:pPr>
                    <w:pStyle w:val="23"/>
                    <w:ind w:left="0" w:leftChars="0"/>
                    <w:jc w:val="center"/>
                    <w:rPr>
                      <w:color w:val="auto"/>
                      <w:szCs w:val="21"/>
                      <w:highlight w:val="none"/>
                    </w:rPr>
                  </w:pPr>
                  <w:r>
                    <w:rPr>
                      <w:color w:val="auto"/>
                      <w:szCs w:val="21"/>
                      <w:highlight w:val="none"/>
                    </w:rPr>
                    <w:t>厂房</w:t>
                  </w:r>
                </w:p>
              </w:tc>
              <w:tc>
                <w:tcPr>
                  <w:tcW w:w="3275" w:type="pct"/>
                  <w:gridSpan w:val="2"/>
                  <w:vAlign w:val="center"/>
                </w:tcPr>
                <w:p>
                  <w:pPr>
                    <w:pStyle w:val="23"/>
                    <w:ind w:left="0" w:leftChars="0"/>
                    <w:jc w:val="both"/>
                    <w:rPr>
                      <w:color w:val="auto"/>
                      <w:szCs w:val="21"/>
                      <w:highlight w:val="none"/>
                    </w:rPr>
                  </w:pPr>
                  <w:r>
                    <w:rPr>
                      <w:color w:val="auto"/>
                      <w:szCs w:val="21"/>
                      <w:highlight w:val="none"/>
                    </w:rPr>
                    <w:t>1F建筑物，总建筑面积为</w:t>
                  </w:r>
                  <w:r>
                    <w:rPr>
                      <w:rFonts w:hint="eastAsia"/>
                      <w:color w:val="auto"/>
                      <w:szCs w:val="21"/>
                      <w:highlight w:val="none"/>
                      <w:lang w:val="en-US" w:eastAsia="zh-CN"/>
                    </w:rPr>
                    <w:t>2164</w:t>
                  </w:r>
                  <w:r>
                    <w:rPr>
                      <w:color w:val="auto"/>
                      <w:szCs w:val="21"/>
                      <w:highlight w:val="none"/>
                    </w:rPr>
                    <w:t>m</w:t>
                  </w:r>
                  <w:r>
                    <w:rPr>
                      <w:color w:val="auto"/>
                      <w:szCs w:val="21"/>
                      <w:highlight w:val="none"/>
                      <w:vertAlign w:val="superscript"/>
                    </w:rPr>
                    <w:t>2</w:t>
                  </w:r>
                  <w:r>
                    <w:rPr>
                      <w:rFonts w:hint="eastAsia"/>
                      <w:color w:val="auto"/>
                      <w:szCs w:val="21"/>
                      <w:highlight w:val="none"/>
                      <w:lang w:eastAsia="zh-CN"/>
                    </w:rPr>
                    <w:t>，</w:t>
                  </w:r>
                  <w:r>
                    <w:rPr>
                      <w:color w:val="auto"/>
                      <w:szCs w:val="21"/>
                      <w:highlight w:val="none"/>
                    </w:rPr>
                    <w:t>占地面积为</w:t>
                  </w:r>
                  <w:r>
                    <w:rPr>
                      <w:rFonts w:hint="eastAsia"/>
                      <w:color w:val="auto"/>
                      <w:szCs w:val="21"/>
                      <w:highlight w:val="none"/>
                      <w:lang w:val="en-US" w:eastAsia="zh-CN"/>
                    </w:rPr>
                    <w:t>2164</w:t>
                  </w:r>
                  <w:r>
                    <w:rPr>
                      <w:color w:val="auto"/>
                      <w:szCs w:val="21"/>
                      <w:highlight w:val="none"/>
                    </w:rPr>
                    <w:t>m</w:t>
                  </w:r>
                  <w:r>
                    <w:rPr>
                      <w:color w:val="auto"/>
                      <w:szCs w:val="21"/>
                      <w:highlight w:val="none"/>
                      <w:vertAlign w:val="superscript"/>
                    </w:rPr>
                    <w:t>2</w:t>
                  </w:r>
                  <w:r>
                    <w:rPr>
                      <w:color w:val="auto"/>
                      <w:szCs w:val="21"/>
                      <w:highlight w:val="none"/>
                    </w:rPr>
                    <w:t>，主要</w:t>
                  </w:r>
                  <w:r>
                    <w:rPr>
                      <w:rFonts w:hint="eastAsia"/>
                      <w:color w:val="auto"/>
                      <w:szCs w:val="21"/>
                      <w:highlight w:val="none"/>
                      <w:lang w:val="en-US" w:eastAsia="zh-CN"/>
                    </w:rPr>
                    <w:t>分</w:t>
                  </w:r>
                  <w:r>
                    <w:rPr>
                      <w:color w:val="auto"/>
                      <w:szCs w:val="21"/>
                      <w:highlight w:val="none"/>
                    </w:rPr>
                    <w:t>为生产区、存储区，生产区位于厂房</w:t>
                  </w:r>
                  <w:r>
                    <w:rPr>
                      <w:rFonts w:hint="eastAsia"/>
                      <w:color w:val="auto"/>
                      <w:szCs w:val="21"/>
                      <w:highlight w:val="none"/>
                      <w:lang w:eastAsia="zh-CN"/>
                    </w:rPr>
                    <w:t>北侧</w:t>
                  </w:r>
                  <w:r>
                    <w:rPr>
                      <w:color w:val="auto"/>
                      <w:szCs w:val="21"/>
                      <w:highlight w:val="none"/>
                    </w:rPr>
                    <w:t>；存储区</w:t>
                  </w:r>
                  <w:r>
                    <w:rPr>
                      <w:rFonts w:hint="eastAsia"/>
                      <w:color w:val="auto"/>
                      <w:szCs w:val="21"/>
                      <w:highlight w:val="none"/>
                      <w:lang w:eastAsia="zh-CN"/>
                    </w:rPr>
                    <w:t>位</w:t>
                  </w:r>
                  <w:r>
                    <w:rPr>
                      <w:color w:val="auto"/>
                      <w:szCs w:val="21"/>
                      <w:highlight w:val="none"/>
                    </w:rPr>
                    <w:t>于厂房</w:t>
                  </w:r>
                  <w:r>
                    <w:rPr>
                      <w:rFonts w:hint="eastAsia"/>
                      <w:color w:val="auto"/>
                      <w:szCs w:val="21"/>
                      <w:highlight w:val="none"/>
                      <w:lang w:eastAsia="zh-CN"/>
                    </w:rPr>
                    <w:t>南</w:t>
                  </w:r>
                  <w:r>
                    <w:rPr>
                      <w:color w:val="auto"/>
                      <w:szCs w:val="21"/>
                      <w:highlight w:val="none"/>
                    </w:rPr>
                    <w:t>侧，分为原料存储区、产品存储区等。</w:t>
                  </w:r>
                </w:p>
                <w:p>
                  <w:pPr>
                    <w:pStyle w:val="23"/>
                    <w:ind w:left="0" w:leftChars="0"/>
                    <w:jc w:val="both"/>
                    <w:rPr>
                      <w:rFonts w:hint="default"/>
                      <w:color w:val="auto"/>
                      <w:szCs w:val="21"/>
                      <w:highlight w:val="none"/>
                      <w:lang w:val="en-US" w:eastAsia="zh-CN"/>
                    </w:rPr>
                  </w:pPr>
                  <w:r>
                    <w:rPr>
                      <w:rFonts w:hint="eastAsia"/>
                      <w:color w:val="auto"/>
                      <w:szCs w:val="21"/>
                      <w:highlight w:val="none"/>
                      <w:lang w:eastAsia="zh-CN"/>
                    </w:rPr>
                    <w:t>本次扩建主要位于生产区，新建年产500</w:t>
                  </w:r>
                  <w:r>
                    <w:rPr>
                      <w:rFonts w:hint="eastAsia"/>
                      <w:color w:val="auto"/>
                      <w:szCs w:val="21"/>
                      <w:highlight w:val="none"/>
                      <w:lang w:val="en-US" w:eastAsia="zh-CN"/>
                    </w:rPr>
                    <w:t>t</w:t>
                  </w:r>
                  <w:r>
                    <w:rPr>
                      <w:rFonts w:hint="eastAsia"/>
                      <w:color w:val="auto"/>
                      <w:szCs w:val="21"/>
                      <w:highlight w:val="none"/>
                      <w:lang w:eastAsia="zh-CN"/>
                    </w:rPr>
                    <w:t>汽车用NVH橡塑制品，项目建设完成后企业年产</w:t>
                  </w:r>
                  <w:r>
                    <w:rPr>
                      <w:rFonts w:hint="eastAsia"/>
                      <w:color w:val="auto"/>
                      <w:szCs w:val="21"/>
                      <w:highlight w:val="none"/>
                      <w:lang w:val="en-US" w:eastAsia="zh-CN"/>
                    </w:rPr>
                    <w:t>530t</w:t>
                  </w:r>
                  <w:r>
                    <w:rPr>
                      <w:rFonts w:hint="eastAsia"/>
                      <w:color w:val="auto"/>
                      <w:szCs w:val="21"/>
                      <w:highlight w:val="none"/>
                      <w:lang w:eastAsia="zh-CN"/>
                    </w:rPr>
                    <w:t>汽车用NVH橡塑制品。</w:t>
                  </w:r>
                </w:p>
              </w:tc>
              <w:tc>
                <w:tcPr>
                  <w:tcW w:w="809" w:type="pct"/>
                  <w:vAlign w:val="center"/>
                </w:tcPr>
                <w:p>
                  <w:pPr>
                    <w:pStyle w:val="23"/>
                    <w:ind w:left="0" w:leftChars="0"/>
                    <w:rPr>
                      <w:rFonts w:hint="eastAsia"/>
                      <w:color w:val="auto"/>
                      <w:szCs w:val="21"/>
                      <w:highlight w:val="none"/>
                      <w:lang w:eastAsia="zh-CN"/>
                    </w:rPr>
                  </w:pPr>
                  <w:r>
                    <w:rPr>
                      <w:rFonts w:hint="eastAsia"/>
                      <w:color w:val="auto"/>
                      <w:szCs w:val="21"/>
                      <w:highlight w:val="none"/>
                      <w:lang w:eastAsia="zh-CN"/>
                    </w:rPr>
                    <w:t>本次扩建将现产品存储区</w:t>
                  </w:r>
                  <w:r>
                    <w:rPr>
                      <w:rFonts w:hint="eastAsia"/>
                      <w:color w:val="auto"/>
                      <w:szCs w:val="21"/>
                      <w:highlight w:val="none"/>
                      <w:lang w:val="en-US" w:eastAsia="zh-CN"/>
                    </w:rPr>
                    <w:t>的一部分</w:t>
                  </w:r>
                  <w:r>
                    <w:rPr>
                      <w:rFonts w:hint="eastAsia"/>
                      <w:color w:val="auto"/>
                      <w:szCs w:val="21"/>
                      <w:highlight w:val="none"/>
                      <w:lang w:eastAsia="zh-CN"/>
                    </w:rPr>
                    <w:t>改为生产区，新购置生产线进行生产。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399" w:type="pct"/>
                  <w:vMerge w:val="restart"/>
                  <w:vAlign w:val="center"/>
                </w:tcPr>
                <w:p>
                  <w:pPr>
                    <w:pStyle w:val="23"/>
                    <w:ind w:left="0" w:leftChars="0"/>
                    <w:jc w:val="center"/>
                    <w:rPr>
                      <w:color w:val="auto"/>
                      <w:szCs w:val="21"/>
                      <w:highlight w:val="none"/>
                    </w:rPr>
                  </w:pPr>
                  <w:r>
                    <w:rPr>
                      <w:color w:val="auto"/>
                      <w:szCs w:val="21"/>
                      <w:highlight w:val="none"/>
                    </w:rPr>
                    <w:t>辅助工程</w:t>
                  </w:r>
                </w:p>
              </w:tc>
              <w:tc>
                <w:tcPr>
                  <w:tcW w:w="516" w:type="pct"/>
                  <w:vAlign w:val="center"/>
                </w:tcPr>
                <w:p>
                  <w:pPr>
                    <w:pStyle w:val="23"/>
                    <w:ind w:left="0" w:leftChars="0"/>
                    <w:jc w:val="center"/>
                    <w:rPr>
                      <w:rFonts w:hint="eastAsia" w:eastAsia="宋体"/>
                      <w:color w:val="auto"/>
                      <w:szCs w:val="21"/>
                      <w:highlight w:val="none"/>
                      <w:lang w:eastAsia="zh-CN"/>
                    </w:rPr>
                  </w:pPr>
                  <w:r>
                    <w:rPr>
                      <w:rFonts w:hint="eastAsia"/>
                      <w:color w:val="auto"/>
                      <w:szCs w:val="21"/>
                      <w:highlight w:val="none"/>
                      <w:lang w:eastAsia="zh-CN"/>
                    </w:rPr>
                    <w:t>配电室</w:t>
                  </w:r>
                </w:p>
              </w:tc>
              <w:tc>
                <w:tcPr>
                  <w:tcW w:w="3275" w:type="pct"/>
                  <w:gridSpan w:val="2"/>
                  <w:vAlign w:val="center"/>
                </w:tcPr>
                <w:p>
                  <w:pPr>
                    <w:pStyle w:val="23"/>
                    <w:ind w:left="0" w:leftChars="0"/>
                    <w:rPr>
                      <w:color w:val="auto"/>
                      <w:szCs w:val="21"/>
                      <w:highlight w:val="none"/>
                    </w:rPr>
                  </w:pPr>
                  <w:r>
                    <w:rPr>
                      <w:rFonts w:hint="eastAsia"/>
                      <w:color w:val="auto"/>
                      <w:szCs w:val="21"/>
                      <w:highlight w:val="none"/>
                      <w:lang w:eastAsia="zh-CN"/>
                    </w:rPr>
                    <w:t>位于厂房内，占地面积</w:t>
                  </w:r>
                  <w:r>
                    <w:rPr>
                      <w:rFonts w:hint="eastAsia"/>
                      <w:color w:val="auto"/>
                      <w:szCs w:val="21"/>
                      <w:highlight w:val="none"/>
                      <w:lang w:val="en-US" w:eastAsia="zh-CN"/>
                    </w:rPr>
                    <w:t>20</w:t>
                  </w:r>
                  <w:r>
                    <w:rPr>
                      <w:color w:val="auto"/>
                      <w:sz w:val="24"/>
                      <w:highlight w:val="none"/>
                    </w:rPr>
                    <w:t>m</w:t>
                  </w:r>
                  <w:r>
                    <w:rPr>
                      <w:color w:val="auto"/>
                      <w:sz w:val="24"/>
                      <w:highlight w:val="none"/>
                      <w:vertAlign w:val="superscript"/>
                    </w:rPr>
                    <w:t>2</w:t>
                  </w:r>
                  <w:r>
                    <w:rPr>
                      <w:rFonts w:hint="eastAsia"/>
                      <w:color w:val="auto"/>
                      <w:szCs w:val="21"/>
                      <w:highlight w:val="none"/>
                      <w:lang w:val="en-US" w:eastAsia="zh-CN"/>
                    </w:rPr>
                    <w:t>。</w:t>
                  </w:r>
                </w:p>
              </w:tc>
              <w:tc>
                <w:tcPr>
                  <w:tcW w:w="809" w:type="pct"/>
                  <w:vAlign w:val="center"/>
                </w:tcPr>
                <w:p>
                  <w:pPr>
                    <w:pStyle w:val="23"/>
                    <w:ind w:left="0" w:leftChars="0"/>
                    <w:rPr>
                      <w:rFonts w:hint="eastAsia"/>
                      <w:color w:val="auto"/>
                      <w:szCs w:val="21"/>
                      <w:highlight w:val="none"/>
                      <w:lang w:eastAsia="zh-CN"/>
                    </w:rPr>
                  </w:pPr>
                  <w:r>
                    <w:rPr>
                      <w:rFonts w:hint="eastAsia"/>
                      <w:color w:val="auto"/>
                      <w:szCs w:val="21"/>
                      <w:highlight w:val="none"/>
                      <w:lang w:eastAsia="zh-CN"/>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399" w:type="pct"/>
                  <w:vMerge w:val="continue"/>
                  <w:vAlign w:val="center"/>
                </w:tcPr>
                <w:p>
                  <w:pPr>
                    <w:pStyle w:val="23"/>
                    <w:ind w:left="0" w:leftChars="0"/>
                    <w:jc w:val="center"/>
                    <w:rPr>
                      <w:color w:val="auto"/>
                      <w:szCs w:val="21"/>
                      <w:highlight w:val="none"/>
                    </w:rPr>
                  </w:pPr>
                </w:p>
              </w:tc>
              <w:tc>
                <w:tcPr>
                  <w:tcW w:w="516" w:type="pct"/>
                  <w:vAlign w:val="center"/>
                </w:tcPr>
                <w:p>
                  <w:pPr>
                    <w:pStyle w:val="23"/>
                    <w:ind w:left="0" w:leftChars="0"/>
                    <w:jc w:val="center"/>
                    <w:rPr>
                      <w:rFonts w:hint="eastAsia"/>
                      <w:color w:val="auto"/>
                      <w:szCs w:val="21"/>
                      <w:highlight w:val="none"/>
                      <w:lang w:eastAsia="zh-CN"/>
                    </w:rPr>
                  </w:pPr>
                  <w:r>
                    <w:rPr>
                      <w:rFonts w:hint="eastAsia"/>
                      <w:color w:val="auto"/>
                      <w:szCs w:val="21"/>
                      <w:highlight w:val="none"/>
                      <w:lang w:eastAsia="zh-CN"/>
                    </w:rPr>
                    <w:t>职工生活区</w:t>
                  </w:r>
                </w:p>
              </w:tc>
              <w:tc>
                <w:tcPr>
                  <w:tcW w:w="3275" w:type="pct"/>
                  <w:gridSpan w:val="2"/>
                  <w:vAlign w:val="center"/>
                </w:tcPr>
                <w:p>
                  <w:pPr>
                    <w:pStyle w:val="23"/>
                    <w:ind w:left="0" w:leftChars="0"/>
                    <w:rPr>
                      <w:rFonts w:hint="default" w:eastAsia="宋体"/>
                      <w:color w:val="auto"/>
                      <w:szCs w:val="21"/>
                      <w:highlight w:val="none"/>
                      <w:lang w:val="en-US" w:eastAsia="zh-CN"/>
                    </w:rPr>
                  </w:pPr>
                  <w:r>
                    <w:rPr>
                      <w:rFonts w:hint="eastAsia"/>
                      <w:color w:val="auto"/>
                      <w:szCs w:val="21"/>
                      <w:highlight w:val="none"/>
                      <w:lang w:eastAsia="zh-CN"/>
                    </w:rPr>
                    <w:t>位于厂房内，主要为卫生间、更衣室等，占地面积</w:t>
                  </w:r>
                  <w:r>
                    <w:rPr>
                      <w:rFonts w:hint="eastAsia"/>
                      <w:color w:val="auto"/>
                      <w:szCs w:val="21"/>
                      <w:highlight w:val="none"/>
                      <w:lang w:val="en-US" w:eastAsia="zh-CN"/>
                    </w:rPr>
                    <w:t>115</w:t>
                  </w:r>
                  <w:r>
                    <w:rPr>
                      <w:color w:val="auto"/>
                      <w:sz w:val="24"/>
                      <w:highlight w:val="none"/>
                    </w:rPr>
                    <w:t>m</w:t>
                  </w:r>
                  <w:r>
                    <w:rPr>
                      <w:color w:val="auto"/>
                      <w:sz w:val="24"/>
                      <w:highlight w:val="none"/>
                      <w:vertAlign w:val="superscript"/>
                    </w:rPr>
                    <w:t>2</w:t>
                  </w:r>
                  <w:r>
                    <w:rPr>
                      <w:rFonts w:hint="eastAsia"/>
                      <w:color w:val="auto"/>
                      <w:szCs w:val="21"/>
                      <w:highlight w:val="none"/>
                      <w:lang w:val="en-US" w:eastAsia="zh-CN"/>
                    </w:rPr>
                    <w:t>，无食堂。</w:t>
                  </w:r>
                </w:p>
              </w:tc>
              <w:tc>
                <w:tcPr>
                  <w:tcW w:w="809" w:type="pct"/>
                  <w:vAlign w:val="center"/>
                </w:tcPr>
                <w:p>
                  <w:pPr>
                    <w:pStyle w:val="23"/>
                    <w:ind w:left="0" w:leftChars="0"/>
                    <w:rPr>
                      <w:rFonts w:hint="eastAsia"/>
                      <w:color w:val="auto"/>
                      <w:szCs w:val="21"/>
                      <w:highlight w:val="none"/>
                      <w:lang w:eastAsia="zh-CN"/>
                    </w:rPr>
                  </w:pPr>
                  <w:r>
                    <w:rPr>
                      <w:rFonts w:hint="eastAsia"/>
                      <w:color w:val="auto"/>
                      <w:szCs w:val="21"/>
                      <w:highlight w:val="none"/>
                      <w:lang w:eastAsia="zh-CN"/>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99" w:type="pct"/>
                  <w:vMerge w:val="continue"/>
                  <w:vAlign w:val="center"/>
                </w:tcPr>
                <w:p>
                  <w:pPr>
                    <w:pStyle w:val="23"/>
                    <w:ind w:left="0" w:leftChars="0"/>
                    <w:jc w:val="center"/>
                    <w:rPr>
                      <w:color w:val="auto"/>
                      <w:szCs w:val="21"/>
                      <w:highlight w:val="none"/>
                    </w:rPr>
                  </w:pPr>
                </w:p>
              </w:tc>
              <w:tc>
                <w:tcPr>
                  <w:tcW w:w="516" w:type="pct"/>
                  <w:vAlign w:val="center"/>
                </w:tcPr>
                <w:p>
                  <w:pPr>
                    <w:pStyle w:val="23"/>
                    <w:ind w:left="0" w:leftChars="0"/>
                    <w:jc w:val="center"/>
                    <w:rPr>
                      <w:color w:val="auto"/>
                      <w:szCs w:val="21"/>
                      <w:highlight w:val="none"/>
                    </w:rPr>
                  </w:pPr>
                  <w:r>
                    <w:rPr>
                      <w:color w:val="auto"/>
                      <w:szCs w:val="21"/>
                      <w:highlight w:val="none"/>
                    </w:rPr>
                    <w:t>原料储存区</w:t>
                  </w:r>
                </w:p>
              </w:tc>
              <w:tc>
                <w:tcPr>
                  <w:tcW w:w="3275" w:type="pct"/>
                  <w:gridSpan w:val="2"/>
                  <w:vAlign w:val="center"/>
                </w:tcPr>
                <w:p>
                  <w:pPr>
                    <w:pStyle w:val="23"/>
                    <w:ind w:left="0" w:leftChars="0"/>
                    <w:rPr>
                      <w:color w:val="auto"/>
                      <w:szCs w:val="21"/>
                      <w:highlight w:val="none"/>
                    </w:rPr>
                  </w:pPr>
                  <w:r>
                    <w:rPr>
                      <w:color w:val="auto"/>
                      <w:szCs w:val="21"/>
                      <w:highlight w:val="none"/>
                    </w:rPr>
                    <w:t>布置于厂房</w:t>
                  </w:r>
                  <w:r>
                    <w:rPr>
                      <w:rFonts w:hint="eastAsia"/>
                      <w:color w:val="auto"/>
                      <w:szCs w:val="21"/>
                      <w:highlight w:val="none"/>
                      <w:lang w:eastAsia="zh-CN"/>
                    </w:rPr>
                    <w:t>西南</w:t>
                  </w:r>
                  <w:r>
                    <w:rPr>
                      <w:color w:val="auto"/>
                      <w:szCs w:val="21"/>
                      <w:highlight w:val="none"/>
                    </w:rPr>
                    <w:t>侧，占地面积约为</w:t>
                  </w:r>
                  <w:r>
                    <w:rPr>
                      <w:rFonts w:hint="eastAsia"/>
                      <w:color w:val="auto"/>
                      <w:szCs w:val="21"/>
                      <w:highlight w:val="none"/>
                      <w:lang w:val="en-US" w:eastAsia="zh-CN"/>
                    </w:rPr>
                    <w:t>500</w:t>
                  </w:r>
                  <w:r>
                    <w:rPr>
                      <w:color w:val="auto"/>
                      <w:sz w:val="24"/>
                      <w:highlight w:val="none"/>
                    </w:rPr>
                    <w:t>m</w:t>
                  </w:r>
                  <w:r>
                    <w:rPr>
                      <w:color w:val="auto"/>
                      <w:sz w:val="24"/>
                      <w:highlight w:val="none"/>
                      <w:vertAlign w:val="superscript"/>
                    </w:rPr>
                    <w:t>2</w:t>
                  </w:r>
                  <w:r>
                    <w:rPr>
                      <w:color w:val="auto"/>
                      <w:szCs w:val="21"/>
                      <w:highlight w:val="none"/>
                    </w:rPr>
                    <w:t>。</w:t>
                  </w:r>
                </w:p>
              </w:tc>
              <w:tc>
                <w:tcPr>
                  <w:tcW w:w="809" w:type="pct"/>
                  <w:vAlign w:val="center"/>
                </w:tcPr>
                <w:p>
                  <w:pPr>
                    <w:pStyle w:val="23"/>
                    <w:ind w:left="0" w:leftChars="0"/>
                    <w:rPr>
                      <w:rFonts w:hint="eastAsia"/>
                      <w:color w:val="auto"/>
                      <w:szCs w:val="21"/>
                      <w:highlight w:val="none"/>
                      <w:lang w:eastAsia="zh-CN"/>
                    </w:rPr>
                  </w:pPr>
                  <w:r>
                    <w:rPr>
                      <w:rFonts w:hint="eastAsia"/>
                      <w:color w:val="auto"/>
                      <w:szCs w:val="21"/>
                      <w:highlight w:val="none"/>
                      <w:lang w:eastAsia="zh-CN"/>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06" w:hRule="atLeast"/>
              </w:trPr>
              <w:tc>
                <w:tcPr>
                  <w:tcW w:w="399" w:type="pct"/>
                  <w:vMerge w:val="continue"/>
                  <w:vAlign w:val="center"/>
                </w:tcPr>
                <w:p>
                  <w:pPr>
                    <w:pStyle w:val="23"/>
                    <w:ind w:left="0" w:leftChars="0"/>
                    <w:jc w:val="center"/>
                    <w:rPr>
                      <w:color w:val="auto"/>
                      <w:szCs w:val="21"/>
                      <w:highlight w:val="none"/>
                    </w:rPr>
                  </w:pPr>
                </w:p>
              </w:tc>
              <w:tc>
                <w:tcPr>
                  <w:tcW w:w="516" w:type="pct"/>
                  <w:vAlign w:val="center"/>
                </w:tcPr>
                <w:p>
                  <w:pPr>
                    <w:pStyle w:val="23"/>
                    <w:ind w:left="0" w:leftChars="0"/>
                    <w:jc w:val="center"/>
                    <w:rPr>
                      <w:color w:val="auto"/>
                      <w:szCs w:val="21"/>
                      <w:highlight w:val="none"/>
                    </w:rPr>
                  </w:pPr>
                  <w:r>
                    <w:rPr>
                      <w:rFonts w:hint="eastAsia"/>
                      <w:color w:val="auto"/>
                      <w:szCs w:val="21"/>
                      <w:highlight w:val="none"/>
                      <w:lang w:eastAsia="zh-CN"/>
                    </w:rPr>
                    <w:t>产品存储区</w:t>
                  </w:r>
                </w:p>
              </w:tc>
              <w:tc>
                <w:tcPr>
                  <w:tcW w:w="3275" w:type="pct"/>
                  <w:gridSpan w:val="2"/>
                  <w:vAlign w:val="center"/>
                </w:tcPr>
                <w:p>
                  <w:pPr>
                    <w:pStyle w:val="23"/>
                    <w:ind w:left="0" w:leftChars="0"/>
                    <w:rPr>
                      <w:color w:val="auto"/>
                      <w:szCs w:val="21"/>
                      <w:highlight w:val="none"/>
                    </w:rPr>
                  </w:pPr>
                  <w:r>
                    <w:rPr>
                      <w:color w:val="auto"/>
                      <w:szCs w:val="21"/>
                      <w:highlight w:val="none"/>
                    </w:rPr>
                    <w:t>布置于厂房</w:t>
                  </w:r>
                  <w:r>
                    <w:rPr>
                      <w:rFonts w:hint="eastAsia"/>
                      <w:color w:val="auto"/>
                      <w:szCs w:val="21"/>
                      <w:highlight w:val="none"/>
                      <w:lang w:eastAsia="zh-CN"/>
                    </w:rPr>
                    <w:t>东南</w:t>
                  </w:r>
                  <w:r>
                    <w:rPr>
                      <w:color w:val="auto"/>
                      <w:szCs w:val="21"/>
                      <w:highlight w:val="none"/>
                    </w:rPr>
                    <w:t>侧，占地面积约为</w:t>
                  </w:r>
                  <w:r>
                    <w:rPr>
                      <w:rFonts w:hint="eastAsia"/>
                      <w:color w:val="auto"/>
                      <w:szCs w:val="21"/>
                      <w:highlight w:val="none"/>
                      <w:lang w:val="en-US" w:eastAsia="zh-CN"/>
                    </w:rPr>
                    <w:t>500</w:t>
                  </w:r>
                  <w:r>
                    <w:rPr>
                      <w:color w:val="auto"/>
                      <w:sz w:val="24"/>
                      <w:highlight w:val="none"/>
                    </w:rPr>
                    <w:t>m</w:t>
                  </w:r>
                  <w:r>
                    <w:rPr>
                      <w:color w:val="auto"/>
                      <w:sz w:val="24"/>
                      <w:highlight w:val="none"/>
                      <w:vertAlign w:val="superscript"/>
                    </w:rPr>
                    <w:t>2</w:t>
                  </w:r>
                  <w:r>
                    <w:rPr>
                      <w:color w:val="auto"/>
                      <w:szCs w:val="21"/>
                      <w:highlight w:val="none"/>
                    </w:rPr>
                    <w:t>。</w:t>
                  </w:r>
                </w:p>
              </w:tc>
              <w:tc>
                <w:tcPr>
                  <w:tcW w:w="809" w:type="pct"/>
                  <w:vAlign w:val="center"/>
                </w:tcPr>
                <w:p>
                  <w:pPr>
                    <w:pStyle w:val="23"/>
                    <w:ind w:left="0" w:leftChars="0"/>
                    <w:rPr>
                      <w:rFonts w:hint="default"/>
                      <w:color w:val="auto"/>
                      <w:szCs w:val="21"/>
                      <w:highlight w:val="none"/>
                      <w:lang w:val="en-US" w:eastAsia="zh-CN"/>
                    </w:rPr>
                  </w:pPr>
                  <w:r>
                    <w:rPr>
                      <w:rFonts w:hint="eastAsia"/>
                      <w:color w:val="auto"/>
                      <w:szCs w:val="21"/>
                      <w:highlight w:val="none"/>
                      <w:lang w:eastAsia="zh-CN"/>
                    </w:rPr>
                    <w:t>依托，</w:t>
                  </w:r>
                  <w:r>
                    <w:rPr>
                      <w:rFonts w:hint="eastAsia"/>
                      <w:color w:val="auto"/>
                      <w:szCs w:val="21"/>
                      <w:highlight w:val="none"/>
                      <w:lang w:val="en-US" w:eastAsia="zh-CN"/>
                    </w:rPr>
                    <w:t>原</w:t>
                  </w:r>
                  <w:r>
                    <w:rPr>
                      <w:rFonts w:hint="eastAsia"/>
                      <w:color w:val="auto"/>
                      <w:szCs w:val="21"/>
                      <w:highlight w:val="none"/>
                      <w:lang w:eastAsia="zh-CN"/>
                    </w:rPr>
                    <w:t>产品存储区占地面积约</w:t>
                  </w:r>
                  <w:r>
                    <w:rPr>
                      <w:rFonts w:hint="eastAsia"/>
                      <w:color w:val="auto"/>
                      <w:szCs w:val="21"/>
                      <w:highlight w:val="none"/>
                      <w:lang w:val="en-US" w:eastAsia="zh-CN"/>
                    </w:rPr>
                    <w:t>1300</w:t>
                  </w:r>
                  <w:r>
                    <w:rPr>
                      <w:color w:val="auto"/>
                      <w:sz w:val="24"/>
                      <w:highlight w:val="none"/>
                    </w:rPr>
                    <w:t>m</w:t>
                  </w:r>
                  <w:r>
                    <w:rPr>
                      <w:color w:val="auto"/>
                      <w:sz w:val="24"/>
                      <w:highlight w:val="none"/>
                      <w:vertAlign w:val="superscript"/>
                    </w:rPr>
                    <w:t>2</w:t>
                  </w:r>
                  <w:r>
                    <w:rPr>
                      <w:rFonts w:hint="eastAsia"/>
                      <w:color w:val="auto"/>
                      <w:szCs w:val="21"/>
                      <w:highlight w:val="none"/>
                      <w:lang w:val="en-US" w:eastAsia="zh-CN"/>
                    </w:rPr>
                    <w:t>，本次扩建后为500</w:t>
                  </w:r>
                  <w:r>
                    <w:rPr>
                      <w:color w:val="auto"/>
                      <w:sz w:val="24"/>
                      <w:highlight w:val="none"/>
                    </w:rPr>
                    <w:t>m</w:t>
                  </w:r>
                  <w:r>
                    <w:rPr>
                      <w:color w:val="auto"/>
                      <w:sz w:val="24"/>
                      <w:highlight w:val="none"/>
                      <w:vertAlign w:val="superscript"/>
                    </w:rPr>
                    <w:t>2</w:t>
                  </w:r>
                  <w:r>
                    <w:rPr>
                      <w:rFonts w:hint="eastAsia"/>
                      <w:color w:val="auto"/>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99" w:type="pct"/>
                  <w:vMerge w:val="restart"/>
                  <w:vAlign w:val="center"/>
                </w:tcPr>
                <w:p>
                  <w:pPr>
                    <w:pStyle w:val="23"/>
                    <w:ind w:left="0" w:leftChars="0"/>
                    <w:jc w:val="center"/>
                    <w:rPr>
                      <w:color w:val="auto"/>
                      <w:szCs w:val="21"/>
                      <w:highlight w:val="none"/>
                    </w:rPr>
                  </w:pPr>
                  <w:r>
                    <w:rPr>
                      <w:color w:val="auto"/>
                      <w:szCs w:val="21"/>
                      <w:highlight w:val="none"/>
                    </w:rPr>
                    <w:t>公用工程</w:t>
                  </w:r>
                </w:p>
              </w:tc>
              <w:tc>
                <w:tcPr>
                  <w:tcW w:w="516" w:type="pct"/>
                  <w:vAlign w:val="center"/>
                </w:tcPr>
                <w:p>
                  <w:pPr>
                    <w:keepNext w:val="0"/>
                    <w:keepLines w:val="0"/>
                    <w:pageBreakBefore w:val="0"/>
                    <w:kinsoku w:val="0"/>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sz w:val="21"/>
                      <w:szCs w:val="21"/>
                      <w:highlight w:val="none"/>
                      <w:u w:val="none"/>
                    </w:rPr>
                    <w:t>供水</w:t>
                  </w:r>
                </w:p>
              </w:tc>
              <w:tc>
                <w:tcPr>
                  <w:tcW w:w="3275" w:type="pct"/>
                  <w:gridSpan w:val="2"/>
                  <w:vAlign w:val="center"/>
                </w:tcPr>
                <w:p>
                  <w:pPr>
                    <w:keepNext w:val="0"/>
                    <w:keepLines w:val="0"/>
                    <w:pageBreakBefore w:val="0"/>
                    <w:kinsoku w:val="0"/>
                    <w:wordWrap/>
                    <w:overflowPunct/>
                    <w:topLinePunct w:val="0"/>
                    <w:autoSpaceDE/>
                    <w:autoSpaceDN/>
                    <w:bidi w:val="0"/>
                    <w:adjustRightInd/>
                    <w:snapToGrid/>
                    <w:spacing w:line="240" w:lineRule="auto"/>
                    <w:ind w:right="0" w:rightChars="0"/>
                    <w:jc w:val="center"/>
                    <w:textAlignment w:val="auto"/>
                    <w:outlineLvl w:val="9"/>
                    <w:rPr>
                      <w:rFonts w:hint="eastAsia" w:ascii="Times New Roman" w:hAnsi="Times New Roman" w:eastAsia="宋体" w:cs="Times New Roman"/>
                      <w:i w:val="0"/>
                      <w:iCs w:val="0"/>
                      <w:color w:val="auto"/>
                      <w:kern w:val="2"/>
                      <w:sz w:val="21"/>
                      <w:szCs w:val="21"/>
                      <w:highlight w:val="none"/>
                      <w:u w:val="none"/>
                      <w:lang w:val="en-US" w:eastAsia="zh-CN" w:bidi="ar-SA"/>
                    </w:rPr>
                  </w:pPr>
                  <w:r>
                    <w:rPr>
                      <w:rFonts w:hint="eastAsia" w:ascii="Times New Roman" w:hAnsi="Times New Roman" w:eastAsia="宋体" w:cs="Times New Roman"/>
                      <w:i w:val="0"/>
                      <w:iCs w:val="0"/>
                      <w:color w:val="auto"/>
                      <w:sz w:val="21"/>
                      <w:szCs w:val="21"/>
                      <w:highlight w:val="none"/>
                      <w:u w:val="none"/>
                      <w:lang w:eastAsia="zh-CN"/>
                    </w:rPr>
                    <w:t>由市政管网供给</w:t>
                  </w:r>
                </w:p>
              </w:tc>
              <w:tc>
                <w:tcPr>
                  <w:tcW w:w="809" w:type="pct"/>
                  <w:vAlign w:val="center"/>
                </w:tcPr>
                <w:p>
                  <w:pPr>
                    <w:pStyle w:val="23"/>
                    <w:ind w:left="0" w:leftChars="0"/>
                    <w:rPr>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399" w:type="pct"/>
                  <w:vMerge w:val="continue"/>
                  <w:vAlign w:val="center"/>
                </w:tcPr>
                <w:p>
                  <w:pPr>
                    <w:pStyle w:val="23"/>
                    <w:ind w:left="0" w:leftChars="0"/>
                    <w:jc w:val="center"/>
                    <w:rPr>
                      <w:color w:val="auto"/>
                      <w:szCs w:val="21"/>
                      <w:highlight w:val="none"/>
                    </w:rPr>
                  </w:pPr>
                </w:p>
              </w:tc>
              <w:tc>
                <w:tcPr>
                  <w:tcW w:w="516" w:type="pct"/>
                  <w:vAlign w:val="center"/>
                </w:tcPr>
                <w:p>
                  <w:pPr>
                    <w:pStyle w:val="23"/>
                    <w:ind w:left="0" w:leftChars="0"/>
                    <w:jc w:val="center"/>
                    <w:rPr>
                      <w:color w:val="auto"/>
                      <w:szCs w:val="21"/>
                      <w:highlight w:val="none"/>
                    </w:rPr>
                  </w:pPr>
                  <w:r>
                    <w:rPr>
                      <w:color w:val="auto"/>
                      <w:szCs w:val="21"/>
                      <w:highlight w:val="none"/>
                    </w:rPr>
                    <w:t>排水</w:t>
                  </w:r>
                </w:p>
              </w:tc>
              <w:tc>
                <w:tcPr>
                  <w:tcW w:w="3275" w:type="pct"/>
                  <w:gridSpan w:val="2"/>
                  <w:vAlign w:val="center"/>
                </w:tcPr>
                <w:p>
                  <w:pPr>
                    <w:pStyle w:val="23"/>
                    <w:ind w:left="0" w:leftChars="0"/>
                    <w:rPr>
                      <w:color w:val="auto"/>
                      <w:szCs w:val="21"/>
                      <w:highlight w:val="none"/>
                    </w:rPr>
                  </w:pPr>
                  <w:r>
                    <w:rPr>
                      <w:color w:val="auto"/>
                      <w:szCs w:val="21"/>
                      <w:highlight w:val="none"/>
                    </w:rPr>
                    <w:t>本项目运营期废水主要为生活污水、循环冷却水排水、</w:t>
                  </w:r>
                  <w:r>
                    <w:rPr>
                      <w:rFonts w:hint="eastAsia"/>
                      <w:color w:val="auto"/>
                      <w:szCs w:val="21"/>
                      <w:highlight w:val="none"/>
                      <w:lang w:val="en-US" w:eastAsia="zh-CN"/>
                    </w:rPr>
                    <w:t>废水</w:t>
                  </w:r>
                  <w:r>
                    <w:rPr>
                      <w:color w:val="auto"/>
                      <w:szCs w:val="21"/>
                      <w:highlight w:val="none"/>
                    </w:rPr>
                    <w:t>经管网排入市政污水管网后排入长春市北郊污水处理厂，处理达标后排入伊通河。</w:t>
                  </w:r>
                </w:p>
              </w:tc>
              <w:tc>
                <w:tcPr>
                  <w:tcW w:w="809" w:type="pct"/>
                  <w:vAlign w:val="center"/>
                </w:tcPr>
                <w:p>
                  <w:pPr>
                    <w:pStyle w:val="23"/>
                    <w:ind w:left="0" w:leftChars="0"/>
                    <w:rPr>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399" w:type="pct"/>
                  <w:vMerge w:val="continue"/>
                  <w:vAlign w:val="center"/>
                </w:tcPr>
                <w:p>
                  <w:pPr>
                    <w:pStyle w:val="23"/>
                    <w:ind w:left="0" w:leftChars="0"/>
                    <w:jc w:val="center"/>
                    <w:rPr>
                      <w:color w:val="auto"/>
                      <w:szCs w:val="21"/>
                      <w:highlight w:val="none"/>
                    </w:rPr>
                  </w:pPr>
                </w:p>
              </w:tc>
              <w:tc>
                <w:tcPr>
                  <w:tcW w:w="516" w:type="pct"/>
                  <w:vAlign w:val="center"/>
                </w:tcPr>
                <w:p>
                  <w:pPr>
                    <w:pStyle w:val="23"/>
                    <w:ind w:left="0" w:leftChars="0"/>
                    <w:jc w:val="center"/>
                    <w:rPr>
                      <w:color w:val="auto"/>
                      <w:szCs w:val="21"/>
                      <w:highlight w:val="none"/>
                    </w:rPr>
                  </w:pPr>
                  <w:r>
                    <w:rPr>
                      <w:color w:val="auto"/>
                      <w:szCs w:val="21"/>
                      <w:highlight w:val="none"/>
                    </w:rPr>
                    <w:t>生产热源</w:t>
                  </w:r>
                </w:p>
              </w:tc>
              <w:tc>
                <w:tcPr>
                  <w:tcW w:w="3275" w:type="pct"/>
                  <w:gridSpan w:val="2"/>
                  <w:vAlign w:val="center"/>
                </w:tcPr>
                <w:p>
                  <w:pPr>
                    <w:pStyle w:val="23"/>
                    <w:ind w:left="0" w:leftChars="0"/>
                    <w:rPr>
                      <w:color w:val="auto"/>
                      <w:szCs w:val="21"/>
                      <w:highlight w:val="none"/>
                    </w:rPr>
                  </w:pPr>
                  <w:r>
                    <w:rPr>
                      <w:color w:val="auto"/>
                      <w:szCs w:val="21"/>
                      <w:highlight w:val="none"/>
                    </w:rPr>
                    <w:t>本项目工艺需要加热，热源为电加热，满足生产需要。</w:t>
                  </w:r>
                </w:p>
              </w:tc>
              <w:tc>
                <w:tcPr>
                  <w:tcW w:w="809" w:type="pct"/>
                  <w:vAlign w:val="center"/>
                </w:tcPr>
                <w:p>
                  <w:pPr>
                    <w:pStyle w:val="23"/>
                    <w:ind w:left="0" w:leftChars="0"/>
                    <w:rPr>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399" w:type="pct"/>
                  <w:vMerge w:val="continue"/>
                  <w:vAlign w:val="center"/>
                </w:tcPr>
                <w:p>
                  <w:pPr>
                    <w:pStyle w:val="23"/>
                    <w:ind w:left="0" w:leftChars="0"/>
                    <w:jc w:val="center"/>
                    <w:rPr>
                      <w:color w:val="auto"/>
                      <w:szCs w:val="21"/>
                      <w:highlight w:val="none"/>
                    </w:rPr>
                  </w:pPr>
                </w:p>
              </w:tc>
              <w:tc>
                <w:tcPr>
                  <w:tcW w:w="516" w:type="pct"/>
                  <w:vAlign w:val="center"/>
                </w:tcPr>
                <w:p>
                  <w:pPr>
                    <w:pStyle w:val="23"/>
                    <w:ind w:left="0" w:leftChars="0"/>
                    <w:jc w:val="center"/>
                    <w:rPr>
                      <w:rFonts w:ascii="Times New Roman" w:hAnsi="Times New Roman" w:eastAsia="宋体" w:cs="Times New Roman"/>
                      <w:color w:val="auto"/>
                      <w:kern w:val="2"/>
                      <w:sz w:val="21"/>
                      <w:szCs w:val="21"/>
                      <w:highlight w:val="none"/>
                      <w:lang w:val="en-US" w:eastAsia="zh-CN" w:bidi="ar-SA"/>
                    </w:rPr>
                  </w:pPr>
                  <w:r>
                    <w:rPr>
                      <w:color w:val="auto"/>
                      <w:szCs w:val="21"/>
                      <w:highlight w:val="none"/>
                    </w:rPr>
                    <w:t>生活供热</w:t>
                  </w:r>
                </w:p>
              </w:tc>
              <w:tc>
                <w:tcPr>
                  <w:tcW w:w="3275" w:type="pct"/>
                  <w:gridSpan w:val="2"/>
                  <w:vAlign w:val="center"/>
                </w:tcPr>
                <w:p>
                  <w:pPr>
                    <w:pStyle w:val="23"/>
                    <w:ind w:left="0" w:leftChars="0"/>
                    <w:rPr>
                      <w:rFonts w:ascii="Times New Roman" w:hAnsi="Times New Roman" w:eastAsia="宋体" w:cs="Times New Roman"/>
                      <w:color w:val="auto"/>
                      <w:kern w:val="2"/>
                      <w:sz w:val="21"/>
                      <w:szCs w:val="21"/>
                      <w:highlight w:val="none"/>
                      <w:lang w:val="en-US" w:eastAsia="zh-CN" w:bidi="ar-SA"/>
                    </w:rPr>
                  </w:pPr>
                  <w:r>
                    <w:rPr>
                      <w:color w:val="auto"/>
                      <w:szCs w:val="21"/>
                      <w:highlight w:val="none"/>
                    </w:rPr>
                    <w:t>由区域集中供热提供，由园区负责配套管线接入，可满足本项目生活采暖需要。</w:t>
                  </w:r>
                </w:p>
              </w:tc>
              <w:tc>
                <w:tcPr>
                  <w:tcW w:w="809" w:type="pct"/>
                  <w:vAlign w:val="center"/>
                </w:tcPr>
                <w:p>
                  <w:pPr>
                    <w:pStyle w:val="23"/>
                    <w:ind w:left="0" w:leftChars="0"/>
                    <w:rPr>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99" w:type="pct"/>
                  <w:vMerge w:val="continue"/>
                  <w:vAlign w:val="center"/>
                </w:tcPr>
                <w:p>
                  <w:pPr>
                    <w:pStyle w:val="23"/>
                    <w:ind w:left="0" w:leftChars="0"/>
                    <w:jc w:val="center"/>
                    <w:rPr>
                      <w:color w:val="auto"/>
                      <w:szCs w:val="21"/>
                      <w:highlight w:val="none"/>
                    </w:rPr>
                  </w:pPr>
                </w:p>
              </w:tc>
              <w:tc>
                <w:tcPr>
                  <w:tcW w:w="516" w:type="pct"/>
                  <w:vAlign w:val="center"/>
                </w:tcPr>
                <w:p>
                  <w:pPr>
                    <w:pStyle w:val="23"/>
                    <w:ind w:left="0" w:leftChars="0"/>
                    <w:jc w:val="center"/>
                    <w:rPr>
                      <w:rFonts w:ascii="Times New Roman" w:hAnsi="Times New Roman" w:eastAsia="宋体" w:cs="Times New Roman"/>
                      <w:color w:val="auto"/>
                      <w:kern w:val="2"/>
                      <w:sz w:val="21"/>
                      <w:szCs w:val="21"/>
                      <w:highlight w:val="none"/>
                      <w:lang w:val="en-US" w:eastAsia="zh-CN" w:bidi="ar-SA"/>
                    </w:rPr>
                  </w:pPr>
                  <w:r>
                    <w:rPr>
                      <w:color w:val="auto"/>
                      <w:szCs w:val="21"/>
                      <w:highlight w:val="none"/>
                    </w:rPr>
                    <w:t>用电</w:t>
                  </w:r>
                </w:p>
              </w:tc>
              <w:tc>
                <w:tcPr>
                  <w:tcW w:w="3275" w:type="pct"/>
                  <w:gridSpan w:val="2"/>
                  <w:vAlign w:val="center"/>
                </w:tcPr>
                <w:p>
                  <w:pPr>
                    <w:pStyle w:val="23"/>
                    <w:ind w:left="0" w:leftChars="0"/>
                    <w:rPr>
                      <w:rFonts w:ascii="Times New Roman" w:hAnsi="Times New Roman" w:eastAsia="宋体" w:cs="Times New Roman"/>
                      <w:color w:val="auto"/>
                      <w:kern w:val="2"/>
                      <w:sz w:val="21"/>
                      <w:szCs w:val="21"/>
                      <w:highlight w:val="none"/>
                      <w:lang w:val="en-US" w:eastAsia="zh-CN" w:bidi="ar-SA"/>
                    </w:rPr>
                  </w:pPr>
                  <w:r>
                    <w:rPr>
                      <w:color w:val="auto"/>
                      <w:szCs w:val="21"/>
                      <w:highlight w:val="none"/>
                    </w:rPr>
                    <w:t>由市政供电线路接入，满足项目需求。</w:t>
                  </w:r>
                </w:p>
              </w:tc>
              <w:tc>
                <w:tcPr>
                  <w:tcW w:w="809" w:type="pct"/>
                  <w:vAlign w:val="center"/>
                </w:tcPr>
                <w:p>
                  <w:pPr>
                    <w:pStyle w:val="23"/>
                    <w:ind w:left="0" w:leftChars="0"/>
                    <w:rPr>
                      <w:rFonts w:ascii="Times New Roman" w:hAnsi="Times New Roman" w:eastAsia="宋体" w:cs="Times New Roman"/>
                      <w:color w:val="auto"/>
                      <w:kern w:val="2"/>
                      <w:sz w:val="21"/>
                      <w:szCs w:val="21"/>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399" w:type="pct"/>
                  <w:vMerge w:val="restart"/>
                  <w:vAlign w:val="center"/>
                </w:tcPr>
                <w:p>
                  <w:pPr>
                    <w:pStyle w:val="23"/>
                    <w:ind w:left="0" w:leftChars="0"/>
                    <w:jc w:val="center"/>
                    <w:rPr>
                      <w:color w:val="auto"/>
                      <w:szCs w:val="21"/>
                      <w:highlight w:val="none"/>
                    </w:rPr>
                  </w:pPr>
                  <w:r>
                    <w:rPr>
                      <w:color w:val="auto"/>
                      <w:szCs w:val="21"/>
                      <w:highlight w:val="none"/>
                    </w:rPr>
                    <w:t>环保工程</w:t>
                  </w:r>
                </w:p>
              </w:tc>
              <w:tc>
                <w:tcPr>
                  <w:tcW w:w="516" w:type="pct"/>
                  <w:vMerge w:val="restart"/>
                  <w:vAlign w:val="center"/>
                </w:tcPr>
                <w:p>
                  <w:pPr>
                    <w:pStyle w:val="23"/>
                    <w:ind w:left="0" w:leftChars="0"/>
                    <w:jc w:val="center"/>
                    <w:rPr>
                      <w:color w:val="auto"/>
                      <w:szCs w:val="21"/>
                      <w:highlight w:val="none"/>
                    </w:rPr>
                  </w:pPr>
                  <w:r>
                    <w:rPr>
                      <w:color w:val="auto"/>
                      <w:szCs w:val="21"/>
                      <w:highlight w:val="none"/>
                    </w:rPr>
                    <w:t>废气</w:t>
                  </w:r>
                </w:p>
              </w:tc>
              <w:tc>
                <w:tcPr>
                  <w:tcW w:w="771" w:type="pct"/>
                  <w:vAlign w:val="center"/>
                </w:tcPr>
                <w:p>
                  <w:pPr>
                    <w:pStyle w:val="23"/>
                    <w:ind w:left="0" w:leftChars="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清洗、防锈、注塑废气</w:t>
                  </w:r>
                </w:p>
              </w:tc>
              <w:tc>
                <w:tcPr>
                  <w:tcW w:w="2504" w:type="pct"/>
                  <w:vAlign w:val="center"/>
                </w:tcPr>
                <w:p>
                  <w:pPr>
                    <w:pStyle w:val="23"/>
                    <w:ind w:left="0" w:leftChars="0"/>
                    <w:rPr>
                      <w:rFonts w:hint="default" w:ascii="Times New Roman" w:hAnsi="Times New Roman" w:eastAsia="宋体" w:cs="Times New Roman"/>
                      <w:color w:val="auto"/>
                      <w:szCs w:val="21"/>
                      <w:highlight w:val="none"/>
                      <w:lang w:val="en-US" w:eastAsia="zh-CN"/>
                    </w:rPr>
                  </w:pPr>
                  <w:r>
                    <w:rPr>
                      <w:rFonts w:ascii="Times New Roman" w:hAnsi="Times New Roman" w:eastAsia="宋体" w:cs="Times New Roman"/>
                      <w:color w:val="auto"/>
                      <w:szCs w:val="21"/>
                      <w:highlight w:val="none"/>
                    </w:rPr>
                    <w:t>集气罩+活性炭吸附装置+15m高排气筒</w:t>
                  </w:r>
                </w:p>
              </w:tc>
              <w:tc>
                <w:tcPr>
                  <w:tcW w:w="809" w:type="pct"/>
                  <w:vAlign w:val="center"/>
                </w:tcPr>
                <w:p>
                  <w:pPr>
                    <w:pStyle w:val="23"/>
                    <w:ind w:left="0" w:leftChars="0"/>
                    <w:rPr>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99" w:type="pct"/>
                  <w:vMerge w:val="continue"/>
                  <w:vAlign w:val="center"/>
                </w:tcPr>
                <w:p>
                  <w:pPr>
                    <w:pStyle w:val="23"/>
                    <w:ind w:left="0" w:leftChars="0"/>
                    <w:jc w:val="center"/>
                    <w:rPr>
                      <w:color w:val="auto"/>
                      <w:szCs w:val="21"/>
                      <w:highlight w:val="none"/>
                    </w:rPr>
                  </w:pPr>
                </w:p>
              </w:tc>
              <w:tc>
                <w:tcPr>
                  <w:tcW w:w="516" w:type="pct"/>
                  <w:vMerge w:val="continue"/>
                  <w:vAlign w:val="center"/>
                </w:tcPr>
                <w:p>
                  <w:pPr>
                    <w:pStyle w:val="23"/>
                    <w:ind w:left="0" w:leftChars="0"/>
                    <w:jc w:val="center"/>
                    <w:rPr>
                      <w:color w:val="auto"/>
                      <w:szCs w:val="21"/>
                      <w:highlight w:val="none"/>
                    </w:rPr>
                  </w:pPr>
                </w:p>
              </w:tc>
              <w:tc>
                <w:tcPr>
                  <w:tcW w:w="771" w:type="pct"/>
                  <w:vAlign w:val="center"/>
                </w:tcPr>
                <w:p>
                  <w:pPr>
                    <w:pStyle w:val="23"/>
                    <w:ind w:left="0" w:leftChars="0"/>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破碎</w:t>
                  </w:r>
                  <w:r>
                    <w:rPr>
                      <w:rFonts w:hint="default" w:ascii="Times New Roman" w:hAnsi="Times New Roman" w:eastAsia="宋体" w:cs="Times New Roman"/>
                      <w:color w:val="auto"/>
                      <w:szCs w:val="21"/>
                      <w:highlight w:val="none"/>
                      <w:lang w:val="en-US" w:eastAsia="zh-CN"/>
                    </w:rPr>
                    <w:t>废气</w:t>
                  </w:r>
                </w:p>
              </w:tc>
              <w:tc>
                <w:tcPr>
                  <w:tcW w:w="2504" w:type="pct"/>
                  <w:vAlign w:val="center"/>
                </w:tcPr>
                <w:p>
                  <w:pPr>
                    <w:pStyle w:val="23"/>
                    <w:ind w:left="0" w:leftChars="0"/>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袋式除尘器</w:t>
                  </w:r>
                  <w:r>
                    <w:rPr>
                      <w:rFonts w:ascii="Times New Roman" w:hAnsi="Times New Roman" w:eastAsia="宋体" w:cs="Times New Roman"/>
                      <w:color w:val="auto"/>
                      <w:szCs w:val="21"/>
                      <w:highlight w:val="none"/>
                    </w:rPr>
                    <w:t>+15m高排气筒</w:t>
                  </w:r>
                </w:p>
              </w:tc>
              <w:tc>
                <w:tcPr>
                  <w:tcW w:w="809" w:type="pct"/>
                  <w:vAlign w:val="center"/>
                </w:tcPr>
                <w:p>
                  <w:pPr>
                    <w:pStyle w:val="23"/>
                    <w:ind w:left="0" w:leftChars="0"/>
                    <w:rPr>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399" w:type="pct"/>
                  <w:vMerge w:val="continue"/>
                  <w:vAlign w:val="center"/>
                </w:tcPr>
                <w:p>
                  <w:pPr>
                    <w:pStyle w:val="23"/>
                    <w:ind w:left="0" w:leftChars="0"/>
                    <w:jc w:val="center"/>
                    <w:rPr>
                      <w:color w:val="auto"/>
                      <w:szCs w:val="21"/>
                      <w:highlight w:val="none"/>
                    </w:rPr>
                  </w:pPr>
                </w:p>
              </w:tc>
              <w:tc>
                <w:tcPr>
                  <w:tcW w:w="516" w:type="pct"/>
                  <w:vMerge w:val="restart"/>
                  <w:vAlign w:val="center"/>
                </w:tcPr>
                <w:p>
                  <w:pPr>
                    <w:pStyle w:val="23"/>
                    <w:ind w:left="0" w:leftChars="0"/>
                    <w:jc w:val="center"/>
                    <w:rPr>
                      <w:color w:val="auto"/>
                      <w:szCs w:val="21"/>
                      <w:highlight w:val="none"/>
                    </w:rPr>
                  </w:pPr>
                  <w:r>
                    <w:rPr>
                      <w:color w:val="auto"/>
                      <w:szCs w:val="21"/>
                      <w:highlight w:val="none"/>
                    </w:rPr>
                    <w:t>废水</w:t>
                  </w:r>
                </w:p>
              </w:tc>
              <w:tc>
                <w:tcPr>
                  <w:tcW w:w="771" w:type="pct"/>
                  <w:tcBorders>
                    <w:bottom w:val="single" w:color="000000" w:sz="4" w:space="0"/>
                  </w:tcBorders>
                  <w:vAlign w:val="center"/>
                </w:tcPr>
                <w:p>
                  <w:pPr>
                    <w:pStyle w:val="23"/>
                    <w:ind w:left="0" w:leftChars="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生活污水</w:t>
                  </w:r>
                </w:p>
              </w:tc>
              <w:tc>
                <w:tcPr>
                  <w:tcW w:w="2504" w:type="pct"/>
                  <w:vMerge w:val="restart"/>
                  <w:vAlign w:val="center"/>
                </w:tcPr>
                <w:p>
                  <w:pPr>
                    <w:pStyle w:val="23"/>
                    <w:ind w:left="0" w:leftChars="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经下水管网排入市政污水管网后排入长春市北郊污水处理厂，处理达标后排入伊通河。</w:t>
                  </w:r>
                </w:p>
              </w:tc>
              <w:tc>
                <w:tcPr>
                  <w:tcW w:w="809" w:type="pct"/>
                  <w:vAlign w:val="center"/>
                </w:tcPr>
                <w:p>
                  <w:pPr>
                    <w:pStyle w:val="23"/>
                    <w:ind w:left="0" w:leftChars="0"/>
                    <w:rPr>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399" w:type="pct"/>
                  <w:vMerge w:val="continue"/>
                  <w:vAlign w:val="center"/>
                </w:tcPr>
                <w:p>
                  <w:pPr>
                    <w:pStyle w:val="23"/>
                    <w:ind w:left="0" w:leftChars="0"/>
                    <w:jc w:val="center"/>
                    <w:rPr>
                      <w:color w:val="auto"/>
                      <w:szCs w:val="21"/>
                      <w:highlight w:val="none"/>
                    </w:rPr>
                  </w:pPr>
                </w:p>
              </w:tc>
              <w:tc>
                <w:tcPr>
                  <w:tcW w:w="516" w:type="pct"/>
                  <w:vMerge w:val="continue"/>
                  <w:vAlign w:val="center"/>
                </w:tcPr>
                <w:p>
                  <w:pPr>
                    <w:pStyle w:val="23"/>
                    <w:ind w:left="0" w:leftChars="0"/>
                    <w:jc w:val="center"/>
                    <w:rPr>
                      <w:color w:val="auto"/>
                      <w:szCs w:val="21"/>
                      <w:highlight w:val="none"/>
                    </w:rPr>
                  </w:pPr>
                </w:p>
              </w:tc>
              <w:tc>
                <w:tcPr>
                  <w:tcW w:w="771" w:type="pct"/>
                  <w:tcBorders>
                    <w:bottom w:val="single" w:color="auto" w:sz="4" w:space="0"/>
                  </w:tcBorders>
                  <w:vAlign w:val="center"/>
                </w:tcPr>
                <w:p>
                  <w:pPr>
                    <w:pStyle w:val="23"/>
                    <w:ind w:left="0" w:leftChars="0"/>
                    <w:rPr>
                      <w:color w:val="auto"/>
                      <w:szCs w:val="21"/>
                      <w:highlight w:val="none"/>
                    </w:rPr>
                  </w:pPr>
                  <w:r>
                    <w:rPr>
                      <w:color w:val="auto"/>
                      <w:szCs w:val="21"/>
                      <w:highlight w:val="none"/>
                    </w:rPr>
                    <w:t>循环冷却水排水</w:t>
                  </w:r>
                </w:p>
              </w:tc>
              <w:tc>
                <w:tcPr>
                  <w:tcW w:w="2504" w:type="pct"/>
                  <w:vMerge w:val="continue"/>
                  <w:tcBorders>
                    <w:bottom w:val="single" w:color="auto" w:sz="4" w:space="0"/>
                  </w:tcBorders>
                  <w:vAlign w:val="center"/>
                </w:tcPr>
                <w:p>
                  <w:pPr>
                    <w:pStyle w:val="23"/>
                    <w:ind w:left="0" w:leftChars="0"/>
                    <w:rPr>
                      <w:color w:val="auto"/>
                      <w:szCs w:val="21"/>
                      <w:highlight w:val="none"/>
                    </w:rPr>
                  </w:pPr>
                </w:p>
              </w:tc>
              <w:tc>
                <w:tcPr>
                  <w:tcW w:w="809" w:type="pct"/>
                  <w:tcBorders>
                    <w:bottom w:val="single" w:color="auto" w:sz="4" w:space="0"/>
                  </w:tcBorders>
                  <w:vAlign w:val="center"/>
                </w:tcPr>
                <w:p>
                  <w:pPr>
                    <w:pStyle w:val="23"/>
                    <w:ind w:left="0" w:leftChars="0"/>
                    <w:rPr>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99" w:type="pct"/>
                  <w:vMerge w:val="continue"/>
                  <w:vAlign w:val="center"/>
                </w:tcPr>
                <w:p>
                  <w:pPr>
                    <w:pStyle w:val="23"/>
                    <w:ind w:left="0" w:leftChars="0"/>
                    <w:jc w:val="center"/>
                    <w:rPr>
                      <w:color w:val="auto"/>
                      <w:szCs w:val="21"/>
                      <w:highlight w:val="none"/>
                    </w:rPr>
                  </w:pPr>
                </w:p>
              </w:tc>
              <w:tc>
                <w:tcPr>
                  <w:tcW w:w="516" w:type="pct"/>
                  <w:vAlign w:val="center"/>
                </w:tcPr>
                <w:p>
                  <w:pPr>
                    <w:pStyle w:val="23"/>
                    <w:ind w:left="0" w:leftChars="0"/>
                    <w:jc w:val="center"/>
                    <w:rPr>
                      <w:color w:val="auto"/>
                      <w:szCs w:val="21"/>
                      <w:highlight w:val="none"/>
                    </w:rPr>
                  </w:pPr>
                  <w:r>
                    <w:rPr>
                      <w:color w:val="auto"/>
                      <w:szCs w:val="21"/>
                      <w:highlight w:val="none"/>
                    </w:rPr>
                    <w:t>噪声</w:t>
                  </w:r>
                </w:p>
              </w:tc>
              <w:tc>
                <w:tcPr>
                  <w:tcW w:w="3275" w:type="pct"/>
                  <w:gridSpan w:val="2"/>
                  <w:vAlign w:val="center"/>
                </w:tcPr>
                <w:p>
                  <w:pPr>
                    <w:pStyle w:val="23"/>
                    <w:ind w:left="0" w:leftChars="0"/>
                    <w:jc w:val="center"/>
                    <w:rPr>
                      <w:color w:val="auto"/>
                      <w:szCs w:val="21"/>
                      <w:highlight w:val="none"/>
                    </w:rPr>
                  </w:pPr>
                  <w:r>
                    <w:rPr>
                      <w:color w:val="auto"/>
                      <w:szCs w:val="21"/>
                      <w:highlight w:val="none"/>
                    </w:rPr>
                    <w:t>设备减振、隔声。</w:t>
                  </w:r>
                </w:p>
              </w:tc>
              <w:tc>
                <w:tcPr>
                  <w:tcW w:w="809" w:type="pct"/>
                  <w:vAlign w:val="center"/>
                </w:tcPr>
                <w:p>
                  <w:pPr>
                    <w:pStyle w:val="23"/>
                    <w:ind w:left="0" w:leftChars="0"/>
                    <w:jc w:val="center"/>
                    <w:rPr>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99" w:type="pct"/>
                  <w:vMerge w:val="continue"/>
                  <w:vAlign w:val="center"/>
                </w:tcPr>
                <w:p>
                  <w:pPr>
                    <w:pStyle w:val="23"/>
                    <w:ind w:left="0" w:leftChars="0"/>
                    <w:jc w:val="center"/>
                    <w:rPr>
                      <w:color w:val="auto"/>
                      <w:szCs w:val="21"/>
                      <w:highlight w:val="none"/>
                    </w:rPr>
                  </w:pPr>
                </w:p>
              </w:tc>
              <w:tc>
                <w:tcPr>
                  <w:tcW w:w="516" w:type="pct"/>
                  <w:vMerge w:val="restart"/>
                  <w:vAlign w:val="center"/>
                </w:tcPr>
                <w:p>
                  <w:pPr>
                    <w:pStyle w:val="23"/>
                    <w:ind w:left="0" w:leftChars="0"/>
                    <w:jc w:val="center"/>
                    <w:rPr>
                      <w:color w:val="auto"/>
                      <w:szCs w:val="21"/>
                      <w:highlight w:val="none"/>
                    </w:rPr>
                  </w:pPr>
                  <w:r>
                    <w:rPr>
                      <w:color w:val="auto"/>
                      <w:szCs w:val="21"/>
                      <w:highlight w:val="none"/>
                    </w:rPr>
                    <w:t>固废</w:t>
                  </w:r>
                </w:p>
              </w:tc>
              <w:tc>
                <w:tcPr>
                  <w:tcW w:w="771" w:type="pct"/>
                  <w:vAlign w:val="center"/>
                </w:tcPr>
                <w:p>
                  <w:pPr>
                    <w:pStyle w:val="23"/>
                    <w:ind w:left="0" w:leftChars="0"/>
                    <w:jc w:val="center"/>
                    <w:rPr>
                      <w:color w:val="auto"/>
                      <w:szCs w:val="21"/>
                      <w:highlight w:val="none"/>
                    </w:rPr>
                  </w:pPr>
                  <w:r>
                    <w:rPr>
                      <w:color w:val="auto"/>
                      <w:szCs w:val="21"/>
                      <w:highlight w:val="none"/>
                    </w:rPr>
                    <w:t>生活垃圾</w:t>
                  </w:r>
                </w:p>
              </w:tc>
              <w:tc>
                <w:tcPr>
                  <w:tcW w:w="2504" w:type="pct"/>
                  <w:vAlign w:val="center"/>
                </w:tcPr>
                <w:p>
                  <w:pPr>
                    <w:pStyle w:val="23"/>
                    <w:ind w:left="0" w:leftChars="0"/>
                    <w:jc w:val="center"/>
                    <w:rPr>
                      <w:color w:val="auto"/>
                      <w:szCs w:val="21"/>
                      <w:highlight w:val="none"/>
                    </w:rPr>
                  </w:pPr>
                  <w:r>
                    <w:rPr>
                      <w:color w:val="auto"/>
                      <w:szCs w:val="21"/>
                      <w:highlight w:val="none"/>
                    </w:rPr>
                    <w:t>集中收集后交由环卫部门</w:t>
                  </w:r>
                </w:p>
              </w:tc>
              <w:tc>
                <w:tcPr>
                  <w:tcW w:w="809" w:type="pct"/>
                  <w:vAlign w:val="center"/>
                </w:tcPr>
                <w:p>
                  <w:pPr>
                    <w:pStyle w:val="23"/>
                    <w:ind w:left="0" w:leftChars="0"/>
                    <w:jc w:val="center"/>
                    <w:rPr>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399" w:type="pct"/>
                  <w:vMerge w:val="continue"/>
                  <w:vAlign w:val="center"/>
                </w:tcPr>
                <w:p>
                  <w:pPr>
                    <w:pStyle w:val="23"/>
                    <w:ind w:left="0" w:leftChars="0"/>
                    <w:jc w:val="center"/>
                    <w:rPr>
                      <w:color w:val="auto"/>
                      <w:szCs w:val="21"/>
                      <w:highlight w:val="none"/>
                    </w:rPr>
                  </w:pPr>
                </w:p>
              </w:tc>
              <w:tc>
                <w:tcPr>
                  <w:tcW w:w="516" w:type="pct"/>
                  <w:vMerge w:val="continue"/>
                  <w:vAlign w:val="center"/>
                </w:tcPr>
                <w:p>
                  <w:pPr>
                    <w:pStyle w:val="23"/>
                    <w:ind w:left="0" w:leftChars="0"/>
                    <w:jc w:val="center"/>
                    <w:rPr>
                      <w:color w:val="auto"/>
                      <w:szCs w:val="21"/>
                      <w:highlight w:val="none"/>
                    </w:rPr>
                  </w:pPr>
                </w:p>
              </w:tc>
              <w:tc>
                <w:tcPr>
                  <w:tcW w:w="771" w:type="pct"/>
                  <w:vAlign w:val="center"/>
                </w:tcPr>
                <w:p>
                  <w:pPr>
                    <w:pStyle w:val="23"/>
                    <w:ind w:left="0" w:leftChars="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一般工业固体废物</w:t>
                  </w:r>
                </w:p>
              </w:tc>
              <w:tc>
                <w:tcPr>
                  <w:tcW w:w="2504" w:type="pct"/>
                  <w:vAlign w:val="center"/>
                </w:tcPr>
                <w:p>
                  <w:pPr>
                    <w:pStyle w:val="23"/>
                    <w:ind w:left="0" w:leftChars="0"/>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不合格产品回用于注塑；原料废包装袋、集尘粉及废弃布袋集中收集后</w:t>
                  </w:r>
                  <w:r>
                    <w:rPr>
                      <w:rFonts w:ascii="Times New Roman" w:hAnsi="Times New Roman" w:eastAsia="宋体" w:cs="Times New Roman"/>
                      <w:color w:val="auto"/>
                      <w:szCs w:val="21"/>
                      <w:highlight w:val="none"/>
                    </w:rPr>
                    <w:t>定期交由环卫部门处置</w:t>
                  </w:r>
                </w:p>
              </w:tc>
              <w:tc>
                <w:tcPr>
                  <w:tcW w:w="809" w:type="pct"/>
                  <w:vAlign w:val="center"/>
                </w:tcPr>
                <w:p>
                  <w:pPr>
                    <w:pStyle w:val="23"/>
                    <w:ind w:left="0" w:leftChars="0"/>
                    <w:jc w:val="center"/>
                    <w:rPr>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399" w:type="pct"/>
                  <w:vMerge w:val="continue"/>
                  <w:vAlign w:val="center"/>
                </w:tcPr>
                <w:p>
                  <w:pPr>
                    <w:pStyle w:val="23"/>
                    <w:ind w:left="0" w:leftChars="0"/>
                    <w:jc w:val="center"/>
                    <w:rPr>
                      <w:color w:val="auto"/>
                      <w:szCs w:val="21"/>
                      <w:highlight w:val="none"/>
                    </w:rPr>
                  </w:pPr>
                </w:p>
              </w:tc>
              <w:tc>
                <w:tcPr>
                  <w:tcW w:w="516" w:type="pct"/>
                  <w:vMerge w:val="continue"/>
                  <w:vAlign w:val="center"/>
                </w:tcPr>
                <w:p>
                  <w:pPr>
                    <w:pStyle w:val="23"/>
                    <w:ind w:left="0" w:leftChars="0"/>
                    <w:jc w:val="center"/>
                    <w:rPr>
                      <w:color w:val="auto"/>
                      <w:szCs w:val="21"/>
                      <w:highlight w:val="none"/>
                    </w:rPr>
                  </w:pPr>
                </w:p>
              </w:tc>
              <w:tc>
                <w:tcPr>
                  <w:tcW w:w="771" w:type="pct"/>
                  <w:vAlign w:val="center"/>
                </w:tcPr>
                <w:p>
                  <w:pPr>
                    <w:pStyle w:val="23"/>
                    <w:ind w:left="0" w:leftChars="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危险废物</w:t>
                  </w:r>
                </w:p>
              </w:tc>
              <w:tc>
                <w:tcPr>
                  <w:tcW w:w="2504" w:type="pct"/>
                  <w:vAlign w:val="center"/>
                </w:tcPr>
                <w:p>
                  <w:pPr>
                    <w:pStyle w:val="23"/>
                    <w:ind w:left="0" w:leftChars="0"/>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废弃含油、含有机溶剂的废抹布</w:t>
                  </w:r>
                  <w:r>
                    <w:rPr>
                      <w:rFonts w:ascii="Times New Roman" w:hAnsi="Times New Roman" w:eastAsia="宋体" w:cs="Times New Roman"/>
                      <w:color w:val="auto"/>
                      <w:szCs w:val="21"/>
                      <w:highlight w:val="none"/>
                    </w:rPr>
                    <w:t>、废</w:t>
                  </w:r>
                  <w:r>
                    <w:rPr>
                      <w:rFonts w:hint="eastAsia" w:ascii="Times New Roman" w:hAnsi="Times New Roman" w:eastAsia="宋体" w:cs="Times New Roman"/>
                      <w:color w:val="auto"/>
                      <w:szCs w:val="21"/>
                      <w:highlight w:val="none"/>
                      <w:lang w:val="en-US" w:eastAsia="zh-CN"/>
                    </w:rPr>
                    <w:t>液压油</w:t>
                  </w:r>
                  <w:r>
                    <w:rPr>
                      <w:rFonts w:ascii="Times New Roman" w:hAnsi="Times New Roman" w:eastAsia="宋体" w:cs="Times New Roman"/>
                      <w:color w:val="auto"/>
                      <w:szCs w:val="21"/>
                      <w:highlight w:val="none"/>
                    </w:rPr>
                    <w:t>、</w:t>
                  </w:r>
                  <w:r>
                    <w:rPr>
                      <w:rFonts w:hint="eastAsia" w:ascii="Times New Roman" w:hAnsi="Times New Roman" w:eastAsia="宋体" w:cs="Times New Roman"/>
                      <w:color w:val="auto"/>
                      <w:szCs w:val="21"/>
                      <w:highlight w:val="none"/>
                      <w:lang w:val="en-US" w:eastAsia="zh-CN"/>
                    </w:rPr>
                    <w:t>废导热油</w:t>
                  </w:r>
                  <w:r>
                    <w:rPr>
                      <w:rFonts w:ascii="Times New Roman" w:hAnsi="Times New Roman" w:eastAsia="宋体" w:cs="Times New Roman"/>
                      <w:color w:val="auto"/>
                      <w:szCs w:val="21"/>
                      <w:highlight w:val="none"/>
                    </w:rPr>
                    <w:t>、</w:t>
                  </w:r>
                  <w:r>
                    <w:rPr>
                      <w:rFonts w:hint="eastAsia" w:ascii="Times New Roman" w:hAnsi="Times New Roman" w:eastAsia="宋体" w:cs="Times New Roman"/>
                      <w:color w:val="auto"/>
                      <w:szCs w:val="21"/>
                      <w:highlight w:val="none"/>
                      <w:lang w:val="en-US" w:eastAsia="zh-CN"/>
                    </w:rPr>
                    <w:t>废活性炭、沾染原料的废包装品</w:t>
                  </w:r>
                  <w:r>
                    <w:rPr>
                      <w:rFonts w:ascii="Times New Roman" w:hAnsi="Times New Roman" w:eastAsia="宋体" w:cs="Times New Roman"/>
                      <w:color w:val="auto"/>
                      <w:szCs w:val="21"/>
                      <w:highlight w:val="none"/>
                    </w:rPr>
                    <w:t>，属于危险废物，定期委托有资质单位更换处置</w:t>
                  </w:r>
                  <w:r>
                    <w:rPr>
                      <w:rFonts w:hint="eastAsia" w:ascii="Times New Roman" w:hAnsi="Times New Roman" w:eastAsia="宋体" w:cs="Times New Roman"/>
                      <w:color w:val="auto"/>
                      <w:szCs w:val="21"/>
                      <w:highlight w:val="none"/>
                      <w:lang w:eastAsia="zh-CN"/>
                    </w:rPr>
                    <w:t>。</w:t>
                  </w:r>
                </w:p>
              </w:tc>
              <w:tc>
                <w:tcPr>
                  <w:tcW w:w="809" w:type="pct"/>
                  <w:vAlign w:val="center"/>
                </w:tcPr>
                <w:p>
                  <w:pPr>
                    <w:pStyle w:val="23"/>
                    <w:ind w:left="0" w:leftChars="0"/>
                    <w:jc w:val="center"/>
                    <w:rPr>
                      <w:rFonts w:hint="eastAsia" w:eastAsia="宋体"/>
                      <w:color w:val="auto"/>
                      <w:szCs w:val="21"/>
                      <w:highlight w:val="none"/>
                      <w:lang w:val="en-US" w:eastAsia="zh-CN"/>
                    </w:rPr>
                  </w:pPr>
                </w:p>
              </w:tc>
            </w:tr>
          </w:tbl>
          <w:p>
            <w:pPr>
              <w:adjustRightInd w:val="0"/>
              <w:snapToGrid w:val="0"/>
              <w:spacing w:line="240" w:lineRule="auto"/>
              <w:ind w:firstLine="482" w:firstLineChars="200"/>
              <w:rPr>
                <w:b/>
                <w:color w:val="auto"/>
                <w:sz w:val="24"/>
                <w:highlight w:val="none"/>
              </w:rPr>
            </w:pPr>
            <w:bookmarkStart w:id="2" w:name="_Hlk480310096"/>
          </w:p>
          <w:p>
            <w:pPr>
              <w:adjustRightInd w:val="0"/>
              <w:snapToGrid w:val="0"/>
              <w:spacing w:line="360" w:lineRule="auto"/>
              <w:ind w:firstLine="482" w:firstLineChars="200"/>
              <w:rPr>
                <w:b/>
                <w:color w:val="auto"/>
                <w:sz w:val="24"/>
                <w:highlight w:val="none"/>
              </w:rPr>
            </w:pPr>
            <w:r>
              <w:rPr>
                <w:b/>
                <w:color w:val="auto"/>
                <w:sz w:val="24"/>
                <w:highlight w:val="none"/>
              </w:rPr>
              <w:t>3.平面布置及主要构筑物</w:t>
            </w:r>
          </w:p>
          <w:p>
            <w:pPr>
              <w:tabs>
                <w:tab w:val="left" w:pos="1140"/>
              </w:tabs>
              <w:spacing w:line="360" w:lineRule="auto"/>
              <w:ind w:firstLine="480" w:firstLineChars="200"/>
              <w:rPr>
                <w:ins w:id="0" w:author="赵雪" w:date="2023-05-08T22:37:33Z"/>
                <w:color w:val="auto"/>
                <w:sz w:val="24"/>
                <w:highlight w:val="none"/>
              </w:rPr>
            </w:pPr>
            <w:r>
              <w:rPr>
                <w:rFonts w:hint="eastAsia"/>
                <w:color w:val="auto"/>
                <w:sz w:val="24"/>
                <w:highlight w:val="none"/>
              </w:rPr>
              <w:t>本项目不新增占地，利用企业现厂房内产品存储区新购置生产线进行生产。</w:t>
            </w:r>
            <w:r>
              <w:rPr>
                <w:rFonts w:hint="eastAsia"/>
                <w:color w:val="auto"/>
                <w:sz w:val="24"/>
                <w:highlight w:val="none"/>
                <w:lang w:eastAsia="zh-CN"/>
              </w:rPr>
              <w:t>企业现厂房</w:t>
            </w:r>
            <w:r>
              <w:rPr>
                <w:color w:val="auto"/>
                <w:sz w:val="24"/>
                <w:highlight w:val="none"/>
              </w:rPr>
              <w:t>总占地面积为</w:t>
            </w:r>
            <w:r>
              <w:rPr>
                <w:rFonts w:hint="eastAsia"/>
                <w:color w:val="auto"/>
                <w:sz w:val="24"/>
                <w:highlight w:val="none"/>
                <w:lang w:val="en-US" w:eastAsia="zh-CN"/>
              </w:rPr>
              <w:t>2164</w:t>
            </w:r>
            <w:r>
              <w:rPr>
                <w:color w:val="auto"/>
                <w:sz w:val="24"/>
                <w:highlight w:val="none"/>
              </w:rPr>
              <w:t>m</w:t>
            </w:r>
            <w:r>
              <w:rPr>
                <w:color w:val="auto"/>
                <w:sz w:val="24"/>
                <w:highlight w:val="none"/>
                <w:vertAlign w:val="superscript"/>
              </w:rPr>
              <w:t>2</w:t>
            </w:r>
            <w:r>
              <w:rPr>
                <w:color w:val="auto"/>
                <w:sz w:val="24"/>
                <w:highlight w:val="none"/>
              </w:rPr>
              <w:t>，总建筑面积为</w:t>
            </w:r>
            <w:r>
              <w:rPr>
                <w:rFonts w:hint="eastAsia"/>
                <w:color w:val="auto"/>
                <w:sz w:val="24"/>
                <w:highlight w:val="none"/>
                <w:lang w:val="en-US" w:eastAsia="zh-CN"/>
              </w:rPr>
              <w:t>2164</w:t>
            </w:r>
            <w:r>
              <w:rPr>
                <w:color w:val="auto"/>
                <w:sz w:val="24"/>
                <w:highlight w:val="none"/>
              </w:rPr>
              <w:t>m</w:t>
            </w:r>
            <w:r>
              <w:rPr>
                <w:color w:val="auto"/>
                <w:sz w:val="24"/>
                <w:highlight w:val="none"/>
                <w:vertAlign w:val="superscript"/>
              </w:rPr>
              <w:t>2</w:t>
            </w:r>
            <w:r>
              <w:rPr>
                <w:color w:val="auto"/>
                <w:sz w:val="24"/>
                <w:highlight w:val="none"/>
              </w:rPr>
              <w:t>，主要建筑物为一栋1F厂房</w:t>
            </w:r>
            <w:bookmarkEnd w:id="2"/>
            <w:r>
              <w:rPr>
                <w:color w:val="auto"/>
                <w:sz w:val="24"/>
                <w:highlight w:val="none"/>
              </w:rPr>
              <w:t>，主要为生产区、存储区，</w:t>
            </w:r>
            <w:r>
              <w:rPr>
                <w:rFonts w:hint="eastAsia"/>
                <w:color w:val="auto"/>
                <w:sz w:val="24"/>
                <w:highlight w:val="none"/>
                <w:lang w:eastAsia="zh-CN"/>
              </w:rPr>
              <w:t>扩建完成后</w:t>
            </w:r>
            <w:r>
              <w:rPr>
                <w:color w:val="auto"/>
                <w:sz w:val="24"/>
                <w:highlight w:val="none"/>
              </w:rPr>
              <w:t>厂房平面布置情况详见附图4，建构筑物情况详见下表。</w:t>
            </w:r>
          </w:p>
          <w:p>
            <w:pPr>
              <w:tabs>
                <w:tab w:val="left" w:pos="1140"/>
                <w:tab w:val="left" w:pos="3850"/>
              </w:tabs>
              <w:jc w:val="center"/>
              <w:rPr>
                <w:b/>
                <w:color w:val="auto"/>
                <w:sz w:val="24"/>
                <w:highlight w:val="none"/>
              </w:rPr>
            </w:pPr>
            <w:r>
              <w:rPr>
                <w:b/>
                <w:bCs/>
                <w:color w:val="auto"/>
                <w:sz w:val="24"/>
                <w:highlight w:val="none"/>
              </w:rPr>
              <w:t xml:space="preserve">表2-2  </w:t>
            </w:r>
            <w:r>
              <w:rPr>
                <w:rFonts w:hint="eastAsia"/>
                <w:b/>
                <w:bCs/>
                <w:color w:val="auto"/>
                <w:sz w:val="24"/>
                <w:highlight w:val="none"/>
                <w:lang w:eastAsia="zh-CN"/>
              </w:rPr>
              <w:t>企业</w:t>
            </w:r>
            <w:r>
              <w:rPr>
                <w:b/>
                <w:bCs/>
                <w:color w:val="auto"/>
                <w:sz w:val="24"/>
                <w:highlight w:val="none"/>
              </w:rPr>
              <w:t>主要建构筑物一览表</w:t>
            </w:r>
          </w:p>
          <w:tbl>
            <w:tblPr>
              <w:tblStyle w:val="30"/>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1"/>
              <w:gridCol w:w="905"/>
              <w:gridCol w:w="1054"/>
              <w:gridCol w:w="747"/>
              <w:gridCol w:w="1052"/>
              <w:gridCol w:w="1040"/>
              <w:gridCol w:w="28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73" w:type="pct"/>
                  <w:vAlign w:val="center"/>
                </w:tcPr>
                <w:p>
                  <w:pPr>
                    <w:jc w:val="center"/>
                    <w:rPr>
                      <w:color w:val="auto"/>
                      <w:szCs w:val="21"/>
                      <w:highlight w:val="none"/>
                    </w:rPr>
                  </w:pPr>
                  <w:r>
                    <w:rPr>
                      <w:color w:val="auto"/>
                      <w:szCs w:val="21"/>
                      <w:highlight w:val="none"/>
                    </w:rPr>
                    <w:t>序号</w:t>
                  </w:r>
                </w:p>
              </w:tc>
              <w:tc>
                <w:tcPr>
                  <w:tcW w:w="561" w:type="pct"/>
                  <w:vAlign w:val="center"/>
                </w:tcPr>
                <w:p>
                  <w:pPr>
                    <w:jc w:val="center"/>
                    <w:rPr>
                      <w:color w:val="auto"/>
                      <w:szCs w:val="21"/>
                      <w:highlight w:val="none"/>
                    </w:rPr>
                  </w:pPr>
                  <w:r>
                    <w:rPr>
                      <w:color w:val="auto"/>
                      <w:szCs w:val="21"/>
                      <w:highlight w:val="none"/>
                    </w:rPr>
                    <w:t>建筑物名称</w:t>
                  </w:r>
                </w:p>
              </w:tc>
              <w:tc>
                <w:tcPr>
                  <w:tcW w:w="653" w:type="pct"/>
                  <w:vAlign w:val="center"/>
                </w:tcPr>
                <w:p>
                  <w:pPr>
                    <w:jc w:val="center"/>
                    <w:rPr>
                      <w:color w:val="auto"/>
                      <w:szCs w:val="21"/>
                      <w:highlight w:val="none"/>
                    </w:rPr>
                  </w:pPr>
                  <w:r>
                    <w:rPr>
                      <w:color w:val="auto"/>
                      <w:szCs w:val="21"/>
                      <w:highlight w:val="none"/>
                    </w:rPr>
                    <w:t>占地面积（m</w:t>
                  </w:r>
                  <w:r>
                    <w:rPr>
                      <w:color w:val="auto"/>
                      <w:szCs w:val="21"/>
                      <w:highlight w:val="none"/>
                      <w:vertAlign w:val="superscript"/>
                    </w:rPr>
                    <w:t>2</w:t>
                  </w:r>
                  <w:r>
                    <w:rPr>
                      <w:color w:val="auto"/>
                      <w:szCs w:val="21"/>
                      <w:highlight w:val="none"/>
                    </w:rPr>
                    <w:t>）</w:t>
                  </w:r>
                </w:p>
              </w:tc>
              <w:tc>
                <w:tcPr>
                  <w:tcW w:w="463" w:type="pct"/>
                  <w:vAlign w:val="center"/>
                </w:tcPr>
                <w:p>
                  <w:pPr>
                    <w:jc w:val="center"/>
                    <w:rPr>
                      <w:color w:val="auto"/>
                      <w:szCs w:val="21"/>
                      <w:highlight w:val="none"/>
                    </w:rPr>
                  </w:pPr>
                  <w:r>
                    <w:rPr>
                      <w:color w:val="auto"/>
                      <w:szCs w:val="21"/>
                      <w:highlight w:val="none"/>
                    </w:rPr>
                    <w:t>建筑层数</w:t>
                  </w:r>
                </w:p>
              </w:tc>
              <w:tc>
                <w:tcPr>
                  <w:tcW w:w="652" w:type="pct"/>
                  <w:vAlign w:val="center"/>
                </w:tcPr>
                <w:p>
                  <w:pPr>
                    <w:jc w:val="center"/>
                    <w:rPr>
                      <w:color w:val="auto"/>
                      <w:szCs w:val="21"/>
                      <w:highlight w:val="none"/>
                    </w:rPr>
                  </w:pPr>
                  <w:r>
                    <w:rPr>
                      <w:color w:val="auto"/>
                      <w:szCs w:val="21"/>
                      <w:highlight w:val="none"/>
                    </w:rPr>
                    <w:t>建筑面积（m</w:t>
                  </w:r>
                  <w:r>
                    <w:rPr>
                      <w:color w:val="auto"/>
                      <w:szCs w:val="21"/>
                      <w:highlight w:val="none"/>
                      <w:vertAlign w:val="superscript"/>
                    </w:rPr>
                    <w:t>2</w:t>
                  </w:r>
                  <w:r>
                    <w:rPr>
                      <w:color w:val="auto"/>
                      <w:szCs w:val="21"/>
                      <w:highlight w:val="none"/>
                    </w:rPr>
                    <w:t>）</w:t>
                  </w:r>
                </w:p>
              </w:tc>
              <w:tc>
                <w:tcPr>
                  <w:tcW w:w="645" w:type="pct"/>
                  <w:vAlign w:val="center"/>
                </w:tcPr>
                <w:p>
                  <w:pPr>
                    <w:jc w:val="center"/>
                    <w:rPr>
                      <w:color w:val="auto"/>
                      <w:szCs w:val="21"/>
                      <w:highlight w:val="none"/>
                    </w:rPr>
                  </w:pPr>
                  <w:r>
                    <w:rPr>
                      <w:color w:val="auto"/>
                      <w:szCs w:val="21"/>
                      <w:highlight w:val="none"/>
                    </w:rPr>
                    <w:t>建筑物高度</w:t>
                  </w:r>
                </w:p>
              </w:tc>
              <w:tc>
                <w:tcPr>
                  <w:tcW w:w="1750" w:type="pct"/>
                  <w:vAlign w:val="center"/>
                </w:tcPr>
                <w:p>
                  <w:pPr>
                    <w:jc w:val="center"/>
                    <w:rPr>
                      <w:color w:val="auto"/>
                      <w:szCs w:val="21"/>
                      <w:highlight w:val="none"/>
                    </w:rPr>
                  </w:pPr>
                  <w:r>
                    <w:rPr>
                      <w:color w:val="auto"/>
                      <w:szCs w:val="21"/>
                      <w:highlight w:val="none"/>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3" w:type="pct"/>
                  <w:vAlign w:val="center"/>
                </w:tcPr>
                <w:p>
                  <w:pPr>
                    <w:jc w:val="center"/>
                    <w:rPr>
                      <w:color w:val="auto"/>
                      <w:szCs w:val="21"/>
                      <w:highlight w:val="none"/>
                    </w:rPr>
                  </w:pPr>
                  <w:r>
                    <w:rPr>
                      <w:color w:val="auto"/>
                      <w:szCs w:val="21"/>
                      <w:highlight w:val="none"/>
                    </w:rPr>
                    <w:t>1</w:t>
                  </w:r>
                </w:p>
              </w:tc>
              <w:tc>
                <w:tcPr>
                  <w:tcW w:w="561" w:type="pct"/>
                  <w:vAlign w:val="center"/>
                </w:tcPr>
                <w:p>
                  <w:pPr>
                    <w:jc w:val="center"/>
                    <w:rPr>
                      <w:color w:val="auto"/>
                      <w:szCs w:val="21"/>
                      <w:highlight w:val="none"/>
                    </w:rPr>
                  </w:pPr>
                  <w:r>
                    <w:rPr>
                      <w:color w:val="auto"/>
                      <w:szCs w:val="21"/>
                      <w:highlight w:val="none"/>
                    </w:rPr>
                    <w:t>厂房</w:t>
                  </w:r>
                </w:p>
              </w:tc>
              <w:tc>
                <w:tcPr>
                  <w:tcW w:w="653" w:type="pct"/>
                  <w:vAlign w:val="center"/>
                </w:tcPr>
                <w:p>
                  <w:pPr>
                    <w:jc w:val="center"/>
                    <w:rPr>
                      <w:color w:val="auto"/>
                      <w:szCs w:val="21"/>
                      <w:highlight w:val="none"/>
                    </w:rPr>
                  </w:pPr>
                  <w:r>
                    <w:rPr>
                      <w:rFonts w:hint="eastAsia"/>
                      <w:color w:val="auto"/>
                      <w:szCs w:val="21"/>
                      <w:highlight w:val="none"/>
                      <w:lang w:val="en-US" w:eastAsia="zh-CN"/>
                    </w:rPr>
                    <w:t>2164</w:t>
                  </w:r>
                </w:p>
              </w:tc>
              <w:tc>
                <w:tcPr>
                  <w:tcW w:w="463" w:type="pct"/>
                  <w:vAlign w:val="center"/>
                </w:tcPr>
                <w:p>
                  <w:pPr>
                    <w:jc w:val="center"/>
                    <w:rPr>
                      <w:color w:val="auto"/>
                      <w:szCs w:val="21"/>
                      <w:highlight w:val="none"/>
                    </w:rPr>
                  </w:pPr>
                  <w:r>
                    <w:rPr>
                      <w:color w:val="auto"/>
                      <w:szCs w:val="21"/>
                      <w:highlight w:val="none"/>
                    </w:rPr>
                    <w:t>1F</w:t>
                  </w:r>
                </w:p>
              </w:tc>
              <w:tc>
                <w:tcPr>
                  <w:tcW w:w="652" w:type="pct"/>
                  <w:vAlign w:val="center"/>
                </w:tcPr>
                <w:p>
                  <w:pPr>
                    <w:jc w:val="center"/>
                    <w:rPr>
                      <w:color w:val="auto"/>
                      <w:szCs w:val="21"/>
                      <w:highlight w:val="none"/>
                    </w:rPr>
                  </w:pPr>
                  <w:r>
                    <w:rPr>
                      <w:rFonts w:hint="eastAsia"/>
                      <w:color w:val="auto"/>
                      <w:szCs w:val="21"/>
                      <w:highlight w:val="none"/>
                      <w:lang w:val="en-US" w:eastAsia="zh-CN"/>
                    </w:rPr>
                    <w:t>2164</w:t>
                  </w:r>
                </w:p>
              </w:tc>
              <w:tc>
                <w:tcPr>
                  <w:tcW w:w="645" w:type="pct"/>
                  <w:vAlign w:val="center"/>
                </w:tcPr>
                <w:p>
                  <w:pPr>
                    <w:jc w:val="center"/>
                    <w:rPr>
                      <w:color w:val="auto"/>
                      <w:szCs w:val="21"/>
                      <w:highlight w:val="none"/>
                    </w:rPr>
                  </w:pPr>
                  <w:r>
                    <w:rPr>
                      <w:color w:val="auto"/>
                      <w:szCs w:val="21"/>
                      <w:highlight w:val="none"/>
                    </w:rPr>
                    <w:t>8m</w:t>
                  </w:r>
                </w:p>
              </w:tc>
              <w:tc>
                <w:tcPr>
                  <w:tcW w:w="1750" w:type="pct"/>
                  <w:vAlign w:val="center"/>
                </w:tcPr>
                <w:p>
                  <w:pPr>
                    <w:jc w:val="center"/>
                    <w:rPr>
                      <w:color w:val="auto"/>
                      <w:szCs w:val="21"/>
                      <w:highlight w:val="none"/>
                    </w:rPr>
                  </w:pPr>
                  <w:r>
                    <w:rPr>
                      <w:color w:val="auto"/>
                      <w:szCs w:val="21"/>
                      <w:highlight w:val="none"/>
                    </w:rPr>
                    <w:t>建筑面积</w:t>
                  </w:r>
                  <w:r>
                    <w:rPr>
                      <w:rFonts w:hint="eastAsia"/>
                      <w:color w:val="auto"/>
                      <w:szCs w:val="21"/>
                      <w:highlight w:val="none"/>
                      <w:lang w:val="en-US" w:eastAsia="zh-CN"/>
                    </w:rPr>
                    <w:t>2164</w:t>
                  </w:r>
                  <w:r>
                    <w:rPr>
                      <w:color w:val="auto"/>
                      <w:szCs w:val="21"/>
                      <w:highlight w:val="none"/>
                    </w:rPr>
                    <w:t>m</w:t>
                  </w:r>
                  <w:r>
                    <w:rPr>
                      <w:color w:val="auto"/>
                      <w:szCs w:val="21"/>
                      <w:highlight w:val="none"/>
                      <w:vertAlign w:val="superscript"/>
                    </w:rPr>
                    <w:t>2</w:t>
                  </w:r>
                  <w:r>
                    <w:rPr>
                      <w:color w:val="auto"/>
                      <w:szCs w:val="21"/>
                      <w:highlight w:val="none"/>
                    </w:rPr>
                    <w:t>，主要为生产区、存储区。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4" w:type="pct"/>
                  <w:gridSpan w:val="2"/>
                  <w:vAlign w:val="center"/>
                </w:tcPr>
                <w:p>
                  <w:pPr>
                    <w:jc w:val="center"/>
                    <w:rPr>
                      <w:color w:val="auto"/>
                      <w:szCs w:val="21"/>
                      <w:highlight w:val="none"/>
                    </w:rPr>
                  </w:pPr>
                  <w:r>
                    <w:rPr>
                      <w:color w:val="auto"/>
                      <w:szCs w:val="21"/>
                      <w:highlight w:val="none"/>
                    </w:rPr>
                    <w:t>合计</w:t>
                  </w:r>
                </w:p>
              </w:tc>
              <w:tc>
                <w:tcPr>
                  <w:tcW w:w="653" w:type="pct"/>
                  <w:vAlign w:val="center"/>
                </w:tcPr>
                <w:p>
                  <w:pPr>
                    <w:jc w:val="center"/>
                    <w:rPr>
                      <w:color w:val="auto"/>
                      <w:szCs w:val="21"/>
                      <w:highlight w:val="none"/>
                    </w:rPr>
                  </w:pPr>
                  <w:r>
                    <w:rPr>
                      <w:rFonts w:hint="eastAsia"/>
                      <w:color w:val="auto"/>
                      <w:szCs w:val="21"/>
                      <w:highlight w:val="none"/>
                      <w:lang w:val="en-US" w:eastAsia="zh-CN"/>
                    </w:rPr>
                    <w:t>2164</w:t>
                  </w:r>
                </w:p>
              </w:tc>
              <w:tc>
                <w:tcPr>
                  <w:tcW w:w="463" w:type="pct"/>
                  <w:vAlign w:val="center"/>
                </w:tcPr>
                <w:p>
                  <w:pPr>
                    <w:jc w:val="center"/>
                    <w:rPr>
                      <w:rFonts w:hint="eastAsia" w:eastAsia="宋体"/>
                      <w:color w:val="auto"/>
                      <w:szCs w:val="21"/>
                      <w:highlight w:val="none"/>
                      <w:lang w:eastAsia="zh-CN"/>
                    </w:rPr>
                  </w:pPr>
                  <w:r>
                    <w:rPr>
                      <w:rFonts w:hint="eastAsia"/>
                      <w:color w:val="auto"/>
                      <w:szCs w:val="21"/>
                      <w:highlight w:val="none"/>
                      <w:lang w:val="en-US" w:eastAsia="zh-CN"/>
                    </w:rPr>
                    <w:t>/</w:t>
                  </w:r>
                </w:p>
              </w:tc>
              <w:tc>
                <w:tcPr>
                  <w:tcW w:w="652" w:type="pct"/>
                  <w:vAlign w:val="center"/>
                </w:tcPr>
                <w:p>
                  <w:pPr>
                    <w:jc w:val="center"/>
                    <w:rPr>
                      <w:color w:val="auto"/>
                      <w:szCs w:val="21"/>
                      <w:highlight w:val="none"/>
                    </w:rPr>
                  </w:pPr>
                  <w:r>
                    <w:rPr>
                      <w:rFonts w:hint="eastAsia"/>
                      <w:color w:val="auto"/>
                      <w:szCs w:val="21"/>
                      <w:highlight w:val="none"/>
                      <w:lang w:val="en-US" w:eastAsia="zh-CN"/>
                    </w:rPr>
                    <w:t>2164</w:t>
                  </w:r>
                </w:p>
              </w:tc>
              <w:tc>
                <w:tcPr>
                  <w:tcW w:w="645" w:type="pct"/>
                  <w:vAlign w:val="center"/>
                </w:tcPr>
                <w:p>
                  <w:pPr>
                    <w:jc w:val="center"/>
                    <w:rPr>
                      <w:rFonts w:hint="eastAsia" w:eastAsia="宋体"/>
                      <w:color w:val="auto"/>
                      <w:szCs w:val="21"/>
                      <w:highlight w:val="none"/>
                      <w:lang w:eastAsia="zh-CN"/>
                    </w:rPr>
                  </w:pPr>
                  <w:r>
                    <w:rPr>
                      <w:rFonts w:hint="eastAsia"/>
                      <w:color w:val="auto"/>
                      <w:szCs w:val="21"/>
                      <w:highlight w:val="none"/>
                      <w:lang w:val="en-US" w:eastAsia="zh-CN"/>
                    </w:rPr>
                    <w:t>/</w:t>
                  </w:r>
                </w:p>
              </w:tc>
              <w:tc>
                <w:tcPr>
                  <w:tcW w:w="1750" w:type="pct"/>
                  <w:vAlign w:val="center"/>
                </w:tcPr>
                <w:p>
                  <w:pPr>
                    <w:jc w:val="center"/>
                    <w:rPr>
                      <w:rFonts w:hint="eastAsia" w:eastAsia="宋体"/>
                      <w:color w:val="auto"/>
                      <w:szCs w:val="21"/>
                      <w:highlight w:val="none"/>
                      <w:lang w:eastAsia="zh-CN"/>
                    </w:rPr>
                  </w:pPr>
                  <w:r>
                    <w:rPr>
                      <w:rFonts w:hint="eastAsia"/>
                      <w:color w:val="auto"/>
                      <w:szCs w:val="21"/>
                      <w:highlight w:val="none"/>
                      <w:lang w:val="en-US" w:eastAsia="zh-CN"/>
                    </w:rPr>
                    <w:t>/</w:t>
                  </w:r>
                </w:p>
              </w:tc>
            </w:tr>
          </w:tbl>
          <w:p>
            <w:pPr>
              <w:spacing w:line="240" w:lineRule="auto"/>
              <w:ind w:firstLine="482" w:firstLineChars="200"/>
              <w:rPr>
                <w:b/>
                <w:bCs/>
                <w:color w:val="auto"/>
                <w:sz w:val="24"/>
                <w:highlight w:val="none"/>
              </w:rPr>
            </w:pPr>
          </w:p>
          <w:p>
            <w:pPr>
              <w:spacing w:line="360" w:lineRule="auto"/>
              <w:ind w:firstLine="482" w:firstLineChars="200"/>
              <w:rPr>
                <w:b/>
                <w:bCs/>
                <w:color w:val="auto"/>
                <w:sz w:val="24"/>
                <w:highlight w:val="none"/>
              </w:rPr>
            </w:pPr>
            <w:r>
              <w:rPr>
                <w:b/>
                <w:bCs/>
                <w:color w:val="auto"/>
                <w:sz w:val="24"/>
                <w:highlight w:val="none"/>
              </w:rPr>
              <w:t>4.项目产品方案</w:t>
            </w:r>
          </w:p>
          <w:p>
            <w:pPr>
              <w:spacing w:line="360" w:lineRule="auto"/>
              <w:ind w:firstLine="480" w:firstLineChars="200"/>
              <w:rPr>
                <w:rFonts w:hint="eastAsia"/>
                <w:color w:val="auto"/>
                <w:sz w:val="24"/>
                <w:highlight w:val="none"/>
                <w:lang w:eastAsia="zh-CN"/>
              </w:rPr>
            </w:pPr>
            <w:r>
              <w:rPr>
                <w:color w:val="auto"/>
                <w:sz w:val="24"/>
                <w:highlight w:val="none"/>
              </w:rPr>
              <w:t>本项目</w:t>
            </w:r>
            <w:r>
              <w:rPr>
                <w:rFonts w:hint="eastAsia"/>
                <w:color w:val="auto"/>
                <w:sz w:val="24"/>
                <w:highlight w:val="none"/>
                <w:lang w:eastAsia="zh-CN"/>
              </w:rPr>
              <w:t>新增</w:t>
            </w:r>
            <w:r>
              <w:rPr>
                <w:color w:val="auto"/>
                <w:sz w:val="24"/>
                <w:highlight w:val="none"/>
              </w:rPr>
              <w:t>产品为</w:t>
            </w:r>
            <w:r>
              <w:rPr>
                <w:rFonts w:hint="eastAsia"/>
                <w:color w:val="auto"/>
                <w:sz w:val="24"/>
                <w:highlight w:val="none"/>
              </w:rPr>
              <w:t>汽车用NVH橡塑制品</w:t>
            </w:r>
            <w:r>
              <w:rPr>
                <w:color w:val="auto"/>
                <w:sz w:val="24"/>
                <w:highlight w:val="none"/>
              </w:rPr>
              <w:t>，产品主</w:t>
            </w:r>
            <w:r>
              <w:rPr>
                <w:rFonts w:hint="eastAsia"/>
                <w:color w:val="auto"/>
                <w:sz w:val="24"/>
                <w:highlight w:val="none"/>
                <w:lang w:eastAsia="zh-CN"/>
              </w:rPr>
              <w:t>要为</w:t>
            </w:r>
            <w:r>
              <w:rPr>
                <w:rFonts w:hint="default"/>
                <w:color w:val="auto"/>
                <w:sz w:val="24"/>
                <w:highlight w:val="none"/>
                <w:lang w:eastAsia="zh-CN"/>
              </w:rPr>
              <w:t>树脂隔音材料</w:t>
            </w:r>
            <w:r>
              <w:rPr>
                <w:rFonts w:hint="eastAsia"/>
                <w:color w:val="auto"/>
                <w:sz w:val="24"/>
                <w:highlight w:val="none"/>
                <w:lang w:eastAsia="zh-CN"/>
              </w:rPr>
              <w:t>，年产总量为</w:t>
            </w:r>
            <w:r>
              <w:rPr>
                <w:rFonts w:hint="eastAsia"/>
                <w:color w:val="auto"/>
                <w:sz w:val="24"/>
                <w:highlight w:val="none"/>
                <w:lang w:val="en-US" w:eastAsia="zh-CN"/>
              </w:rPr>
              <w:t>500</w:t>
            </w:r>
            <w:r>
              <w:rPr>
                <w:rFonts w:hint="eastAsia"/>
                <w:color w:val="auto"/>
                <w:sz w:val="24"/>
                <w:highlight w:val="none"/>
                <w:lang w:eastAsia="zh-CN"/>
              </w:rPr>
              <w:t>t。</w:t>
            </w:r>
          </w:p>
          <w:p>
            <w:pPr>
              <w:spacing w:line="360" w:lineRule="auto"/>
              <w:ind w:firstLine="482" w:firstLineChars="200"/>
              <w:rPr>
                <w:b/>
                <w:bCs/>
                <w:color w:val="auto"/>
                <w:sz w:val="24"/>
                <w:highlight w:val="none"/>
              </w:rPr>
            </w:pPr>
            <w:r>
              <w:rPr>
                <w:b/>
                <w:bCs/>
                <w:color w:val="auto"/>
                <w:sz w:val="24"/>
                <w:highlight w:val="none"/>
              </w:rPr>
              <w:t>5.项目主要设备情况</w:t>
            </w:r>
          </w:p>
          <w:p>
            <w:pPr>
              <w:spacing w:line="360" w:lineRule="auto"/>
              <w:ind w:firstLine="480" w:firstLineChars="200"/>
              <w:rPr>
                <w:color w:val="auto"/>
                <w:sz w:val="24"/>
                <w:highlight w:val="none"/>
              </w:rPr>
            </w:pPr>
            <w:r>
              <w:rPr>
                <w:rFonts w:hint="eastAsia"/>
                <w:color w:val="auto"/>
                <w:sz w:val="24"/>
                <w:highlight w:val="none"/>
                <w:lang w:eastAsia="zh-CN"/>
              </w:rPr>
              <w:t>本项目新增</w:t>
            </w:r>
            <w:r>
              <w:rPr>
                <w:color w:val="auto"/>
                <w:sz w:val="24"/>
                <w:highlight w:val="none"/>
              </w:rPr>
              <w:t>主要设备配置见下表。</w:t>
            </w:r>
          </w:p>
          <w:p>
            <w:pPr>
              <w:pStyle w:val="21"/>
              <w:ind w:left="0" w:firstLine="0" w:firstLineChars="0"/>
              <w:jc w:val="center"/>
              <w:rPr>
                <w:b/>
                <w:bCs/>
                <w:color w:val="auto"/>
                <w:sz w:val="24"/>
                <w:highlight w:val="none"/>
              </w:rPr>
            </w:pPr>
            <w:r>
              <w:rPr>
                <w:b/>
                <w:bCs/>
                <w:color w:val="auto"/>
                <w:sz w:val="24"/>
                <w:highlight w:val="none"/>
              </w:rPr>
              <w:t>表2-</w:t>
            </w:r>
            <w:r>
              <w:rPr>
                <w:rFonts w:hint="eastAsia"/>
                <w:b/>
                <w:bCs/>
                <w:color w:val="auto"/>
                <w:sz w:val="24"/>
                <w:highlight w:val="none"/>
                <w:lang w:val="en-US" w:eastAsia="zh-CN"/>
              </w:rPr>
              <w:t>3</w:t>
            </w:r>
            <w:r>
              <w:rPr>
                <w:b/>
                <w:bCs/>
                <w:color w:val="auto"/>
                <w:sz w:val="24"/>
                <w:highlight w:val="none"/>
              </w:rPr>
              <w:t xml:space="preserve">  项目设备一览表</w:t>
            </w:r>
          </w:p>
          <w:tbl>
            <w:tblPr>
              <w:tblStyle w:val="30"/>
              <w:tblW w:w="4954"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172"/>
              <w:gridCol w:w="1207"/>
              <w:gridCol w:w="1066"/>
              <w:gridCol w:w="1245"/>
              <w:gridCol w:w="152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484" w:type="pct"/>
                  <w:vAlign w:val="center"/>
                </w:tcPr>
                <w:p>
                  <w:pPr>
                    <w:pStyle w:val="23"/>
                    <w:ind w:left="0" w:leftChars="0"/>
                    <w:jc w:val="center"/>
                    <w:rPr>
                      <w:color w:val="auto"/>
                      <w:highlight w:val="none"/>
                    </w:rPr>
                  </w:pPr>
                  <w:r>
                    <w:rPr>
                      <w:color w:val="auto"/>
                      <w:highlight w:val="none"/>
                    </w:rPr>
                    <w:t>序号</w:t>
                  </w:r>
                </w:p>
              </w:tc>
              <w:tc>
                <w:tcPr>
                  <w:tcW w:w="1358" w:type="pct"/>
                  <w:vAlign w:val="center"/>
                </w:tcPr>
                <w:p>
                  <w:pPr>
                    <w:pStyle w:val="23"/>
                    <w:ind w:left="0" w:leftChars="0"/>
                    <w:jc w:val="center"/>
                    <w:rPr>
                      <w:color w:val="auto"/>
                      <w:highlight w:val="none"/>
                    </w:rPr>
                  </w:pPr>
                  <w:r>
                    <w:rPr>
                      <w:color w:val="auto"/>
                      <w:highlight w:val="none"/>
                    </w:rPr>
                    <w:t>设备名称</w:t>
                  </w:r>
                </w:p>
              </w:tc>
              <w:tc>
                <w:tcPr>
                  <w:tcW w:w="755" w:type="pct"/>
                  <w:vAlign w:val="center"/>
                </w:tcPr>
                <w:p>
                  <w:pPr>
                    <w:pStyle w:val="23"/>
                    <w:ind w:left="0" w:leftChars="0"/>
                    <w:jc w:val="center"/>
                    <w:rPr>
                      <w:color w:val="auto"/>
                      <w:highlight w:val="none"/>
                    </w:rPr>
                  </w:pPr>
                  <w:r>
                    <w:rPr>
                      <w:color w:val="auto"/>
                      <w:highlight w:val="none"/>
                    </w:rPr>
                    <w:t>规格/型号</w:t>
                  </w:r>
                </w:p>
              </w:tc>
              <w:tc>
                <w:tcPr>
                  <w:tcW w:w="666" w:type="pct"/>
                  <w:vAlign w:val="center"/>
                </w:tcPr>
                <w:p>
                  <w:pPr>
                    <w:pStyle w:val="23"/>
                    <w:ind w:left="0" w:leftChars="0"/>
                    <w:jc w:val="center"/>
                    <w:rPr>
                      <w:color w:val="auto"/>
                      <w:highlight w:val="none"/>
                    </w:rPr>
                  </w:pPr>
                  <w:r>
                    <w:rPr>
                      <w:color w:val="auto"/>
                      <w:highlight w:val="none"/>
                    </w:rPr>
                    <w:t>单位</w:t>
                  </w:r>
                </w:p>
              </w:tc>
              <w:tc>
                <w:tcPr>
                  <w:tcW w:w="778" w:type="pct"/>
                  <w:vAlign w:val="center"/>
                </w:tcPr>
                <w:p>
                  <w:pPr>
                    <w:pStyle w:val="23"/>
                    <w:ind w:left="0" w:leftChars="0"/>
                    <w:jc w:val="center"/>
                    <w:rPr>
                      <w:color w:val="auto"/>
                      <w:highlight w:val="none"/>
                    </w:rPr>
                  </w:pPr>
                  <w:r>
                    <w:rPr>
                      <w:color w:val="auto"/>
                      <w:highlight w:val="none"/>
                    </w:rPr>
                    <w:t>数量</w:t>
                  </w:r>
                </w:p>
              </w:tc>
              <w:tc>
                <w:tcPr>
                  <w:tcW w:w="955" w:type="pct"/>
                  <w:vAlign w:val="center"/>
                </w:tcPr>
                <w:p>
                  <w:pPr>
                    <w:pStyle w:val="23"/>
                    <w:ind w:left="0" w:leftChars="0"/>
                    <w:jc w:val="center"/>
                    <w:rPr>
                      <w:rFonts w:hint="eastAsia" w:eastAsia="宋体"/>
                      <w:color w:val="auto"/>
                      <w:highlight w:val="none"/>
                      <w:lang w:eastAsia="zh-CN"/>
                    </w:rPr>
                  </w:pPr>
                  <w:r>
                    <w:rPr>
                      <w:rFonts w:hint="eastAsia"/>
                      <w:color w:val="auto"/>
                      <w:highlight w:val="none"/>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5000" w:type="pct"/>
                  <w:gridSpan w:val="6"/>
                  <w:vAlign w:val="center"/>
                </w:tcPr>
                <w:p>
                  <w:pPr>
                    <w:pStyle w:val="23"/>
                    <w:ind w:left="0" w:leftChars="0"/>
                    <w:jc w:val="center"/>
                    <w:rPr>
                      <w:color w:val="auto"/>
                      <w:highlight w:val="none"/>
                    </w:rPr>
                  </w:pPr>
                  <w:r>
                    <w:rPr>
                      <w:rFonts w:hint="default"/>
                      <w:b/>
                      <w:bCs/>
                      <w:color w:val="auto"/>
                      <w:szCs w:val="21"/>
                      <w:highlight w:val="none"/>
                    </w:rPr>
                    <w:t>树脂隔音材料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pct"/>
                  <w:vAlign w:val="center"/>
                </w:tcPr>
                <w:p>
                  <w:pPr>
                    <w:pStyle w:val="23"/>
                    <w:ind w:left="0" w:leftChars="0"/>
                    <w:jc w:val="center"/>
                    <w:rPr>
                      <w:color w:val="auto"/>
                      <w:highlight w:val="none"/>
                    </w:rPr>
                  </w:pPr>
                  <w:r>
                    <w:rPr>
                      <w:color w:val="auto"/>
                      <w:highlight w:val="none"/>
                    </w:rPr>
                    <w:t>1</w:t>
                  </w:r>
                </w:p>
              </w:tc>
              <w:tc>
                <w:tcPr>
                  <w:tcW w:w="1358"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1"/>
                      <w:szCs w:val="21"/>
                      <w:highlight w:val="none"/>
                      <w:u w:val="singl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冷干机</w:t>
                  </w:r>
                </w:p>
              </w:tc>
              <w:tc>
                <w:tcPr>
                  <w:tcW w:w="755" w:type="pct"/>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2"/>
                      <w:sz w:val="21"/>
                      <w:szCs w:val="21"/>
                      <w:highlight w:val="none"/>
                      <w:u w:val="single"/>
                      <w:lang w:val="en-US" w:eastAsia="zh-CN" w:bidi="ar-SA"/>
                    </w:rPr>
                  </w:pPr>
                  <w:r>
                    <w:rPr>
                      <w:rFonts w:hint="eastAsia" w:cs="Times New Roman"/>
                      <w:i w:val="0"/>
                      <w:iCs w:val="0"/>
                      <w:color w:val="auto"/>
                      <w:kern w:val="0"/>
                      <w:sz w:val="21"/>
                      <w:szCs w:val="21"/>
                      <w:highlight w:val="none"/>
                      <w:u w:val="none"/>
                      <w:lang w:val="en-US" w:eastAsia="zh-CN" w:bidi="ar"/>
                    </w:rPr>
                    <w:t>/</w:t>
                  </w:r>
                </w:p>
              </w:tc>
              <w:tc>
                <w:tcPr>
                  <w:tcW w:w="666" w:type="pct"/>
                  <w:vAlign w:val="center"/>
                </w:tcPr>
                <w:p>
                  <w:pPr>
                    <w:pStyle w:val="23"/>
                    <w:ind w:left="0" w:leftChars="0"/>
                    <w:jc w:val="center"/>
                    <w:rPr>
                      <w:color w:val="auto"/>
                      <w:highlight w:val="none"/>
                    </w:rPr>
                  </w:pPr>
                  <w:r>
                    <w:rPr>
                      <w:color w:val="auto"/>
                      <w:highlight w:val="none"/>
                    </w:rPr>
                    <w:t>台</w:t>
                  </w:r>
                </w:p>
              </w:tc>
              <w:tc>
                <w:tcPr>
                  <w:tcW w:w="778" w:type="pct"/>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2"/>
                      <w:sz w:val="21"/>
                      <w:szCs w:val="21"/>
                      <w:highlight w:val="none"/>
                      <w:u w:val="single"/>
                      <w:lang w:val="en-US" w:eastAsia="zh-CN" w:bidi="ar-SA"/>
                    </w:rPr>
                  </w:pPr>
                  <w:r>
                    <w:rPr>
                      <w:rFonts w:hint="eastAsia" w:cs="Times New Roman"/>
                      <w:i w:val="0"/>
                      <w:iCs w:val="0"/>
                      <w:color w:val="auto"/>
                      <w:kern w:val="0"/>
                      <w:sz w:val="21"/>
                      <w:szCs w:val="21"/>
                      <w:highlight w:val="none"/>
                      <w:u w:val="none"/>
                      <w:lang w:val="en-US" w:eastAsia="zh-CN" w:bidi="ar"/>
                    </w:rPr>
                    <w:t>2</w:t>
                  </w:r>
                </w:p>
              </w:tc>
              <w:tc>
                <w:tcPr>
                  <w:tcW w:w="955" w:type="pct"/>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辅助设备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pct"/>
                  <w:vAlign w:val="center"/>
                </w:tcPr>
                <w:p>
                  <w:pPr>
                    <w:pStyle w:val="23"/>
                    <w:ind w:left="0" w:leftChars="0"/>
                    <w:jc w:val="center"/>
                    <w:rPr>
                      <w:color w:val="auto"/>
                      <w:highlight w:val="none"/>
                    </w:rPr>
                  </w:pPr>
                  <w:r>
                    <w:rPr>
                      <w:color w:val="auto"/>
                      <w:highlight w:val="none"/>
                    </w:rPr>
                    <w:t>2</w:t>
                  </w:r>
                </w:p>
              </w:tc>
              <w:tc>
                <w:tcPr>
                  <w:tcW w:w="1358"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储气罐（空气）</w:t>
                  </w:r>
                </w:p>
              </w:tc>
              <w:tc>
                <w:tcPr>
                  <w:tcW w:w="755"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lang w:val="en-US" w:eastAsia="zh-CN" w:bidi="ar-SA"/>
                    </w:rPr>
                  </w:pPr>
                  <w:r>
                    <w:rPr>
                      <w:rFonts w:hint="eastAsia" w:cs="Times New Roman"/>
                      <w:i w:val="0"/>
                      <w:iCs w:val="0"/>
                      <w:color w:val="auto"/>
                      <w:kern w:val="0"/>
                      <w:sz w:val="21"/>
                      <w:szCs w:val="21"/>
                      <w:highlight w:val="none"/>
                      <w:u w:val="none"/>
                      <w:lang w:val="en-US" w:eastAsia="zh-CN" w:bidi="ar"/>
                    </w:rPr>
                    <w:t>/</w:t>
                  </w:r>
                </w:p>
              </w:tc>
              <w:tc>
                <w:tcPr>
                  <w:tcW w:w="666" w:type="pct"/>
                  <w:vAlign w:val="center"/>
                </w:tcPr>
                <w:p>
                  <w:pPr>
                    <w:jc w:val="center"/>
                    <w:rPr>
                      <w:color w:val="auto"/>
                      <w:highlight w:val="none"/>
                    </w:rPr>
                  </w:pPr>
                  <w:r>
                    <w:rPr>
                      <w:color w:val="auto"/>
                      <w:highlight w:val="none"/>
                    </w:rPr>
                    <w:t>台</w:t>
                  </w:r>
                </w:p>
              </w:tc>
              <w:tc>
                <w:tcPr>
                  <w:tcW w:w="778"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lang w:val="en-US" w:eastAsia="zh-CN" w:bidi="ar-SA"/>
                    </w:rPr>
                  </w:pPr>
                  <w:r>
                    <w:rPr>
                      <w:rFonts w:hint="eastAsia" w:cs="Times New Roman"/>
                      <w:i w:val="0"/>
                      <w:iCs w:val="0"/>
                      <w:color w:val="auto"/>
                      <w:kern w:val="0"/>
                      <w:sz w:val="21"/>
                      <w:szCs w:val="21"/>
                      <w:highlight w:val="none"/>
                      <w:u w:val="none"/>
                      <w:lang w:val="en-US" w:eastAsia="zh-CN" w:bidi="ar"/>
                    </w:rPr>
                    <w:t>2</w:t>
                  </w:r>
                </w:p>
              </w:tc>
              <w:tc>
                <w:tcPr>
                  <w:tcW w:w="955"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辅助设备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pct"/>
                  <w:vAlign w:val="center"/>
                </w:tcPr>
                <w:p>
                  <w:pPr>
                    <w:pStyle w:val="23"/>
                    <w:ind w:left="0" w:leftChars="0"/>
                    <w:jc w:val="center"/>
                    <w:rPr>
                      <w:color w:val="auto"/>
                      <w:highlight w:val="none"/>
                    </w:rPr>
                  </w:pPr>
                  <w:r>
                    <w:rPr>
                      <w:color w:val="auto"/>
                      <w:highlight w:val="none"/>
                    </w:rPr>
                    <w:t>3</w:t>
                  </w:r>
                </w:p>
              </w:tc>
              <w:tc>
                <w:tcPr>
                  <w:tcW w:w="1358"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粉碎机</w:t>
                  </w:r>
                </w:p>
              </w:tc>
              <w:tc>
                <w:tcPr>
                  <w:tcW w:w="755"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lang w:val="en-US" w:eastAsia="zh-CN" w:bidi="ar-SA"/>
                    </w:rPr>
                  </w:pPr>
                  <w:r>
                    <w:rPr>
                      <w:rFonts w:hint="eastAsia" w:cs="Times New Roman"/>
                      <w:i w:val="0"/>
                      <w:iCs w:val="0"/>
                      <w:color w:val="auto"/>
                      <w:kern w:val="0"/>
                      <w:sz w:val="21"/>
                      <w:szCs w:val="21"/>
                      <w:highlight w:val="none"/>
                      <w:u w:val="none"/>
                      <w:lang w:val="en-US" w:eastAsia="zh-CN" w:bidi="ar"/>
                    </w:rPr>
                    <w:t>/</w:t>
                  </w:r>
                </w:p>
              </w:tc>
              <w:tc>
                <w:tcPr>
                  <w:tcW w:w="666" w:type="pct"/>
                  <w:vAlign w:val="center"/>
                </w:tcPr>
                <w:p>
                  <w:pPr>
                    <w:jc w:val="center"/>
                    <w:rPr>
                      <w:color w:val="auto"/>
                      <w:highlight w:val="none"/>
                    </w:rPr>
                  </w:pPr>
                  <w:r>
                    <w:rPr>
                      <w:color w:val="auto"/>
                      <w:highlight w:val="none"/>
                    </w:rPr>
                    <w:t>台</w:t>
                  </w:r>
                </w:p>
              </w:tc>
              <w:tc>
                <w:tcPr>
                  <w:tcW w:w="778"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lang w:val="en-US" w:eastAsia="zh-CN" w:bidi="ar-SA"/>
                    </w:rPr>
                  </w:pPr>
                  <w:r>
                    <w:rPr>
                      <w:rFonts w:hint="eastAsia" w:cs="Times New Roman"/>
                      <w:i w:val="0"/>
                      <w:iCs w:val="0"/>
                      <w:color w:val="auto"/>
                      <w:kern w:val="0"/>
                      <w:sz w:val="21"/>
                      <w:szCs w:val="21"/>
                      <w:highlight w:val="none"/>
                      <w:u w:val="none"/>
                      <w:lang w:val="en-US" w:eastAsia="zh-CN" w:bidi="ar"/>
                    </w:rPr>
                    <w:t>2</w:t>
                  </w:r>
                </w:p>
              </w:tc>
              <w:tc>
                <w:tcPr>
                  <w:tcW w:w="955"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辅助设备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pct"/>
                  <w:vAlign w:val="center"/>
                </w:tcPr>
                <w:p>
                  <w:pPr>
                    <w:pStyle w:val="23"/>
                    <w:ind w:left="0" w:leftChars="0"/>
                    <w:jc w:val="center"/>
                    <w:rPr>
                      <w:color w:val="auto"/>
                      <w:highlight w:val="none"/>
                    </w:rPr>
                  </w:pPr>
                  <w:r>
                    <w:rPr>
                      <w:color w:val="auto"/>
                      <w:highlight w:val="none"/>
                    </w:rPr>
                    <w:t>4</w:t>
                  </w:r>
                </w:p>
              </w:tc>
              <w:tc>
                <w:tcPr>
                  <w:tcW w:w="1358"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注塑机</w:t>
                  </w:r>
                </w:p>
              </w:tc>
              <w:tc>
                <w:tcPr>
                  <w:tcW w:w="755"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lang w:val="en-US" w:eastAsia="zh-CN" w:bidi="ar-SA"/>
                    </w:rPr>
                  </w:pPr>
                  <w:r>
                    <w:rPr>
                      <w:rFonts w:hint="eastAsia" w:cs="Times New Roman"/>
                      <w:i w:val="0"/>
                      <w:iCs w:val="0"/>
                      <w:color w:val="auto"/>
                      <w:kern w:val="0"/>
                      <w:sz w:val="21"/>
                      <w:szCs w:val="21"/>
                      <w:highlight w:val="none"/>
                      <w:u w:val="none"/>
                      <w:lang w:val="en-US" w:eastAsia="zh-CN" w:bidi="ar"/>
                    </w:rPr>
                    <w:t>/</w:t>
                  </w:r>
                </w:p>
              </w:tc>
              <w:tc>
                <w:tcPr>
                  <w:tcW w:w="666" w:type="pct"/>
                  <w:vAlign w:val="center"/>
                </w:tcPr>
                <w:p>
                  <w:pPr>
                    <w:jc w:val="center"/>
                    <w:rPr>
                      <w:color w:val="auto"/>
                      <w:highlight w:val="none"/>
                    </w:rPr>
                  </w:pPr>
                  <w:r>
                    <w:rPr>
                      <w:color w:val="auto"/>
                      <w:highlight w:val="none"/>
                    </w:rPr>
                    <w:t>台</w:t>
                  </w:r>
                </w:p>
              </w:tc>
              <w:tc>
                <w:tcPr>
                  <w:tcW w:w="778"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lang w:val="en-US" w:eastAsia="zh-CN" w:bidi="ar-SA"/>
                    </w:rPr>
                  </w:pPr>
                  <w:r>
                    <w:rPr>
                      <w:rFonts w:hint="eastAsia" w:cs="Times New Roman"/>
                      <w:i w:val="0"/>
                      <w:iCs w:val="0"/>
                      <w:color w:val="auto"/>
                      <w:kern w:val="0"/>
                      <w:sz w:val="21"/>
                      <w:szCs w:val="21"/>
                      <w:highlight w:val="none"/>
                      <w:u w:val="none"/>
                      <w:lang w:val="en-US" w:eastAsia="zh-CN" w:bidi="ar"/>
                    </w:rPr>
                    <w:t>10</w:t>
                  </w:r>
                </w:p>
              </w:tc>
              <w:tc>
                <w:tcPr>
                  <w:tcW w:w="955"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生产设备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pct"/>
                  <w:vAlign w:val="center"/>
                </w:tcPr>
                <w:p>
                  <w:pPr>
                    <w:pStyle w:val="23"/>
                    <w:ind w:left="0" w:leftChars="0"/>
                    <w:jc w:val="center"/>
                    <w:rPr>
                      <w:color w:val="auto"/>
                      <w:highlight w:val="none"/>
                    </w:rPr>
                  </w:pPr>
                  <w:r>
                    <w:rPr>
                      <w:color w:val="auto"/>
                      <w:highlight w:val="none"/>
                    </w:rPr>
                    <w:t>5</w:t>
                  </w:r>
                </w:p>
              </w:tc>
              <w:tc>
                <w:tcPr>
                  <w:tcW w:w="1358"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混料机</w:t>
                  </w:r>
                </w:p>
              </w:tc>
              <w:tc>
                <w:tcPr>
                  <w:tcW w:w="755"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1"/>
                      <w:szCs w:val="21"/>
                      <w:highlight w:val="none"/>
                      <w:lang w:val="en-US" w:eastAsia="zh-CN" w:bidi="ar-SA"/>
                    </w:rPr>
                  </w:pPr>
                  <w:r>
                    <w:rPr>
                      <w:rFonts w:hint="eastAsia" w:cs="Times New Roman"/>
                      <w:i w:val="0"/>
                      <w:iCs w:val="0"/>
                      <w:color w:val="auto"/>
                      <w:kern w:val="0"/>
                      <w:sz w:val="21"/>
                      <w:szCs w:val="21"/>
                      <w:highlight w:val="none"/>
                      <w:u w:val="none"/>
                      <w:lang w:val="en-US" w:eastAsia="zh-CN" w:bidi="ar"/>
                    </w:rPr>
                    <w:t>/</w:t>
                  </w:r>
                </w:p>
              </w:tc>
              <w:tc>
                <w:tcPr>
                  <w:tcW w:w="666" w:type="pct"/>
                  <w:vAlign w:val="center"/>
                </w:tcPr>
                <w:p>
                  <w:pPr>
                    <w:jc w:val="center"/>
                    <w:rPr>
                      <w:color w:val="auto"/>
                      <w:highlight w:val="none"/>
                    </w:rPr>
                  </w:pPr>
                  <w:r>
                    <w:rPr>
                      <w:color w:val="auto"/>
                      <w:highlight w:val="none"/>
                    </w:rPr>
                    <w:t>台</w:t>
                  </w:r>
                </w:p>
              </w:tc>
              <w:tc>
                <w:tcPr>
                  <w:tcW w:w="778"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1"/>
                      <w:szCs w:val="21"/>
                      <w:highlight w:val="none"/>
                      <w:lang w:val="en-US" w:eastAsia="zh-CN" w:bidi="ar-SA"/>
                    </w:rPr>
                  </w:pPr>
                  <w:r>
                    <w:rPr>
                      <w:rFonts w:hint="eastAsia" w:cs="Times New Roman"/>
                      <w:i w:val="0"/>
                      <w:iCs w:val="0"/>
                      <w:color w:val="auto"/>
                      <w:kern w:val="0"/>
                      <w:sz w:val="21"/>
                      <w:szCs w:val="21"/>
                      <w:highlight w:val="none"/>
                      <w:u w:val="none"/>
                      <w:lang w:val="en-US" w:eastAsia="zh-CN" w:bidi="ar"/>
                    </w:rPr>
                    <w:t>5</w:t>
                  </w:r>
                </w:p>
              </w:tc>
              <w:tc>
                <w:tcPr>
                  <w:tcW w:w="955" w:type="pct"/>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辅助设备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pct"/>
                  <w:vAlign w:val="center"/>
                </w:tcPr>
                <w:p>
                  <w:pPr>
                    <w:pStyle w:val="23"/>
                    <w:ind w:left="0" w:leftChars="0"/>
                    <w:jc w:val="center"/>
                    <w:rPr>
                      <w:color w:val="auto"/>
                      <w:highlight w:val="none"/>
                    </w:rPr>
                  </w:pPr>
                  <w:r>
                    <w:rPr>
                      <w:color w:val="auto"/>
                      <w:highlight w:val="none"/>
                    </w:rPr>
                    <w:t>6</w:t>
                  </w:r>
                </w:p>
              </w:tc>
              <w:tc>
                <w:tcPr>
                  <w:tcW w:w="1358"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热风干燥机</w:t>
                  </w:r>
                </w:p>
              </w:tc>
              <w:tc>
                <w:tcPr>
                  <w:tcW w:w="755"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1"/>
                      <w:szCs w:val="21"/>
                      <w:highlight w:val="none"/>
                      <w:lang w:val="en-US" w:eastAsia="zh-CN" w:bidi="ar-SA"/>
                    </w:rPr>
                  </w:pPr>
                  <w:r>
                    <w:rPr>
                      <w:rFonts w:hint="eastAsia" w:cs="Times New Roman"/>
                      <w:i w:val="0"/>
                      <w:iCs w:val="0"/>
                      <w:color w:val="auto"/>
                      <w:kern w:val="0"/>
                      <w:sz w:val="21"/>
                      <w:szCs w:val="21"/>
                      <w:highlight w:val="none"/>
                      <w:u w:val="none"/>
                      <w:lang w:val="en-US" w:eastAsia="zh-CN" w:bidi="ar"/>
                    </w:rPr>
                    <w:t>/</w:t>
                  </w:r>
                </w:p>
              </w:tc>
              <w:tc>
                <w:tcPr>
                  <w:tcW w:w="666" w:type="pct"/>
                  <w:vAlign w:val="center"/>
                </w:tcPr>
                <w:p>
                  <w:pPr>
                    <w:pStyle w:val="23"/>
                    <w:ind w:left="0" w:leftChars="0"/>
                    <w:jc w:val="center"/>
                    <w:rPr>
                      <w:rFonts w:ascii="Times New Roman" w:hAnsi="Times New Roman" w:eastAsia="宋体" w:cs="Times New Roman"/>
                      <w:color w:val="auto"/>
                      <w:kern w:val="2"/>
                      <w:sz w:val="21"/>
                      <w:szCs w:val="24"/>
                      <w:highlight w:val="none"/>
                      <w:lang w:val="en-US" w:eastAsia="zh-CN" w:bidi="ar-SA"/>
                    </w:rPr>
                  </w:pPr>
                  <w:r>
                    <w:rPr>
                      <w:color w:val="auto"/>
                      <w:highlight w:val="none"/>
                    </w:rPr>
                    <w:t>台</w:t>
                  </w:r>
                </w:p>
              </w:tc>
              <w:tc>
                <w:tcPr>
                  <w:tcW w:w="778"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1"/>
                      <w:szCs w:val="21"/>
                      <w:highlight w:val="none"/>
                      <w:lang w:val="en-US" w:eastAsia="zh-CN" w:bidi="ar-SA"/>
                    </w:rPr>
                  </w:pPr>
                  <w:r>
                    <w:rPr>
                      <w:rFonts w:hint="eastAsia" w:cs="Times New Roman"/>
                      <w:i w:val="0"/>
                      <w:iCs w:val="0"/>
                      <w:color w:val="auto"/>
                      <w:kern w:val="0"/>
                      <w:sz w:val="21"/>
                      <w:szCs w:val="21"/>
                      <w:highlight w:val="none"/>
                      <w:u w:val="none"/>
                      <w:lang w:val="en-US" w:eastAsia="zh-CN" w:bidi="ar"/>
                    </w:rPr>
                    <w:t>4</w:t>
                  </w:r>
                </w:p>
              </w:tc>
              <w:tc>
                <w:tcPr>
                  <w:tcW w:w="955" w:type="pct"/>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辅助设备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pct"/>
                  <w:vAlign w:val="center"/>
                </w:tcPr>
                <w:p>
                  <w:pPr>
                    <w:pStyle w:val="23"/>
                    <w:ind w:left="0" w:leftChars="0"/>
                    <w:jc w:val="center"/>
                    <w:rPr>
                      <w:color w:val="auto"/>
                      <w:highlight w:val="none"/>
                    </w:rPr>
                  </w:pPr>
                  <w:r>
                    <w:rPr>
                      <w:color w:val="auto"/>
                      <w:highlight w:val="none"/>
                    </w:rPr>
                    <w:t>7</w:t>
                  </w:r>
                </w:p>
              </w:tc>
              <w:tc>
                <w:tcPr>
                  <w:tcW w:w="1358"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吸料机</w:t>
                  </w:r>
                </w:p>
              </w:tc>
              <w:tc>
                <w:tcPr>
                  <w:tcW w:w="755"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1"/>
                      <w:szCs w:val="21"/>
                      <w:highlight w:val="none"/>
                      <w:lang w:val="en-US" w:eastAsia="zh-CN" w:bidi="ar-SA"/>
                    </w:rPr>
                  </w:pPr>
                  <w:r>
                    <w:rPr>
                      <w:rFonts w:hint="eastAsia" w:cs="Times New Roman"/>
                      <w:i w:val="0"/>
                      <w:iCs w:val="0"/>
                      <w:color w:val="auto"/>
                      <w:kern w:val="0"/>
                      <w:sz w:val="21"/>
                      <w:szCs w:val="21"/>
                      <w:highlight w:val="none"/>
                      <w:u w:val="none"/>
                      <w:lang w:val="en-US" w:eastAsia="zh-CN" w:bidi="ar"/>
                    </w:rPr>
                    <w:t>/</w:t>
                  </w:r>
                </w:p>
              </w:tc>
              <w:tc>
                <w:tcPr>
                  <w:tcW w:w="666" w:type="pct"/>
                  <w:vAlign w:val="center"/>
                </w:tcPr>
                <w:p>
                  <w:pPr>
                    <w:jc w:val="center"/>
                    <w:rPr>
                      <w:rFonts w:ascii="Times New Roman" w:hAnsi="Times New Roman" w:eastAsia="宋体" w:cs="Times New Roman"/>
                      <w:color w:val="auto"/>
                      <w:kern w:val="2"/>
                      <w:sz w:val="21"/>
                      <w:szCs w:val="24"/>
                      <w:highlight w:val="none"/>
                      <w:lang w:val="en-US" w:eastAsia="zh-CN" w:bidi="ar-SA"/>
                    </w:rPr>
                  </w:pPr>
                  <w:r>
                    <w:rPr>
                      <w:color w:val="auto"/>
                      <w:highlight w:val="none"/>
                    </w:rPr>
                    <w:t>台</w:t>
                  </w:r>
                </w:p>
              </w:tc>
              <w:tc>
                <w:tcPr>
                  <w:tcW w:w="778"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1"/>
                      <w:szCs w:val="21"/>
                      <w:highlight w:val="none"/>
                      <w:lang w:val="en-US" w:eastAsia="zh-CN" w:bidi="ar-SA"/>
                    </w:rPr>
                  </w:pPr>
                  <w:r>
                    <w:rPr>
                      <w:rFonts w:hint="eastAsia" w:cs="Times New Roman"/>
                      <w:i w:val="0"/>
                      <w:iCs w:val="0"/>
                      <w:color w:val="auto"/>
                      <w:kern w:val="0"/>
                      <w:sz w:val="21"/>
                      <w:szCs w:val="21"/>
                      <w:highlight w:val="none"/>
                      <w:u w:val="none"/>
                      <w:lang w:val="en-US" w:eastAsia="zh-CN" w:bidi="ar"/>
                    </w:rPr>
                    <w:t>5</w:t>
                  </w:r>
                </w:p>
              </w:tc>
              <w:tc>
                <w:tcPr>
                  <w:tcW w:w="955" w:type="pct"/>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辅助设备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pct"/>
                  <w:vAlign w:val="center"/>
                </w:tcPr>
                <w:p>
                  <w:pPr>
                    <w:pStyle w:val="23"/>
                    <w:ind w:left="0" w:leftChars="0"/>
                    <w:jc w:val="center"/>
                    <w:rPr>
                      <w:color w:val="auto"/>
                      <w:highlight w:val="none"/>
                    </w:rPr>
                  </w:pPr>
                  <w:r>
                    <w:rPr>
                      <w:color w:val="auto"/>
                      <w:highlight w:val="none"/>
                    </w:rPr>
                    <w:t>8</w:t>
                  </w:r>
                </w:p>
              </w:tc>
              <w:tc>
                <w:tcPr>
                  <w:tcW w:w="1358"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上料机</w:t>
                  </w:r>
                </w:p>
              </w:tc>
              <w:tc>
                <w:tcPr>
                  <w:tcW w:w="755"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1"/>
                      <w:szCs w:val="21"/>
                      <w:highlight w:val="none"/>
                      <w:lang w:val="en-US" w:eastAsia="zh-CN" w:bidi="ar-SA"/>
                    </w:rPr>
                  </w:pPr>
                  <w:r>
                    <w:rPr>
                      <w:rFonts w:hint="eastAsia" w:cs="Times New Roman"/>
                      <w:i w:val="0"/>
                      <w:iCs w:val="0"/>
                      <w:color w:val="auto"/>
                      <w:kern w:val="0"/>
                      <w:sz w:val="21"/>
                      <w:szCs w:val="21"/>
                      <w:highlight w:val="none"/>
                      <w:u w:val="none"/>
                      <w:lang w:val="en-US" w:eastAsia="zh-CN" w:bidi="ar"/>
                    </w:rPr>
                    <w:t>/</w:t>
                  </w:r>
                </w:p>
              </w:tc>
              <w:tc>
                <w:tcPr>
                  <w:tcW w:w="666" w:type="pct"/>
                  <w:vAlign w:val="center"/>
                </w:tcPr>
                <w:p>
                  <w:pPr>
                    <w:jc w:val="center"/>
                    <w:rPr>
                      <w:rFonts w:ascii="Times New Roman" w:hAnsi="Times New Roman" w:eastAsia="宋体" w:cs="Times New Roman"/>
                      <w:color w:val="auto"/>
                      <w:kern w:val="2"/>
                      <w:sz w:val="21"/>
                      <w:szCs w:val="24"/>
                      <w:highlight w:val="none"/>
                      <w:lang w:val="en-US" w:eastAsia="zh-CN" w:bidi="ar-SA"/>
                    </w:rPr>
                  </w:pPr>
                  <w:r>
                    <w:rPr>
                      <w:color w:val="auto"/>
                      <w:highlight w:val="none"/>
                    </w:rPr>
                    <w:t>台</w:t>
                  </w:r>
                </w:p>
              </w:tc>
              <w:tc>
                <w:tcPr>
                  <w:tcW w:w="778"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1"/>
                      <w:szCs w:val="21"/>
                      <w:highlight w:val="none"/>
                      <w:lang w:val="en-US" w:eastAsia="zh-CN" w:bidi="ar-SA"/>
                    </w:rPr>
                  </w:pPr>
                  <w:r>
                    <w:rPr>
                      <w:rFonts w:hint="eastAsia" w:cs="Times New Roman"/>
                      <w:i w:val="0"/>
                      <w:iCs w:val="0"/>
                      <w:color w:val="auto"/>
                      <w:kern w:val="0"/>
                      <w:sz w:val="21"/>
                      <w:szCs w:val="21"/>
                      <w:highlight w:val="none"/>
                      <w:u w:val="none"/>
                      <w:lang w:val="en-US" w:eastAsia="zh-CN" w:bidi="ar"/>
                    </w:rPr>
                    <w:t>5</w:t>
                  </w:r>
                </w:p>
              </w:tc>
              <w:tc>
                <w:tcPr>
                  <w:tcW w:w="955" w:type="pct"/>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辅助设备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pct"/>
                  <w:vAlign w:val="center"/>
                </w:tcPr>
                <w:p>
                  <w:pPr>
                    <w:pStyle w:val="23"/>
                    <w:ind w:left="0" w:leftChars="0"/>
                    <w:jc w:val="center"/>
                    <w:rPr>
                      <w:color w:val="auto"/>
                      <w:highlight w:val="none"/>
                    </w:rPr>
                  </w:pPr>
                  <w:r>
                    <w:rPr>
                      <w:color w:val="auto"/>
                      <w:highlight w:val="none"/>
                    </w:rPr>
                    <w:t>9</w:t>
                  </w:r>
                </w:p>
              </w:tc>
              <w:tc>
                <w:tcPr>
                  <w:tcW w:w="1358"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机械手</w:t>
                  </w:r>
                </w:p>
              </w:tc>
              <w:tc>
                <w:tcPr>
                  <w:tcW w:w="755"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1"/>
                      <w:szCs w:val="21"/>
                      <w:highlight w:val="none"/>
                      <w:lang w:val="en-US" w:eastAsia="zh-CN" w:bidi="ar-SA"/>
                    </w:rPr>
                  </w:pPr>
                  <w:r>
                    <w:rPr>
                      <w:rFonts w:hint="eastAsia" w:cs="Times New Roman"/>
                      <w:i w:val="0"/>
                      <w:iCs w:val="0"/>
                      <w:color w:val="auto"/>
                      <w:kern w:val="0"/>
                      <w:sz w:val="21"/>
                      <w:szCs w:val="21"/>
                      <w:highlight w:val="none"/>
                      <w:u w:val="none"/>
                      <w:lang w:val="en-US" w:eastAsia="zh-CN" w:bidi="ar"/>
                    </w:rPr>
                    <w:t>/</w:t>
                  </w:r>
                </w:p>
              </w:tc>
              <w:tc>
                <w:tcPr>
                  <w:tcW w:w="666" w:type="pct"/>
                  <w:vAlign w:val="center"/>
                </w:tcPr>
                <w:p>
                  <w:pPr>
                    <w:jc w:val="center"/>
                    <w:rPr>
                      <w:rFonts w:ascii="Times New Roman" w:hAnsi="Times New Roman" w:eastAsia="宋体" w:cs="Times New Roman"/>
                      <w:color w:val="auto"/>
                      <w:kern w:val="2"/>
                      <w:sz w:val="21"/>
                      <w:szCs w:val="24"/>
                      <w:highlight w:val="none"/>
                      <w:lang w:val="en-US" w:eastAsia="zh-CN" w:bidi="ar-SA"/>
                    </w:rPr>
                  </w:pPr>
                  <w:r>
                    <w:rPr>
                      <w:color w:val="auto"/>
                      <w:highlight w:val="none"/>
                    </w:rPr>
                    <w:t>台</w:t>
                  </w:r>
                </w:p>
              </w:tc>
              <w:tc>
                <w:tcPr>
                  <w:tcW w:w="778"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1"/>
                      <w:szCs w:val="21"/>
                      <w:highlight w:val="none"/>
                      <w:lang w:val="en-US" w:eastAsia="zh-CN" w:bidi="ar-SA"/>
                    </w:rPr>
                  </w:pPr>
                  <w:r>
                    <w:rPr>
                      <w:rFonts w:hint="eastAsia" w:cs="Times New Roman"/>
                      <w:i w:val="0"/>
                      <w:iCs w:val="0"/>
                      <w:color w:val="auto"/>
                      <w:kern w:val="0"/>
                      <w:sz w:val="21"/>
                      <w:szCs w:val="21"/>
                      <w:highlight w:val="none"/>
                      <w:u w:val="none"/>
                      <w:lang w:val="en-US" w:eastAsia="zh-CN" w:bidi="ar"/>
                    </w:rPr>
                    <w:t>10</w:t>
                  </w:r>
                </w:p>
              </w:tc>
              <w:tc>
                <w:tcPr>
                  <w:tcW w:w="955" w:type="pct"/>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辅助设备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pct"/>
                  <w:vAlign w:val="center"/>
                </w:tcPr>
                <w:p>
                  <w:pPr>
                    <w:pStyle w:val="23"/>
                    <w:ind w:left="0" w:leftChars="0"/>
                    <w:jc w:val="center"/>
                    <w:rPr>
                      <w:color w:val="auto"/>
                      <w:highlight w:val="none"/>
                    </w:rPr>
                  </w:pPr>
                  <w:r>
                    <w:rPr>
                      <w:color w:val="auto"/>
                      <w:highlight w:val="none"/>
                    </w:rPr>
                    <w:t>10</w:t>
                  </w:r>
                </w:p>
              </w:tc>
              <w:tc>
                <w:tcPr>
                  <w:tcW w:w="1358"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空压机</w:t>
                  </w:r>
                </w:p>
              </w:tc>
              <w:tc>
                <w:tcPr>
                  <w:tcW w:w="755"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1"/>
                      <w:szCs w:val="21"/>
                      <w:highlight w:val="none"/>
                      <w:lang w:val="en-US" w:eastAsia="zh-CN" w:bidi="ar-SA"/>
                    </w:rPr>
                  </w:pPr>
                  <w:r>
                    <w:rPr>
                      <w:rFonts w:hint="eastAsia" w:cs="Times New Roman"/>
                      <w:i w:val="0"/>
                      <w:iCs w:val="0"/>
                      <w:color w:val="auto"/>
                      <w:kern w:val="0"/>
                      <w:sz w:val="21"/>
                      <w:szCs w:val="21"/>
                      <w:highlight w:val="none"/>
                      <w:u w:val="none"/>
                      <w:lang w:val="en-US" w:eastAsia="zh-CN" w:bidi="ar"/>
                    </w:rPr>
                    <w:t>/</w:t>
                  </w:r>
                </w:p>
              </w:tc>
              <w:tc>
                <w:tcPr>
                  <w:tcW w:w="666" w:type="pct"/>
                  <w:vAlign w:val="center"/>
                </w:tcPr>
                <w:p>
                  <w:pPr>
                    <w:jc w:val="center"/>
                    <w:rPr>
                      <w:rFonts w:ascii="Times New Roman" w:hAnsi="Times New Roman" w:eastAsia="宋体" w:cs="Times New Roman"/>
                      <w:color w:val="auto"/>
                      <w:kern w:val="2"/>
                      <w:sz w:val="21"/>
                      <w:szCs w:val="24"/>
                      <w:highlight w:val="none"/>
                      <w:lang w:val="en-US" w:eastAsia="zh-CN" w:bidi="ar-SA"/>
                    </w:rPr>
                  </w:pPr>
                  <w:r>
                    <w:rPr>
                      <w:color w:val="auto"/>
                      <w:highlight w:val="none"/>
                    </w:rPr>
                    <w:t>台</w:t>
                  </w:r>
                </w:p>
              </w:tc>
              <w:tc>
                <w:tcPr>
                  <w:tcW w:w="778"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1"/>
                      <w:szCs w:val="21"/>
                      <w:highlight w:val="none"/>
                      <w:lang w:val="en-US" w:eastAsia="zh-CN" w:bidi="ar-SA"/>
                    </w:rPr>
                  </w:pPr>
                  <w:r>
                    <w:rPr>
                      <w:rFonts w:hint="eastAsia" w:cs="Times New Roman"/>
                      <w:i w:val="0"/>
                      <w:iCs w:val="0"/>
                      <w:color w:val="auto"/>
                      <w:kern w:val="0"/>
                      <w:sz w:val="21"/>
                      <w:szCs w:val="21"/>
                      <w:highlight w:val="none"/>
                      <w:u w:val="none"/>
                      <w:lang w:val="en-US" w:eastAsia="zh-CN" w:bidi="ar"/>
                    </w:rPr>
                    <w:t>2</w:t>
                  </w:r>
                </w:p>
              </w:tc>
              <w:tc>
                <w:tcPr>
                  <w:tcW w:w="955" w:type="pct"/>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辅助设备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pct"/>
                  <w:vAlign w:val="center"/>
                </w:tcPr>
                <w:p>
                  <w:pPr>
                    <w:pStyle w:val="23"/>
                    <w:ind w:left="0" w:leftChars="0"/>
                    <w:jc w:val="center"/>
                    <w:rPr>
                      <w:color w:val="auto"/>
                      <w:highlight w:val="none"/>
                    </w:rPr>
                  </w:pPr>
                  <w:r>
                    <w:rPr>
                      <w:color w:val="auto"/>
                      <w:highlight w:val="none"/>
                    </w:rPr>
                    <w:t>11</w:t>
                  </w:r>
                </w:p>
              </w:tc>
              <w:tc>
                <w:tcPr>
                  <w:tcW w:w="1358"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模温机</w:t>
                  </w:r>
                </w:p>
              </w:tc>
              <w:tc>
                <w:tcPr>
                  <w:tcW w:w="755"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1"/>
                      <w:szCs w:val="21"/>
                      <w:highlight w:val="none"/>
                      <w:lang w:val="en-US" w:eastAsia="zh-CN" w:bidi="ar-SA"/>
                    </w:rPr>
                  </w:pPr>
                  <w:r>
                    <w:rPr>
                      <w:rFonts w:hint="eastAsia" w:cs="Times New Roman"/>
                      <w:i w:val="0"/>
                      <w:iCs w:val="0"/>
                      <w:color w:val="auto"/>
                      <w:kern w:val="0"/>
                      <w:sz w:val="21"/>
                      <w:szCs w:val="21"/>
                      <w:highlight w:val="none"/>
                      <w:u w:val="none"/>
                      <w:lang w:val="en-US" w:eastAsia="zh-CN" w:bidi="ar"/>
                    </w:rPr>
                    <w:t>/</w:t>
                  </w:r>
                </w:p>
              </w:tc>
              <w:tc>
                <w:tcPr>
                  <w:tcW w:w="666" w:type="pct"/>
                  <w:vAlign w:val="center"/>
                </w:tcPr>
                <w:p>
                  <w:pPr>
                    <w:pStyle w:val="23"/>
                    <w:ind w:left="0" w:leftChars="0"/>
                    <w:jc w:val="center"/>
                    <w:rPr>
                      <w:color w:val="auto"/>
                      <w:highlight w:val="none"/>
                    </w:rPr>
                  </w:pPr>
                  <w:r>
                    <w:rPr>
                      <w:color w:val="auto"/>
                      <w:highlight w:val="none"/>
                    </w:rPr>
                    <w:t>台</w:t>
                  </w:r>
                </w:p>
              </w:tc>
              <w:tc>
                <w:tcPr>
                  <w:tcW w:w="778"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20</w:t>
                  </w:r>
                </w:p>
              </w:tc>
              <w:tc>
                <w:tcPr>
                  <w:tcW w:w="955" w:type="pct"/>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1"/>
                      <w:szCs w:val="21"/>
                      <w:highlight w:val="none"/>
                      <w:u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辅助设备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ins w:id="1" w:author="Administrator" w:date="2023-05-09T09:08:38Z"/>
              </w:trPr>
              <w:tc>
                <w:tcPr>
                  <w:tcW w:w="484" w:type="pct"/>
                  <w:vAlign w:val="center"/>
                </w:tcPr>
                <w:p>
                  <w:pPr>
                    <w:pStyle w:val="23"/>
                    <w:ind w:left="0" w:leftChars="0"/>
                    <w:jc w:val="center"/>
                    <w:rPr>
                      <w:rFonts w:hint="default" w:eastAsia="宋体"/>
                      <w:color w:val="auto"/>
                      <w:highlight w:val="none"/>
                      <w:lang w:val="en-US" w:eastAsia="zh-CN"/>
                    </w:rPr>
                  </w:pPr>
                  <w:r>
                    <w:rPr>
                      <w:rFonts w:hint="eastAsia"/>
                      <w:color w:val="auto"/>
                      <w:highlight w:val="none"/>
                      <w:lang w:val="en-US" w:eastAsia="zh-CN"/>
                    </w:rPr>
                    <w:t>12</w:t>
                  </w:r>
                </w:p>
              </w:tc>
              <w:tc>
                <w:tcPr>
                  <w:tcW w:w="1358"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模具</w:t>
                  </w:r>
                </w:p>
              </w:tc>
              <w:tc>
                <w:tcPr>
                  <w:tcW w:w="755" w:type="pct"/>
                  <w:vAlign w:val="center"/>
                </w:tcPr>
                <w:p>
                  <w:pPr>
                    <w:keepNext w:val="0"/>
                    <w:keepLines w:val="0"/>
                    <w:widowControl/>
                    <w:suppressLineNumbers w:val="0"/>
                    <w:jc w:val="center"/>
                    <w:textAlignment w:val="center"/>
                    <w:rPr>
                      <w:rFonts w:hint="eastAsia"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w:t>
                  </w:r>
                </w:p>
              </w:tc>
              <w:tc>
                <w:tcPr>
                  <w:tcW w:w="666" w:type="pct"/>
                  <w:vAlign w:val="center"/>
                </w:tcPr>
                <w:p>
                  <w:pPr>
                    <w:pStyle w:val="23"/>
                    <w:ind w:left="0" w:leftChars="0"/>
                    <w:jc w:val="center"/>
                    <w:rPr>
                      <w:rFonts w:hint="eastAsia" w:eastAsia="宋体"/>
                      <w:color w:val="auto"/>
                      <w:highlight w:val="none"/>
                      <w:lang w:val="en-US" w:eastAsia="zh-CN"/>
                    </w:rPr>
                  </w:pPr>
                  <w:r>
                    <w:rPr>
                      <w:rFonts w:hint="eastAsia"/>
                      <w:color w:val="auto"/>
                      <w:highlight w:val="none"/>
                      <w:lang w:val="en-US" w:eastAsia="zh-CN"/>
                    </w:rPr>
                    <w:t>套</w:t>
                  </w:r>
                </w:p>
              </w:tc>
              <w:tc>
                <w:tcPr>
                  <w:tcW w:w="778"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100</w:t>
                  </w:r>
                </w:p>
              </w:tc>
              <w:tc>
                <w:tcPr>
                  <w:tcW w:w="955" w:type="pct"/>
                  <w:vAlign w:val="center"/>
                </w:tcPr>
                <w:p>
                  <w:pPr>
                    <w:keepNext w:val="0"/>
                    <w:keepLines w:val="0"/>
                    <w:widowControl/>
                    <w:suppressLineNumbers w:val="0"/>
                    <w:jc w:val="center"/>
                    <w:textAlignment w:val="center"/>
                    <w:rPr>
                      <w:ins w:id="2" w:author="Administrator" w:date="2023-05-09T09:08:38Z"/>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辅助设备</w:t>
                  </w:r>
                </w:p>
              </w:tc>
            </w:tr>
          </w:tbl>
          <w:p>
            <w:pPr>
              <w:pStyle w:val="21"/>
              <w:spacing w:line="240" w:lineRule="auto"/>
              <w:ind w:left="0" w:firstLine="482" w:firstLineChars="200"/>
              <w:rPr>
                <w:b/>
                <w:bCs/>
                <w:color w:val="auto"/>
                <w:sz w:val="24"/>
                <w:highlight w:val="none"/>
              </w:rPr>
            </w:pPr>
          </w:p>
          <w:p>
            <w:pPr>
              <w:pStyle w:val="21"/>
              <w:spacing w:line="360" w:lineRule="auto"/>
              <w:ind w:left="0" w:firstLine="482" w:firstLineChars="200"/>
              <w:rPr>
                <w:b/>
                <w:bCs/>
                <w:color w:val="auto"/>
                <w:sz w:val="24"/>
                <w:highlight w:val="none"/>
              </w:rPr>
            </w:pPr>
            <w:r>
              <w:rPr>
                <w:b/>
                <w:bCs/>
                <w:color w:val="auto"/>
                <w:sz w:val="24"/>
                <w:highlight w:val="none"/>
              </w:rPr>
              <w:t>6.原辅材料及能源使用情况</w:t>
            </w:r>
          </w:p>
          <w:p>
            <w:pPr>
              <w:pageBreakBefore w:val="0"/>
              <w:wordWrap/>
              <w:overflowPunct/>
              <w:topLinePunct w:val="0"/>
              <w:bidi w:val="0"/>
              <w:spacing w:line="360" w:lineRule="auto"/>
              <w:ind w:firstLine="480" w:firstLineChars="200"/>
              <w:outlineLvl w:val="9"/>
              <w:rPr>
                <w:ins w:id="3" w:author="赵雪" w:date="2023-05-08T23:29:37Z"/>
                <w:rFonts w:hint="default" w:ascii="Times New Roman" w:hAnsi="Times New Roman" w:cs="Times New Roman"/>
                <w:color w:val="auto"/>
                <w:sz w:val="24"/>
                <w:szCs w:val="21"/>
                <w:highlight w:val="none"/>
              </w:rPr>
            </w:pPr>
            <w:r>
              <w:rPr>
                <w:rFonts w:hint="default" w:ascii="Times New Roman" w:hAnsi="Times New Roman" w:cs="Times New Roman"/>
                <w:color w:val="auto"/>
                <w:sz w:val="24"/>
                <w:highlight w:val="none"/>
                <w:lang w:eastAsia="zh-CN"/>
              </w:rPr>
              <w:t>项目</w:t>
            </w:r>
            <w:r>
              <w:rPr>
                <w:rFonts w:hint="default" w:ascii="Times New Roman" w:hAnsi="Times New Roman" w:cs="Times New Roman"/>
                <w:color w:val="auto"/>
                <w:sz w:val="24"/>
                <w:szCs w:val="21"/>
                <w:highlight w:val="none"/>
              </w:rPr>
              <w:t>主要原辅材料消耗情况用量见下表。</w:t>
            </w:r>
          </w:p>
          <w:p>
            <w:pPr>
              <w:pStyle w:val="21"/>
              <w:ind w:left="0" w:firstLine="0" w:firstLineChars="0"/>
              <w:jc w:val="center"/>
              <w:rPr>
                <w:b/>
                <w:bCs/>
                <w:color w:val="auto"/>
                <w:sz w:val="24"/>
                <w:highlight w:val="none"/>
              </w:rPr>
            </w:pPr>
            <w:r>
              <w:rPr>
                <w:b/>
                <w:bCs/>
                <w:color w:val="auto"/>
                <w:sz w:val="24"/>
                <w:highlight w:val="none"/>
              </w:rPr>
              <w:t>表2-</w:t>
            </w:r>
            <w:r>
              <w:rPr>
                <w:rFonts w:hint="eastAsia"/>
                <w:b/>
                <w:bCs/>
                <w:color w:val="auto"/>
                <w:sz w:val="24"/>
                <w:highlight w:val="none"/>
                <w:lang w:val="en-US" w:eastAsia="zh-CN"/>
              </w:rPr>
              <w:t>4</w:t>
            </w:r>
            <w:r>
              <w:rPr>
                <w:b/>
                <w:bCs/>
                <w:color w:val="auto"/>
                <w:sz w:val="24"/>
                <w:highlight w:val="none"/>
              </w:rPr>
              <w:t xml:space="preserve">  项目原辅材料情况表</w:t>
            </w:r>
          </w:p>
          <w:tbl>
            <w:tblPr>
              <w:tblStyle w:val="30"/>
              <w:tblW w:w="506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4"/>
              <w:gridCol w:w="2040"/>
              <w:gridCol w:w="941"/>
              <w:gridCol w:w="941"/>
              <w:gridCol w:w="2109"/>
              <w:gridCol w:w="800"/>
              <w:gridCol w:w="8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83" w:type="pct"/>
                  <w:tcBorders>
                    <w:tl2br w:val="nil"/>
                    <w:tr2bl w:val="nil"/>
                  </w:tcBorders>
                  <w:vAlign w:val="center"/>
                </w:tcPr>
                <w:p>
                  <w:pPr>
                    <w:jc w:val="center"/>
                    <w:rPr>
                      <w:color w:val="auto"/>
                      <w:szCs w:val="21"/>
                      <w:highlight w:val="none"/>
                    </w:rPr>
                  </w:pPr>
                  <w:r>
                    <w:rPr>
                      <w:color w:val="auto"/>
                      <w:szCs w:val="21"/>
                      <w:highlight w:val="none"/>
                    </w:rPr>
                    <w:t>序号</w:t>
                  </w:r>
                </w:p>
              </w:tc>
              <w:tc>
                <w:tcPr>
                  <w:tcW w:w="1247" w:type="pct"/>
                  <w:tcBorders>
                    <w:tl2br w:val="nil"/>
                    <w:tr2bl w:val="nil"/>
                  </w:tcBorders>
                  <w:vAlign w:val="center"/>
                </w:tcPr>
                <w:p>
                  <w:pPr>
                    <w:jc w:val="center"/>
                    <w:rPr>
                      <w:color w:val="auto"/>
                      <w:szCs w:val="21"/>
                      <w:highlight w:val="none"/>
                    </w:rPr>
                  </w:pPr>
                  <w:r>
                    <w:rPr>
                      <w:color w:val="auto"/>
                      <w:szCs w:val="21"/>
                      <w:highlight w:val="none"/>
                    </w:rPr>
                    <w:t>原辅料名称</w:t>
                  </w:r>
                </w:p>
              </w:tc>
              <w:tc>
                <w:tcPr>
                  <w:tcW w:w="575" w:type="pct"/>
                  <w:tcBorders>
                    <w:tl2br w:val="nil"/>
                    <w:tr2bl w:val="nil"/>
                  </w:tcBorders>
                  <w:vAlign w:val="center"/>
                </w:tcPr>
                <w:p>
                  <w:pPr>
                    <w:jc w:val="center"/>
                    <w:rPr>
                      <w:color w:val="auto"/>
                      <w:kern w:val="0"/>
                      <w:szCs w:val="20"/>
                      <w:highlight w:val="none"/>
                    </w:rPr>
                  </w:pPr>
                  <w:r>
                    <w:rPr>
                      <w:rFonts w:hint="eastAsia"/>
                      <w:color w:val="auto"/>
                      <w:sz w:val="21"/>
                      <w:szCs w:val="21"/>
                      <w:highlight w:val="none"/>
                    </w:rPr>
                    <w:t>物理状态</w:t>
                  </w:r>
                </w:p>
              </w:tc>
              <w:tc>
                <w:tcPr>
                  <w:tcW w:w="575" w:type="pct"/>
                  <w:tcBorders>
                    <w:tl2br w:val="nil"/>
                    <w:tr2bl w:val="nil"/>
                  </w:tcBorders>
                  <w:vAlign w:val="center"/>
                </w:tcPr>
                <w:p>
                  <w:pPr>
                    <w:jc w:val="center"/>
                    <w:rPr>
                      <w:color w:val="auto"/>
                      <w:kern w:val="0"/>
                      <w:szCs w:val="20"/>
                      <w:highlight w:val="none"/>
                    </w:rPr>
                  </w:pPr>
                  <w:r>
                    <w:rPr>
                      <w:color w:val="auto"/>
                      <w:kern w:val="0"/>
                      <w:szCs w:val="20"/>
                      <w:highlight w:val="none"/>
                    </w:rPr>
                    <w:t>年用量t</w:t>
                  </w:r>
                </w:p>
              </w:tc>
              <w:tc>
                <w:tcPr>
                  <w:tcW w:w="1289" w:type="pct"/>
                  <w:tcBorders>
                    <w:tl2br w:val="nil"/>
                    <w:tr2bl w:val="nil"/>
                  </w:tcBorders>
                  <w:vAlign w:val="center"/>
                </w:tcPr>
                <w:p>
                  <w:pPr>
                    <w:jc w:val="center"/>
                    <w:rPr>
                      <w:rFonts w:hint="eastAsia" w:eastAsia="宋体"/>
                      <w:color w:val="auto"/>
                      <w:kern w:val="0"/>
                      <w:szCs w:val="20"/>
                      <w:highlight w:val="none"/>
                      <w:lang w:val="en-US" w:eastAsia="zh-CN"/>
                    </w:rPr>
                  </w:pPr>
                  <w:r>
                    <w:rPr>
                      <w:rFonts w:hint="eastAsia"/>
                      <w:color w:val="auto"/>
                      <w:sz w:val="21"/>
                      <w:szCs w:val="21"/>
                      <w:highlight w:val="none"/>
                    </w:rPr>
                    <w:t>规格</w:t>
                  </w:r>
                  <w:r>
                    <w:rPr>
                      <w:rFonts w:hint="eastAsia"/>
                      <w:color w:val="auto"/>
                      <w:sz w:val="21"/>
                      <w:szCs w:val="21"/>
                      <w:highlight w:val="none"/>
                      <w:lang w:val="en-US" w:eastAsia="zh-CN"/>
                    </w:rPr>
                    <w:t>及</w:t>
                  </w:r>
                  <w:r>
                    <w:rPr>
                      <w:color w:val="auto"/>
                      <w:kern w:val="0"/>
                      <w:szCs w:val="20"/>
                      <w:highlight w:val="none"/>
                    </w:rPr>
                    <w:t>包装</w:t>
                  </w:r>
                  <w:r>
                    <w:rPr>
                      <w:rFonts w:hint="eastAsia"/>
                      <w:color w:val="auto"/>
                      <w:kern w:val="0"/>
                      <w:szCs w:val="20"/>
                      <w:highlight w:val="none"/>
                      <w:lang w:val="en-US" w:eastAsia="zh-CN"/>
                    </w:rPr>
                    <w:t>形式</w:t>
                  </w:r>
                </w:p>
              </w:tc>
              <w:tc>
                <w:tcPr>
                  <w:tcW w:w="489" w:type="pct"/>
                  <w:tcBorders>
                    <w:tl2br w:val="nil"/>
                    <w:tr2bl w:val="nil"/>
                  </w:tcBorders>
                  <w:vAlign w:val="center"/>
                </w:tcPr>
                <w:p>
                  <w:pPr>
                    <w:jc w:val="center"/>
                    <w:rPr>
                      <w:color w:val="auto"/>
                      <w:kern w:val="0"/>
                      <w:szCs w:val="20"/>
                      <w:highlight w:val="none"/>
                    </w:rPr>
                  </w:pPr>
                  <w:r>
                    <w:rPr>
                      <w:color w:val="auto"/>
                      <w:kern w:val="0"/>
                      <w:szCs w:val="20"/>
                      <w:highlight w:val="none"/>
                    </w:rPr>
                    <w:t>储存位置</w:t>
                  </w:r>
                </w:p>
              </w:tc>
              <w:tc>
                <w:tcPr>
                  <w:tcW w:w="538" w:type="pct"/>
                  <w:tcBorders>
                    <w:tl2br w:val="nil"/>
                    <w:tr2bl w:val="nil"/>
                  </w:tcBorders>
                  <w:vAlign w:val="center"/>
                </w:tcPr>
                <w:p>
                  <w:pPr>
                    <w:jc w:val="center"/>
                    <w:rPr>
                      <w:color w:val="auto"/>
                      <w:kern w:val="0"/>
                      <w:szCs w:val="20"/>
                      <w:highlight w:val="none"/>
                    </w:rPr>
                  </w:pPr>
                  <w:r>
                    <w:rPr>
                      <w:color w:val="auto"/>
                      <w:kern w:val="0"/>
                      <w:szCs w:val="20"/>
                      <w:highlight w:val="none"/>
                    </w:rPr>
                    <w:t>最大存放量t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000" w:type="pct"/>
                  <w:gridSpan w:val="7"/>
                  <w:tcBorders>
                    <w:tl2br w:val="nil"/>
                    <w:tr2bl w:val="nil"/>
                  </w:tcBorders>
                  <w:vAlign w:val="center"/>
                </w:tcPr>
                <w:p>
                  <w:pPr>
                    <w:jc w:val="center"/>
                    <w:rPr>
                      <w:color w:val="auto"/>
                      <w:szCs w:val="21"/>
                      <w:highlight w:val="none"/>
                    </w:rPr>
                  </w:pPr>
                  <w:r>
                    <w:rPr>
                      <w:rFonts w:hint="default" w:ascii="Times New Roman" w:hAnsi="Times New Roman" w:cs="Times New Roman"/>
                      <w:b/>
                      <w:bCs/>
                      <w:i w:val="0"/>
                      <w:iCs w:val="0"/>
                      <w:color w:val="auto"/>
                      <w:szCs w:val="21"/>
                      <w:highlight w:val="none"/>
                    </w:rPr>
                    <w:t>树脂隔音材料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83" w:type="pct"/>
                  <w:tcBorders>
                    <w:tl2br w:val="nil"/>
                    <w:tr2bl w:val="nil"/>
                  </w:tcBorders>
                  <w:vAlign w:val="center"/>
                </w:tcPr>
                <w:p>
                  <w:pPr>
                    <w:jc w:val="center"/>
                    <w:rPr>
                      <w:color w:val="auto"/>
                      <w:szCs w:val="21"/>
                      <w:highlight w:val="none"/>
                    </w:rPr>
                  </w:pPr>
                  <w:r>
                    <w:rPr>
                      <w:color w:val="auto"/>
                      <w:szCs w:val="21"/>
                      <w:highlight w:val="none"/>
                    </w:rPr>
                    <w:t>1</w:t>
                  </w:r>
                </w:p>
              </w:tc>
              <w:tc>
                <w:tcPr>
                  <w:tcW w:w="1247" w:type="pct"/>
                  <w:tcBorders>
                    <w:tl2br w:val="nil"/>
                    <w:tr2bl w:val="nil"/>
                  </w:tcBorders>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rPr>
                    <w:t>D-Foam</w:t>
                  </w:r>
                  <w:r>
                    <w:rPr>
                      <w:rFonts w:hint="default" w:ascii="Times New Roman" w:hAnsi="Times New Roman" w:cs="Times New Roman"/>
                      <w:color w:val="auto"/>
                      <w:kern w:val="2"/>
                      <w:sz w:val="21"/>
                      <w:szCs w:val="21"/>
                      <w:highlight w:val="none"/>
                      <w:lang w:eastAsia="zh-CN"/>
                    </w:rPr>
                    <w:t>（</w:t>
                  </w:r>
                  <w:r>
                    <w:rPr>
                      <w:rFonts w:hint="default" w:ascii="Times New Roman" w:hAnsi="Times New Roman" w:eastAsia="宋体" w:cs="Times New Roman"/>
                      <w:color w:val="auto"/>
                      <w:kern w:val="2"/>
                      <w:sz w:val="21"/>
                      <w:szCs w:val="21"/>
                      <w:highlight w:val="none"/>
                      <w:lang w:val="en-US" w:eastAsia="zh-CN"/>
                    </w:rPr>
                    <w:t>聚乙烯</w:t>
                  </w:r>
                  <w:r>
                    <w:rPr>
                      <w:rFonts w:hint="default" w:ascii="Times New Roman" w:hAnsi="Times New Roman" w:cs="Times New Roman"/>
                      <w:color w:val="auto"/>
                      <w:kern w:val="2"/>
                      <w:sz w:val="21"/>
                      <w:szCs w:val="21"/>
                      <w:highlight w:val="none"/>
                      <w:lang w:eastAsia="zh-CN"/>
                    </w:rPr>
                    <w:t>）</w:t>
                  </w:r>
                </w:p>
              </w:tc>
              <w:tc>
                <w:tcPr>
                  <w:tcW w:w="575" w:type="pct"/>
                  <w:tcBorders>
                    <w:tl2br w:val="nil"/>
                    <w:tr2bl w:val="nil"/>
                  </w:tcBorders>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粉末</w:t>
                  </w:r>
                </w:p>
              </w:tc>
              <w:tc>
                <w:tcPr>
                  <w:tcW w:w="57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val="0"/>
                      <w:color w:val="auto"/>
                      <w:kern w:val="2"/>
                      <w:sz w:val="21"/>
                      <w:szCs w:val="21"/>
                      <w:highlight w:val="none"/>
                      <w:lang w:val="en-US" w:eastAsia="zh-CN" w:bidi="ar-SA"/>
                    </w:rPr>
                  </w:pPr>
                  <w:r>
                    <w:rPr>
                      <w:rFonts w:hint="eastAsia" w:cs="Times New Roman"/>
                      <w:i w:val="0"/>
                      <w:iCs w:val="0"/>
                      <w:color w:val="auto"/>
                      <w:szCs w:val="21"/>
                      <w:highlight w:val="none"/>
                      <w:lang w:val="en-US" w:eastAsia="zh-CN"/>
                    </w:rPr>
                    <w:t>251</w:t>
                  </w:r>
                </w:p>
              </w:tc>
              <w:tc>
                <w:tcPr>
                  <w:tcW w:w="1289" w:type="pct"/>
                  <w:tcBorders>
                    <w:tl2br w:val="nil"/>
                    <w:tr2bl w:val="nil"/>
                  </w:tcBorders>
                  <w:vAlign w:val="center"/>
                </w:tcPr>
                <w:p>
                  <w:pPr>
                    <w:pStyle w:val="12"/>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防潮袋装（30kg/袋）</w:t>
                  </w:r>
                </w:p>
              </w:tc>
              <w:tc>
                <w:tcPr>
                  <w:tcW w:w="489" w:type="pct"/>
                  <w:vMerge w:val="restart"/>
                  <w:tcBorders>
                    <w:tl2br w:val="nil"/>
                    <w:tr2bl w:val="nil"/>
                  </w:tcBorders>
                  <w:vAlign w:val="center"/>
                </w:tcPr>
                <w:p>
                  <w:pPr>
                    <w:jc w:val="center"/>
                    <w:rPr>
                      <w:color w:val="auto"/>
                      <w:szCs w:val="21"/>
                      <w:highlight w:val="none"/>
                    </w:rPr>
                  </w:pPr>
                  <w:r>
                    <w:rPr>
                      <w:rFonts w:hint="default" w:ascii="Times New Roman" w:hAnsi="Times New Roman" w:eastAsia="宋体" w:cs="Times New Roman"/>
                      <w:color w:val="auto"/>
                      <w:kern w:val="2"/>
                      <w:sz w:val="21"/>
                      <w:szCs w:val="21"/>
                      <w:highlight w:val="none"/>
                      <w:lang w:val="en-US" w:eastAsia="zh-CN"/>
                    </w:rPr>
                    <w:t>原料贮存区</w:t>
                  </w:r>
                </w:p>
              </w:tc>
              <w:tc>
                <w:tcPr>
                  <w:tcW w:w="538" w:type="pct"/>
                  <w:tcBorders>
                    <w:tl2br w:val="nil"/>
                    <w:tr2bl w:val="nil"/>
                  </w:tcBorders>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83" w:type="pct"/>
                  <w:tcBorders>
                    <w:tl2br w:val="nil"/>
                    <w:tr2bl w:val="nil"/>
                  </w:tcBorders>
                  <w:vAlign w:val="center"/>
                </w:tcPr>
                <w:p>
                  <w:pPr>
                    <w:jc w:val="center"/>
                    <w:rPr>
                      <w:color w:val="auto"/>
                      <w:szCs w:val="21"/>
                      <w:highlight w:val="none"/>
                    </w:rPr>
                  </w:pPr>
                  <w:r>
                    <w:rPr>
                      <w:color w:val="auto"/>
                      <w:szCs w:val="21"/>
                      <w:highlight w:val="none"/>
                    </w:rPr>
                    <w:t>2</w:t>
                  </w:r>
                </w:p>
              </w:tc>
              <w:tc>
                <w:tcPr>
                  <w:tcW w:w="1247" w:type="pct"/>
                  <w:tcBorders>
                    <w:tl2br w:val="nil"/>
                    <w:tr2bl w:val="nil"/>
                  </w:tcBorders>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rPr>
                    <w:t>尼龙</w:t>
                  </w:r>
                </w:p>
              </w:tc>
              <w:tc>
                <w:tcPr>
                  <w:tcW w:w="575" w:type="pct"/>
                  <w:tcBorders>
                    <w:tl2br w:val="nil"/>
                    <w:tr2bl w:val="nil"/>
                  </w:tcBorders>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颗粒</w:t>
                  </w:r>
                </w:p>
              </w:tc>
              <w:tc>
                <w:tcPr>
                  <w:tcW w:w="57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val="0"/>
                      <w:iCs w:val="0"/>
                      <w:color w:val="auto"/>
                      <w:szCs w:val="21"/>
                      <w:highlight w:val="none"/>
                      <w:lang w:val="en-US" w:eastAsia="zh-CN"/>
                    </w:rPr>
                  </w:pPr>
                  <w:r>
                    <w:rPr>
                      <w:rFonts w:hint="eastAsia" w:ascii="Times New Roman" w:hAnsi="Times New Roman" w:cs="Times New Roman"/>
                      <w:i w:val="0"/>
                      <w:iCs w:val="0"/>
                      <w:color w:val="auto"/>
                      <w:szCs w:val="21"/>
                      <w:highlight w:val="none"/>
                      <w:lang w:val="en-US" w:eastAsia="zh-CN"/>
                    </w:rPr>
                    <w:t>250</w:t>
                  </w:r>
                </w:p>
              </w:tc>
              <w:tc>
                <w:tcPr>
                  <w:tcW w:w="1289" w:type="pct"/>
                  <w:tcBorders>
                    <w:tl2br w:val="nil"/>
                    <w:tr2bl w:val="nil"/>
                  </w:tcBorders>
                  <w:vAlign w:val="center"/>
                </w:tcPr>
                <w:p>
                  <w:pPr>
                    <w:pStyle w:val="12"/>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纸箱装（10kg/箱）</w:t>
                  </w:r>
                </w:p>
              </w:tc>
              <w:tc>
                <w:tcPr>
                  <w:tcW w:w="489" w:type="pct"/>
                  <w:vMerge w:val="continue"/>
                  <w:tcBorders>
                    <w:tl2br w:val="nil"/>
                    <w:tr2bl w:val="nil"/>
                  </w:tcBorders>
                  <w:vAlign w:val="center"/>
                </w:tcPr>
                <w:p>
                  <w:pPr>
                    <w:jc w:val="center"/>
                    <w:rPr>
                      <w:color w:val="auto"/>
                      <w:szCs w:val="21"/>
                      <w:highlight w:val="none"/>
                    </w:rPr>
                  </w:pPr>
                </w:p>
              </w:tc>
              <w:tc>
                <w:tcPr>
                  <w:tcW w:w="538" w:type="pct"/>
                  <w:tcBorders>
                    <w:tl2br w:val="nil"/>
                    <w:tr2bl w:val="nil"/>
                  </w:tcBorders>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83" w:type="pct"/>
                  <w:tcBorders>
                    <w:tl2br w:val="nil"/>
                    <w:tr2bl w:val="nil"/>
                  </w:tcBorders>
                  <w:vAlign w:val="center"/>
                </w:tcPr>
                <w:p>
                  <w:pPr>
                    <w:jc w:val="center"/>
                    <w:rPr>
                      <w:color w:val="auto"/>
                      <w:szCs w:val="21"/>
                      <w:highlight w:val="none"/>
                    </w:rPr>
                  </w:pPr>
                  <w:r>
                    <w:rPr>
                      <w:color w:val="auto"/>
                      <w:szCs w:val="21"/>
                      <w:highlight w:val="none"/>
                    </w:rPr>
                    <w:t>3</w:t>
                  </w:r>
                </w:p>
              </w:tc>
              <w:tc>
                <w:tcPr>
                  <w:tcW w:w="1247" w:type="pct"/>
                  <w:tcBorders>
                    <w:tl2br w:val="nil"/>
                    <w:tr2bl w:val="nil"/>
                  </w:tcBorders>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rPr>
                    <w:t>模具清洗剂</w:t>
                  </w:r>
                  <w:r>
                    <w:rPr>
                      <w:rFonts w:hint="default" w:ascii="Times New Roman" w:hAnsi="Times New Roman" w:eastAsia="宋体" w:cs="Times New Roman"/>
                      <w:color w:val="auto"/>
                      <w:kern w:val="2"/>
                      <w:sz w:val="21"/>
                      <w:szCs w:val="21"/>
                      <w:highlight w:val="none"/>
                      <w:lang w:val="en-US" w:eastAsia="zh-CN"/>
                    </w:rPr>
                    <w:t>WD-40</w:t>
                  </w:r>
                </w:p>
              </w:tc>
              <w:tc>
                <w:tcPr>
                  <w:tcW w:w="575" w:type="pct"/>
                  <w:tcBorders>
                    <w:tl2br w:val="nil"/>
                    <w:tr2bl w:val="nil"/>
                  </w:tcBorders>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液态</w:t>
                  </w:r>
                </w:p>
              </w:tc>
              <w:tc>
                <w:tcPr>
                  <w:tcW w:w="57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val="0"/>
                      <w:iCs w:val="0"/>
                      <w:color w:val="auto"/>
                      <w:szCs w:val="21"/>
                      <w:highlight w:val="none"/>
                      <w:lang w:val="en-US" w:eastAsia="zh-CN"/>
                    </w:rPr>
                  </w:pPr>
                  <w:r>
                    <w:rPr>
                      <w:rFonts w:hint="eastAsia" w:ascii="Times New Roman" w:hAnsi="Times New Roman" w:cs="Times New Roman"/>
                      <w:i w:val="0"/>
                      <w:iCs w:val="0"/>
                      <w:color w:val="auto"/>
                      <w:szCs w:val="21"/>
                      <w:highlight w:val="none"/>
                      <w:lang w:val="en-US" w:eastAsia="zh-CN"/>
                    </w:rPr>
                    <w:t>90</w:t>
                  </w:r>
                  <w:r>
                    <w:rPr>
                      <w:rFonts w:hint="default" w:ascii="Times New Roman" w:hAnsi="Times New Roman" w:cs="Times New Roman"/>
                      <w:i w:val="0"/>
                      <w:iCs w:val="0"/>
                      <w:color w:val="auto"/>
                      <w:szCs w:val="21"/>
                      <w:highlight w:val="none"/>
                      <w:lang w:val="en-US" w:eastAsia="zh-CN"/>
                    </w:rPr>
                    <w:t>L</w:t>
                  </w:r>
                </w:p>
              </w:tc>
              <w:tc>
                <w:tcPr>
                  <w:tcW w:w="1289" w:type="pct"/>
                  <w:tcBorders>
                    <w:tl2br w:val="nil"/>
                    <w:tr2bl w:val="nil"/>
                  </w:tcBorders>
                  <w:vAlign w:val="center"/>
                </w:tcPr>
                <w:p>
                  <w:pPr>
                    <w:pStyle w:val="12"/>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桶装（3.8L/桶）</w:t>
                  </w:r>
                </w:p>
              </w:tc>
              <w:tc>
                <w:tcPr>
                  <w:tcW w:w="489" w:type="pct"/>
                  <w:vMerge w:val="restart"/>
                  <w:tcBorders>
                    <w:tl2br w:val="nil"/>
                    <w:tr2bl w:val="nil"/>
                  </w:tcBorders>
                  <w:vAlign w:val="center"/>
                </w:tcPr>
                <w:p>
                  <w:pPr>
                    <w:jc w:val="center"/>
                    <w:rPr>
                      <w:color w:val="auto"/>
                      <w:szCs w:val="21"/>
                      <w:highlight w:val="none"/>
                    </w:rPr>
                  </w:pPr>
                  <w:r>
                    <w:rPr>
                      <w:rFonts w:hint="default" w:ascii="Times New Roman" w:hAnsi="Times New Roman" w:eastAsia="宋体" w:cs="Times New Roman"/>
                      <w:color w:val="auto"/>
                      <w:kern w:val="2"/>
                      <w:sz w:val="21"/>
                      <w:szCs w:val="21"/>
                      <w:highlight w:val="none"/>
                      <w:lang w:val="en-US" w:eastAsia="zh-CN"/>
                    </w:rPr>
                    <w:t>危险品储存区</w:t>
                  </w:r>
                </w:p>
              </w:tc>
              <w:tc>
                <w:tcPr>
                  <w:tcW w:w="538" w:type="pct"/>
                  <w:tcBorders>
                    <w:tl2br w:val="nil"/>
                    <w:tr2bl w:val="nil"/>
                  </w:tcBorders>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0.0036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83" w:type="pct"/>
                  <w:tcBorders>
                    <w:tl2br w:val="nil"/>
                    <w:tr2bl w:val="nil"/>
                  </w:tcBorders>
                  <w:vAlign w:val="center"/>
                </w:tcPr>
                <w:p>
                  <w:pPr>
                    <w:jc w:val="center"/>
                    <w:rPr>
                      <w:color w:val="auto"/>
                      <w:szCs w:val="21"/>
                      <w:highlight w:val="none"/>
                    </w:rPr>
                  </w:pPr>
                  <w:r>
                    <w:rPr>
                      <w:color w:val="auto"/>
                      <w:szCs w:val="21"/>
                      <w:highlight w:val="none"/>
                    </w:rPr>
                    <w:t>4</w:t>
                  </w:r>
                </w:p>
              </w:tc>
              <w:tc>
                <w:tcPr>
                  <w:tcW w:w="1247" w:type="pct"/>
                  <w:tcBorders>
                    <w:tl2br w:val="nil"/>
                    <w:tr2bl w:val="nil"/>
                  </w:tcBorders>
                  <w:vAlign w:val="center"/>
                </w:tcPr>
                <w:p>
                  <w:pPr>
                    <w:pStyle w:val="12"/>
                    <w:spacing w:line="240" w:lineRule="auto"/>
                    <w:jc w:val="center"/>
                    <w:rPr>
                      <w:rFonts w:hint="default" w:ascii="Times New Roman" w:hAnsi="Times New Roman" w:eastAsia="宋体" w:cs="Times New Roman"/>
                      <w:color w:val="auto"/>
                      <w:kern w:val="2"/>
                      <w:sz w:val="21"/>
                      <w:szCs w:val="21"/>
                      <w:highlight w:val="none"/>
                      <w:shd w:val="clear" w:color="auto" w:fill="auto"/>
                      <w:lang w:val="en-US" w:eastAsia="zh-CN" w:bidi="ar-SA"/>
                    </w:rPr>
                  </w:pPr>
                  <w:r>
                    <w:rPr>
                      <w:rFonts w:hint="default" w:ascii="Times New Roman" w:hAnsi="Times New Roman" w:eastAsia="宋体" w:cs="Times New Roman"/>
                      <w:color w:val="auto"/>
                      <w:kern w:val="2"/>
                      <w:sz w:val="21"/>
                      <w:szCs w:val="21"/>
                      <w:highlight w:val="none"/>
                      <w:shd w:val="clear" w:color="auto" w:fill="auto"/>
                      <w:lang w:val="en-US" w:eastAsia="zh-CN"/>
                    </w:rPr>
                    <w:t>银晶</w:t>
                  </w:r>
                  <w:r>
                    <w:rPr>
                      <w:rFonts w:hint="default" w:ascii="Times New Roman" w:hAnsi="Times New Roman" w:eastAsia="宋体" w:cs="Times New Roman"/>
                      <w:color w:val="auto"/>
                      <w:kern w:val="2"/>
                      <w:sz w:val="21"/>
                      <w:szCs w:val="21"/>
                      <w:highlight w:val="none"/>
                      <w:shd w:val="clear" w:color="auto" w:fill="auto"/>
                    </w:rPr>
                    <w:t>模具清洗剂</w:t>
                  </w:r>
                </w:p>
              </w:tc>
              <w:tc>
                <w:tcPr>
                  <w:tcW w:w="575" w:type="pct"/>
                  <w:tcBorders>
                    <w:tl2br w:val="nil"/>
                    <w:tr2bl w:val="nil"/>
                  </w:tcBorders>
                  <w:vAlign w:val="center"/>
                </w:tcPr>
                <w:p>
                  <w:pPr>
                    <w:pStyle w:val="12"/>
                    <w:spacing w:line="240" w:lineRule="auto"/>
                    <w:jc w:val="center"/>
                    <w:rPr>
                      <w:rFonts w:hint="default" w:ascii="Times New Roman" w:hAnsi="Times New Roman" w:eastAsia="宋体" w:cs="Times New Roman"/>
                      <w:color w:val="auto"/>
                      <w:kern w:val="2"/>
                      <w:sz w:val="21"/>
                      <w:szCs w:val="21"/>
                      <w:highlight w:val="none"/>
                      <w:shd w:val="clear" w:color="auto" w:fill="auto"/>
                      <w:lang w:val="en-US" w:eastAsia="zh-CN" w:bidi="ar-SA"/>
                    </w:rPr>
                  </w:pPr>
                  <w:r>
                    <w:rPr>
                      <w:rFonts w:hint="default" w:ascii="Times New Roman" w:hAnsi="Times New Roman" w:eastAsia="宋体" w:cs="Times New Roman"/>
                      <w:color w:val="auto"/>
                      <w:kern w:val="2"/>
                      <w:sz w:val="21"/>
                      <w:szCs w:val="21"/>
                      <w:highlight w:val="none"/>
                      <w:shd w:val="clear" w:color="auto" w:fill="auto"/>
                      <w:lang w:val="en-US" w:eastAsia="zh-CN"/>
                    </w:rPr>
                    <w:t>液态</w:t>
                  </w:r>
                </w:p>
              </w:tc>
              <w:tc>
                <w:tcPr>
                  <w:tcW w:w="57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val="0"/>
                      <w:iCs w:val="0"/>
                      <w:color w:val="auto"/>
                      <w:szCs w:val="21"/>
                      <w:highlight w:val="none"/>
                      <w:lang w:val="en-US" w:eastAsia="zh-CN"/>
                    </w:rPr>
                  </w:pPr>
                  <w:r>
                    <w:rPr>
                      <w:rFonts w:hint="eastAsia" w:ascii="Times New Roman" w:hAnsi="Times New Roman" w:cs="Times New Roman"/>
                      <w:i w:val="0"/>
                      <w:iCs w:val="0"/>
                      <w:color w:val="auto"/>
                      <w:szCs w:val="21"/>
                      <w:highlight w:val="none"/>
                      <w:lang w:val="en-US" w:eastAsia="zh-CN"/>
                    </w:rPr>
                    <w:t>1250</w:t>
                  </w:r>
                  <w:r>
                    <w:rPr>
                      <w:rFonts w:hint="default" w:ascii="Times New Roman" w:hAnsi="Times New Roman" w:cs="Times New Roman"/>
                      <w:i w:val="0"/>
                      <w:iCs w:val="0"/>
                      <w:color w:val="auto"/>
                      <w:szCs w:val="21"/>
                      <w:highlight w:val="none"/>
                      <w:lang w:val="en-US" w:eastAsia="zh-CN"/>
                    </w:rPr>
                    <w:t>L</w:t>
                  </w:r>
                </w:p>
              </w:tc>
              <w:tc>
                <w:tcPr>
                  <w:tcW w:w="1289" w:type="pct"/>
                  <w:tcBorders>
                    <w:tl2br w:val="nil"/>
                    <w:tr2bl w:val="nil"/>
                  </w:tcBorders>
                  <w:vAlign w:val="center"/>
                </w:tcPr>
                <w:p>
                  <w:pPr>
                    <w:pStyle w:val="12"/>
                    <w:jc w:val="center"/>
                    <w:rPr>
                      <w:rFonts w:hint="default" w:ascii="Times New Roman" w:hAnsi="Times New Roman" w:eastAsia="宋体" w:cs="Times New Roman"/>
                      <w:color w:val="auto"/>
                      <w:kern w:val="2"/>
                      <w:sz w:val="21"/>
                      <w:szCs w:val="21"/>
                      <w:highlight w:val="none"/>
                      <w:shd w:val="clear" w:color="auto" w:fill="auto"/>
                      <w:lang w:val="en-US" w:eastAsia="zh-CN" w:bidi="ar-SA"/>
                    </w:rPr>
                  </w:pPr>
                  <w:r>
                    <w:rPr>
                      <w:rFonts w:hint="default" w:ascii="Times New Roman" w:hAnsi="Times New Roman" w:eastAsia="宋体" w:cs="Times New Roman"/>
                      <w:color w:val="auto"/>
                      <w:kern w:val="2"/>
                      <w:sz w:val="21"/>
                      <w:szCs w:val="21"/>
                      <w:highlight w:val="none"/>
                      <w:shd w:val="clear" w:color="auto" w:fill="auto"/>
                      <w:lang w:val="en-US" w:eastAsia="zh-CN"/>
                    </w:rPr>
                    <w:t>桶装（3.8L/桶）</w:t>
                  </w:r>
                </w:p>
              </w:tc>
              <w:tc>
                <w:tcPr>
                  <w:tcW w:w="489" w:type="pct"/>
                  <w:vMerge w:val="continue"/>
                  <w:tcBorders>
                    <w:tl2br w:val="nil"/>
                    <w:tr2bl w:val="nil"/>
                  </w:tcBorders>
                  <w:vAlign w:val="center"/>
                </w:tcPr>
                <w:p>
                  <w:pPr>
                    <w:jc w:val="center"/>
                    <w:rPr>
                      <w:color w:val="auto"/>
                      <w:szCs w:val="21"/>
                      <w:highlight w:val="none"/>
                    </w:rPr>
                  </w:pPr>
                </w:p>
              </w:tc>
              <w:tc>
                <w:tcPr>
                  <w:tcW w:w="538" w:type="pct"/>
                  <w:tcBorders>
                    <w:tl2br w:val="nil"/>
                    <w:tr2bl w:val="nil"/>
                  </w:tcBorders>
                  <w:vAlign w:val="center"/>
                </w:tcPr>
                <w:p>
                  <w:pPr>
                    <w:pStyle w:val="12"/>
                    <w:spacing w:line="240" w:lineRule="auto"/>
                    <w:jc w:val="center"/>
                    <w:rPr>
                      <w:rFonts w:hint="default" w:ascii="Times New Roman" w:hAnsi="Times New Roman" w:eastAsia="宋体" w:cs="Times New Roman"/>
                      <w:color w:val="auto"/>
                      <w:kern w:val="2"/>
                      <w:sz w:val="21"/>
                      <w:szCs w:val="21"/>
                      <w:highlight w:val="none"/>
                      <w:shd w:val="clear" w:color="auto" w:fill="auto"/>
                      <w:lang w:val="en-US" w:eastAsia="zh-CN" w:bidi="ar-SA"/>
                    </w:rPr>
                  </w:pPr>
                  <w:r>
                    <w:rPr>
                      <w:rFonts w:hint="default" w:ascii="Times New Roman" w:hAnsi="Times New Roman" w:eastAsia="宋体" w:cs="Times New Roman"/>
                      <w:color w:val="auto"/>
                      <w:kern w:val="2"/>
                      <w:sz w:val="21"/>
                      <w:szCs w:val="21"/>
                      <w:highlight w:val="none"/>
                      <w:shd w:val="clear" w:color="auto" w:fill="auto"/>
                      <w:lang w:val="en-US" w:eastAsia="zh-CN"/>
                    </w:rPr>
                    <w:t>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83" w:type="pct"/>
                  <w:tcBorders>
                    <w:tl2br w:val="nil"/>
                    <w:tr2bl w:val="nil"/>
                  </w:tcBorders>
                  <w:vAlign w:val="center"/>
                </w:tcPr>
                <w:p>
                  <w:pPr>
                    <w:jc w:val="center"/>
                    <w:rPr>
                      <w:color w:val="auto"/>
                      <w:szCs w:val="21"/>
                      <w:highlight w:val="none"/>
                    </w:rPr>
                  </w:pPr>
                  <w:r>
                    <w:rPr>
                      <w:color w:val="auto"/>
                      <w:szCs w:val="21"/>
                      <w:highlight w:val="none"/>
                    </w:rPr>
                    <w:t>5</w:t>
                  </w:r>
                </w:p>
              </w:tc>
              <w:tc>
                <w:tcPr>
                  <w:tcW w:w="1247" w:type="pct"/>
                  <w:tcBorders>
                    <w:tl2br w:val="nil"/>
                    <w:tr2bl w:val="nil"/>
                  </w:tcBorders>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rPr>
                    <w:t>脱模剂</w:t>
                  </w:r>
                </w:p>
              </w:tc>
              <w:tc>
                <w:tcPr>
                  <w:tcW w:w="575" w:type="pct"/>
                  <w:tcBorders>
                    <w:tl2br w:val="nil"/>
                    <w:tr2bl w:val="nil"/>
                  </w:tcBorders>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液态</w:t>
                  </w:r>
                </w:p>
              </w:tc>
              <w:tc>
                <w:tcPr>
                  <w:tcW w:w="57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val="0"/>
                      <w:iCs w:val="0"/>
                      <w:color w:val="auto"/>
                      <w:szCs w:val="21"/>
                      <w:highlight w:val="none"/>
                      <w:lang w:val="en-US" w:eastAsia="zh-CN"/>
                    </w:rPr>
                  </w:pPr>
                  <w:r>
                    <w:rPr>
                      <w:rFonts w:hint="eastAsia" w:ascii="Times New Roman" w:hAnsi="Times New Roman" w:cs="Times New Roman"/>
                      <w:i w:val="0"/>
                      <w:iCs w:val="0"/>
                      <w:color w:val="auto"/>
                      <w:szCs w:val="21"/>
                      <w:highlight w:val="none"/>
                      <w:lang w:val="en-US" w:eastAsia="zh-CN"/>
                    </w:rPr>
                    <w:t>50</w:t>
                  </w:r>
                  <w:r>
                    <w:rPr>
                      <w:rFonts w:hint="default" w:ascii="Times New Roman" w:hAnsi="Times New Roman" w:cs="Times New Roman"/>
                      <w:i w:val="0"/>
                      <w:iCs w:val="0"/>
                      <w:color w:val="auto"/>
                      <w:szCs w:val="21"/>
                      <w:highlight w:val="none"/>
                      <w:lang w:val="en-US" w:eastAsia="zh-CN"/>
                    </w:rPr>
                    <w:t>L</w:t>
                  </w:r>
                </w:p>
              </w:tc>
              <w:tc>
                <w:tcPr>
                  <w:tcW w:w="1289" w:type="pct"/>
                  <w:tcBorders>
                    <w:tl2br w:val="nil"/>
                    <w:tr2bl w:val="nil"/>
                  </w:tcBorders>
                  <w:vAlign w:val="center"/>
                </w:tcPr>
                <w:p>
                  <w:pPr>
                    <w:pStyle w:val="12"/>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桶装（13kg-130kg）</w:t>
                  </w:r>
                </w:p>
              </w:tc>
              <w:tc>
                <w:tcPr>
                  <w:tcW w:w="489" w:type="pct"/>
                  <w:vMerge w:val="continue"/>
                  <w:tcBorders>
                    <w:tl2br w:val="nil"/>
                    <w:tr2bl w:val="nil"/>
                  </w:tcBorders>
                  <w:vAlign w:val="center"/>
                </w:tcPr>
                <w:p>
                  <w:pPr>
                    <w:jc w:val="center"/>
                    <w:rPr>
                      <w:color w:val="auto"/>
                      <w:szCs w:val="21"/>
                      <w:highlight w:val="none"/>
                    </w:rPr>
                  </w:pPr>
                </w:p>
              </w:tc>
              <w:tc>
                <w:tcPr>
                  <w:tcW w:w="538" w:type="pct"/>
                  <w:tcBorders>
                    <w:tl2br w:val="nil"/>
                    <w:tr2bl w:val="nil"/>
                  </w:tcBorders>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0.026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3" w:type="pct"/>
                  <w:tcBorders>
                    <w:tl2br w:val="nil"/>
                    <w:tr2bl w:val="nil"/>
                  </w:tcBorders>
                  <w:vAlign w:val="center"/>
                </w:tcPr>
                <w:p>
                  <w:pPr>
                    <w:jc w:val="center"/>
                    <w:rPr>
                      <w:color w:val="auto"/>
                      <w:szCs w:val="21"/>
                      <w:highlight w:val="none"/>
                    </w:rPr>
                  </w:pPr>
                  <w:r>
                    <w:rPr>
                      <w:color w:val="auto"/>
                      <w:szCs w:val="21"/>
                      <w:highlight w:val="none"/>
                    </w:rPr>
                    <w:t>6</w:t>
                  </w:r>
                </w:p>
              </w:tc>
              <w:tc>
                <w:tcPr>
                  <w:tcW w:w="1247" w:type="pct"/>
                  <w:tcBorders>
                    <w:tl2br w:val="nil"/>
                    <w:tr2bl w:val="nil"/>
                  </w:tcBorders>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shd w:val="clear" w:color="auto" w:fill="auto"/>
                    </w:rPr>
                    <w:t>防锈剂</w:t>
                  </w:r>
                </w:p>
              </w:tc>
              <w:tc>
                <w:tcPr>
                  <w:tcW w:w="575" w:type="pct"/>
                  <w:tcBorders>
                    <w:tl2br w:val="nil"/>
                    <w:tr2bl w:val="nil"/>
                  </w:tcBorders>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液态</w:t>
                  </w:r>
                </w:p>
              </w:tc>
              <w:tc>
                <w:tcPr>
                  <w:tcW w:w="57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val="0"/>
                      <w:iCs w:val="0"/>
                      <w:color w:val="auto"/>
                      <w:szCs w:val="21"/>
                      <w:highlight w:val="none"/>
                      <w:lang w:val="en-US" w:eastAsia="zh-CN"/>
                    </w:rPr>
                  </w:pPr>
                  <w:r>
                    <w:rPr>
                      <w:rFonts w:hint="eastAsia" w:ascii="Times New Roman" w:hAnsi="Times New Roman" w:cs="Times New Roman"/>
                      <w:i w:val="0"/>
                      <w:iCs w:val="0"/>
                      <w:color w:val="auto"/>
                      <w:szCs w:val="21"/>
                      <w:highlight w:val="none"/>
                      <w:lang w:val="en-US" w:eastAsia="zh-CN"/>
                    </w:rPr>
                    <w:t>50</w:t>
                  </w:r>
                  <w:r>
                    <w:rPr>
                      <w:rFonts w:hint="default" w:ascii="Times New Roman" w:hAnsi="Times New Roman" w:cs="Times New Roman"/>
                      <w:i w:val="0"/>
                      <w:iCs w:val="0"/>
                      <w:color w:val="auto"/>
                      <w:szCs w:val="21"/>
                      <w:highlight w:val="none"/>
                      <w:lang w:val="en-US" w:eastAsia="zh-CN"/>
                    </w:rPr>
                    <w:t>L</w:t>
                  </w:r>
                </w:p>
              </w:tc>
              <w:tc>
                <w:tcPr>
                  <w:tcW w:w="1289" w:type="pct"/>
                  <w:tcBorders>
                    <w:tl2br w:val="nil"/>
                    <w:tr2bl w:val="nil"/>
                  </w:tcBorders>
                  <w:vAlign w:val="center"/>
                </w:tcPr>
                <w:p>
                  <w:pPr>
                    <w:pStyle w:val="12"/>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纸箱装（5kg/箱）</w:t>
                  </w:r>
                </w:p>
              </w:tc>
              <w:tc>
                <w:tcPr>
                  <w:tcW w:w="489" w:type="pct"/>
                  <w:vMerge w:val="continue"/>
                  <w:tcBorders>
                    <w:tl2br w:val="nil"/>
                    <w:tr2bl w:val="nil"/>
                  </w:tcBorders>
                  <w:vAlign w:val="center"/>
                </w:tcPr>
                <w:p>
                  <w:pPr>
                    <w:jc w:val="center"/>
                    <w:rPr>
                      <w:color w:val="auto"/>
                      <w:szCs w:val="21"/>
                      <w:highlight w:val="none"/>
                    </w:rPr>
                  </w:pPr>
                </w:p>
              </w:tc>
              <w:tc>
                <w:tcPr>
                  <w:tcW w:w="538" w:type="pct"/>
                  <w:tcBorders>
                    <w:tl2br w:val="nil"/>
                    <w:tr2bl w:val="nil"/>
                  </w:tcBorders>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3" w:type="pct"/>
                  <w:tcBorders>
                    <w:tl2br w:val="nil"/>
                    <w:tr2bl w:val="nil"/>
                  </w:tcBorders>
                  <w:vAlign w:val="center"/>
                </w:tcPr>
                <w:p>
                  <w:pPr>
                    <w:jc w:val="center"/>
                    <w:rPr>
                      <w:color w:val="auto"/>
                      <w:szCs w:val="21"/>
                      <w:highlight w:val="none"/>
                    </w:rPr>
                  </w:pPr>
                  <w:r>
                    <w:rPr>
                      <w:color w:val="auto"/>
                      <w:szCs w:val="21"/>
                      <w:highlight w:val="none"/>
                    </w:rPr>
                    <w:t>7</w:t>
                  </w:r>
                </w:p>
              </w:tc>
              <w:tc>
                <w:tcPr>
                  <w:tcW w:w="1247" w:type="pct"/>
                  <w:tcBorders>
                    <w:tl2br w:val="nil"/>
                    <w:tr2bl w:val="nil"/>
                  </w:tcBorders>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顶针油</w:t>
                  </w:r>
                </w:p>
              </w:tc>
              <w:tc>
                <w:tcPr>
                  <w:tcW w:w="575" w:type="pct"/>
                  <w:tcBorders>
                    <w:tl2br w:val="nil"/>
                    <w:tr2bl w:val="nil"/>
                  </w:tcBorders>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油性</w:t>
                  </w:r>
                </w:p>
              </w:tc>
              <w:tc>
                <w:tcPr>
                  <w:tcW w:w="57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val="0"/>
                      <w:iCs w:val="0"/>
                      <w:color w:val="auto"/>
                      <w:szCs w:val="21"/>
                      <w:highlight w:val="none"/>
                      <w:lang w:val="en-US" w:eastAsia="zh-CN"/>
                    </w:rPr>
                  </w:pPr>
                  <w:r>
                    <w:rPr>
                      <w:rFonts w:hint="eastAsia" w:ascii="Times New Roman" w:hAnsi="Times New Roman" w:cs="Times New Roman"/>
                      <w:i w:val="0"/>
                      <w:iCs w:val="0"/>
                      <w:color w:val="auto"/>
                      <w:szCs w:val="21"/>
                      <w:highlight w:val="none"/>
                      <w:lang w:val="en-US" w:eastAsia="zh-CN"/>
                    </w:rPr>
                    <w:t>75</w:t>
                  </w:r>
                  <w:r>
                    <w:rPr>
                      <w:rFonts w:hint="default" w:ascii="Times New Roman" w:hAnsi="Times New Roman" w:cs="Times New Roman"/>
                      <w:i w:val="0"/>
                      <w:iCs w:val="0"/>
                      <w:color w:val="auto"/>
                      <w:szCs w:val="21"/>
                      <w:highlight w:val="none"/>
                      <w:lang w:val="en-US" w:eastAsia="zh-CN"/>
                    </w:rPr>
                    <w:t>L</w:t>
                  </w:r>
                </w:p>
              </w:tc>
              <w:tc>
                <w:tcPr>
                  <w:tcW w:w="1289" w:type="pct"/>
                  <w:tcBorders>
                    <w:tl2br w:val="nil"/>
                    <w:tr2bl w:val="nil"/>
                  </w:tcBorders>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纸箱装（5kg/箱）</w:t>
                  </w:r>
                </w:p>
              </w:tc>
              <w:tc>
                <w:tcPr>
                  <w:tcW w:w="489" w:type="pct"/>
                  <w:vMerge w:val="continue"/>
                  <w:tcBorders>
                    <w:tl2br w:val="nil"/>
                    <w:tr2bl w:val="nil"/>
                  </w:tcBorders>
                  <w:vAlign w:val="center"/>
                </w:tcPr>
                <w:p>
                  <w:pPr>
                    <w:jc w:val="center"/>
                    <w:rPr>
                      <w:color w:val="auto"/>
                      <w:szCs w:val="21"/>
                      <w:highlight w:val="none"/>
                    </w:rPr>
                  </w:pPr>
                </w:p>
              </w:tc>
              <w:tc>
                <w:tcPr>
                  <w:tcW w:w="538" w:type="pct"/>
                  <w:tcBorders>
                    <w:tl2br w:val="nil"/>
                    <w:tr2bl w:val="nil"/>
                  </w:tcBorders>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0.005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3" w:type="pct"/>
                  <w:tcBorders>
                    <w:tl2br w:val="nil"/>
                    <w:tr2bl w:val="nil"/>
                  </w:tcBorders>
                  <w:vAlign w:val="center"/>
                </w:tcPr>
                <w:p>
                  <w:pPr>
                    <w:jc w:val="center"/>
                    <w:rPr>
                      <w:color w:val="auto"/>
                      <w:szCs w:val="21"/>
                      <w:highlight w:val="none"/>
                    </w:rPr>
                  </w:pPr>
                  <w:r>
                    <w:rPr>
                      <w:color w:val="auto"/>
                      <w:szCs w:val="21"/>
                      <w:highlight w:val="none"/>
                    </w:rPr>
                    <w:t>8</w:t>
                  </w:r>
                </w:p>
              </w:tc>
              <w:tc>
                <w:tcPr>
                  <w:tcW w:w="1247" w:type="pct"/>
                  <w:tcBorders>
                    <w:tl2br w:val="nil"/>
                    <w:tr2bl w:val="nil"/>
                  </w:tcBorders>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导热油</w:t>
                  </w:r>
                </w:p>
              </w:tc>
              <w:tc>
                <w:tcPr>
                  <w:tcW w:w="575" w:type="pct"/>
                  <w:tcBorders>
                    <w:tl2br w:val="nil"/>
                    <w:tr2bl w:val="nil"/>
                  </w:tcBorders>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油性</w:t>
                  </w:r>
                </w:p>
              </w:tc>
              <w:tc>
                <w:tcPr>
                  <w:tcW w:w="57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val="0"/>
                      <w:iCs w:val="0"/>
                      <w:color w:val="auto"/>
                      <w:szCs w:val="21"/>
                      <w:highlight w:val="none"/>
                      <w:lang w:val="en-US" w:eastAsia="zh-CN"/>
                    </w:rPr>
                  </w:pPr>
                  <w:r>
                    <w:rPr>
                      <w:rFonts w:hint="eastAsia" w:ascii="Times New Roman" w:hAnsi="Times New Roman" w:cs="Times New Roman"/>
                      <w:i w:val="0"/>
                      <w:iCs w:val="0"/>
                      <w:color w:val="auto"/>
                      <w:szCs w:val="21"/>
                      <w:highlight w:val="none"/>
                      <w:lang w:val="en-US" w:eastAsia="zh-CN"/>
                    </w:rPr>
                    <w:t>5</w:t>
                  </w:r>
                  <w:r>
                    <w:rPr>
                      <w:rFonts w:hint="default" w:ascii="Times New Roman" w:hAnsi="Times New Roman" w:cs="Times New Roman"/>
                      <w:i w:val="0"/>
                      <w:iCs w:val="0"/>
                      <w:color w:val="auto"/>
                      <w:szCs w:val="21"/>
                      <w:highlight w:val="none"/>
                      <w:lang w:val="en-US" w:eastAsia="zh-CN"/>
                    </w:rPr>
                    <w:t>L</w:t>
                  </w:r>
                </w:p>
              </w:tc>
              <w:tc>
                <w:tcPr>
                  <w:tcW w:w="1289" w:type="pct"/>
                  <w:tcBorders>
                    <w:tl2br w:val="nil"/>
                    <w:tr2bl w:val="nil"/>
                  </w:tcBorders>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桶装（30L/桶）</w:t>
                  </w:r>
                </w:p>
              </w:tc>
              <w:tc>
                <w:tcPr>
                  <w:tcW w:w="489" w:type="pct"/>
                  <w:vMerge w:val="restart"/>
                  <w:tcBorders>
                    <w:tl2br w:val="nil"/>
                    <w:tr2bl w:val="nil"/>
                  </w:tcBorders>
                  <w:vAlign w:val="center"/>
                </w:tcPr>
                <w:p>
                  <w:pPr>
                    <w:jc w:val="center"/>
                    <w:rPr>
                      <w:color w:val="auto"/>
                      <w:szCs w:val="21"/>
                      <w:highlight w:val="none"/>
                    </w:rPr>
                  </w:pPr>
                  <w:r>
                    <w:rPr>
                      <w:rFonts w:hint="default" w:ascii="Times New Roman" w:hAnsi="Times New Roman" w:eastAsia="宋体" w:cs="Times New Roman"/>
                      <w:color w:val="auto"/>
                      <w:kern w:val="2"/>
                      <w:sz w:val="21"/>
                      <w:szCs w:val="21"/>
                      <w:highlight w:val="none"/>
                      <w:lang w:val="en-US" w:eastAsia="zh-CN"/>
                    </w:rPr>
                    <w:t>生产设备内</w:t>
                  </w:r>
                </w:p>
              </w:tc>
              <w:tc>
                <w:tcPr>
                  <w:tcW w:w="538" w:type="pct"/>
                  <w:tcBorders>
                    <w:tl2br w:val="nil"/>
                    <w:tr2bl w:val="nil"/>
                  </w:tcBorders>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83" w:type="pct"/>
                  <w:tcBorders>
                    <w:tl2br w:val="nil"/>
                    <w:tr2bl w:val="nil"/>
                  </w:tcBorders>
                  <w:vAlign w:val="center"/>
                </w:tcPr>
                <w:p>
                  <w:pPr>
                    <w:jc w:val="center"/>
                    <w:rPr>
                      <w:color w:val="auto"/>
                      <w:szCs w:val="21"/>
                      <w:highlight w:val="none"/>
                    </w:rPr>
                  </w:pPr>
                  <w:r>
                    <w:rPr>
                      <w:color w:val="auto"/>
                      <w:szCs w:val="21"/>
                      <w:highlight w:val="none"/>
                    </w:rPr>
                    <w:t>9</w:t>
                  </w:r>
                </w:p>
              </w:tc>
              <w:tc>
                <w:tcPr>
                  <w:tcW w:w="1247" w:type="pct"/>
                  <w:tcBorders>
                    <w:tl2br w:val="nil"/>
                    <w:tr2bl w:val="nil"/>
                  </w:tcBorders>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液压油</w:t>
                  </w:r>
                </w:p>
              </w:tc>
              <w:tc>
                <w:tcPr>
                  <w:tcW w:w="575" w:type="pct"/>
                  <w:tcBorders>
                    <w:tl2br w:val="nil"/>
                    <w:tr2bl w:val="nil"/>
                  </w:tcBorders>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油性</w:t>
                  </w:r>
                </w:p>
              </w:tc>
              <w:tc>
                <w:tcPr>
                  <w:tcW w:w="57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val="0"/>
                      <w:iCs w:val="0"/>
                      <w:color w:val="auto"/>
                      <w:szCs w:val="21"/>
                      <w:highlight w:val="none"/>
                      <w:lang w:val="en-US" w:eastAsia="zh-CN"/>
                    </w:rPr>
                  </w:pPr>
                  <w:r>
                    <w:rPr>
                      <w:rFonts w:hint="eastAsia" w:ascii="Times New Roman" w:hAnsi="Times New Roman" w:cs="Times New Roman"/>
                      <w:i w:val="0"/>
                      <w:iCs w:val="0"/>
                      <w:color w:val="auto"/>
                      <w:szCs w:val="21"/>
                      <w:highlight w:val="none"/>
                      <w:lang w:val="en-US" w:eastAsia="zh-CN"/>
                    </w:rPr>
                    <w:t>1.5</w:t>
                  </w:r>
                  <w:r>
                    <w:rPr>
                      <w:rFonts w:hint="default" w:ascii="Times New Roman" w:hAnsi="Times New Roman" w:cs="Times New Roman"/>
                      <w:i w:val="0"/>
                      <w:iCs w:val="0"/>
                      <w:color w:val="auto"/>
                      <w:szCs w:val="21"/>
                      <w:highlight w:val="none"/>
                      <w:lang w:val="en-US" w:eastAsia="zh-CN"/>
                    </w:rPr>
                    <w:t>L</w:t>
                  </w:r>
                </w:p>
              </w:tc>
              <w:tc>
                <w:tcPr>
                  <w:tcW w:w="1289" w:type="pct"/>
                  <w:tcBorders>
                    <w:tl2br w:val="nil"/>
                    <w:tr2bl w:val="nil"/>
                  </w:tcBorders>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桶装（30L/桶）</w:t>
                  </w:r>
                </w:p>
              </w:tc>
              <w:tc>
                <w:tcPr>
                  <w:tcW w:w="489" w:type="pct"/>
                  <w:vMerge w:val="continue"/>
                  <w:tcBorders>
                    <w:tl2br w:val="nil"/>
                    <w:tr2bl w:val="nil"/>
                  </w:tcBorders>
                  <w:vAlign w:val="center"/>
                </w:tcPr>
                <w:p>
                  <w:pPr>
                    <w:jc w:val="center"/>
                    <w:rPr>
                      <w:color w:val="auto"/>
                      <w:szCs w:val="21"/>
                      <w:highlight w:val="none"/>
                    </w:rPr>
                  </w:pPr>
                </w:p>
              </w:tc>
              <w:tc>
                <w:tcPr>
                  <w:tcW w:w="538" w:type="pct"/>
                  <w:tcBorders>
                    <w:tl2br w:val="nil"/>
                    <w:tr2bl w:val="nil"/>
                  </w:tcBorders>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0.6</w:t>
                  </w:r>
                </w:p>
              </w:tc>
            </w:tr>
          </w:tbl>
          <w:p>
            <w:pPr>
              <w:spacing w:line="240" w:lineRule="auto"/>
              <w:ind w:firstLine="482" w:firstLineChars="200"/>
              <w:rPr>
                <w:b/>
                <w:bCs/>
                <w:color w:val="auto"/>
                <w:sz w:val="24"/>
                <w:highlight w:val="none"/>
              </w:rPr>
            </w:pPr>
          </w:p>
          <w:p>
            <w:pPr>
              <w:spacing w:line="360" w:lineRule="auto"/>
              <w:ind w:firstLine="482" w:firstLineChars="200"/>
              <w:rPr>
                <w:b/>
                <w:bCs/>
                <w:color w:val="auto"/>
                <w:sz w:val="24"/>
                <w:highlight w:val="none"/>
              </w:rPr>
            </w:pPr>
            <w:r>
              <w:rPr>
                <w:b/>
                <w:bCs/>
                <w:color w:val="auto"/>
                <w:sz w:val="24"/>
                <w:highlight w:val="none"/>
              </w:rPr>
              <w:t>主要原辅材料理化性质：</w:t>
            </w:r>
          </w:p>
          <w:p>
            <w:pPr>
              <w:spacing w:line="360" w:lineRule="auto"/>
              <w:ind w:firstLine="480" w:firstLineChars="200"/>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本项目所用的主要原料、辅助材料理化性质见</w:t>
            </w:r>
            <w:r>
              <w:rPr>
                <w:rFonts w:hint="eastAsia" w:cs="Times New Roman"/>
                <w:color w:val="auto"/>
                <w:sz w:val="24"/>
                <w:szCs w:val="24"/>
                <w:highlight w:val="none"/>
                <w:lang w:val="en-US" w:eastAsia="zh-CN"/>
              </w:rPr>
              <w:t>下表</w:t>
            </w:r>
            <w:r>
              <w:rPr>
                <w:rFonts w:hint="default" w:ascii="Times New Roman" w:hAnsi="Times New Roman" w:cs="Times New Roman"/>
                <w:color w:val="auto"/>
                <w:sz w:val="24"/>
                <w:szCs w:val="24"/>
                <w:highlight w:val="none"/>
              </w:rPr>
              <w:t>。</w:t>
            </w:r>
          </w:p>
          <w:p>
            <w:pPr>
              <w:autoSpaceDE w:val="0"/>
              <w:autoSpaceDN w:val="0"/>
              <w:adjustRightInd w:val="0"/>
              <w:jc w:val="center"/>
              <w:rPr>
                <w:rFonts w:hint="default" w:ascii="Times New Roman" w:hAnsi="Times New Roman" w:cs="Times New Roman"/>
                <w:b/>
                <w:bCs/>
                <w:color w:val="auto"/>
                <w:kern w:val="0"/>
                <w:sz w:val="24"/>
                <w:szCs w:val="24"/>
                <w:highlight w:val="none"/>
                <w:lang w:val="zh-CN"/>
              </w:rPr>
            </w:pPr>
            <w:r>
              <w:rPr>
                <w:rFonts w:hint="default" w:ascii="Times New Roman" w:hAnsi="Times New Roman" w:cs="Times New Roman"/>
                <w:b/>
                <w:bCs/>
                <w:color w:val="auto"/>
                <w:kern w:val="0"/>
                <w:sz w:val="24"/>
                <w:szCs w:val="24"/>
                <w:highlight w:val="none"/>
                <w:lang w:val="zh-CN"/>
              </w:rPr>
              <w:t>表</w:t>
            </w:r>
            <w:r>
              <w:rPr>
                <w:rFonts w:hint="eastAsia" w:cs="Times New Roman"/>
                <w:b/>
                <w:bCs/>
                <w:color w:val="auto"/>
                <w:kern w:val="0"/>
                <w:sz w:val="24"/>
                <w:szCs w:val="24"/>
                <w:highlight w:val="none"/>
                <w:lang w:val="en-US" w:eastAsia="zh-CN"/>
              </w:rPr>
              <w:t>2-5</w:t>
            </w:r>
            <w:r>
              <w:rPr>
                <w:rFonts w:hint="default" w:ascii="Times New Roman" w:hAnsi="Times New Roman" w:cs="Times New Roman"/>
                <w:b/>
                <w:bCs/>
                <w:color w:val="auto"/>
                <w:kern w:val="0"/>
                <w:sz w:val="24"/>
                <w:szCs w:val="24"/>
                <w:highlight w:val="none"/>
                <w:lang w:val="zh-CN"/>
              </w:rPr>
              <w:t xml:space="preserve">  项目主要原辅材料理化性质</w:t>
            </w:r>
          </w:p>
          <w:tbl>
            <w:tblPr>
              <w:tblStyle w:val="30"/>
              <w:tblW w:w="819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035"/>
              <w:gridCol w:w="652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636" w:type="dxa"/>
                  <w:noWrap w:val="0"/>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序号</w:t>
                  </w:r>
                </w:p>
              </w:tc>
              <w:tc>
                <w:tcPr>
                  <w:tcW w:w="1035" w:type="dxa"/>
                  <w:noWrap w:val="0"/>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原辅料</w:t>
                  </w:r>
                </w:p>
              </w:tc>
              <w:tc>
                <w:tcPr>
                  <w:tcW w:w="6528" w:type="dxa"/>
                  <w:noWrap w:val="0"/>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理化性质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636" w:type="dxa"/>
                  <w:noWrap w:val="0"/>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1</w:t>
                  </w:r>
                </w:p>
              </w:tc>
              <w:tc>
                <w:tcPr>
                  <w:tcW w:w="1035" w:type="dxa"/>
                  <w:noWrap w:val="0"/>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D-Foam</w:t>
                  </w:r>
                </w:p>
              </w:tc>
              <w:tc>
                <w:tcPr>
                  <w:tcW w:w="6528" w:type="dxa"/>
                  <w:noWrap w:val="0"/>
                  <w:vAlign w:val="center"/>
                </w:tcPr>
                <w:p>
                  <w:pPr>
                    <w:pStyle w:val="12"/>
                    <w:spacing w:line="240" w:lineRule="auto"/>
                    <w:jc w:val="left"/>
                    <w:rPr>
                      <w:rFonts w:hint="default" w:ascii="Times New Roman" w:hAnsi="Times New Roman" w:cs="Times New Roman"/>
                      <w:color w:val="auto"/>
                      <w:highlight w:val="none"/>
                    </w:rPr>
                  </w:pPr>
                  <w:r>
                    <w:rPr>
                      <w:rFonts w:hint="default" w:ascii="Times New Roman" w:hAnsi="Times New Roman" w:eastAsia="宋体" w:cs="Times New Roman"/>
                      <w:color w:val="auto"/>
                      <w:kern w:val="2"/>
                      <w:sz w:val="21"/>
                      <w:szCs w:val="21"/>
                      <w:highlight w:val="none"/>
                      <w:lang w:val="en-US" w:eastAsia="zh-CN"/>
                    </w:rPr>
                    <w:t>聚乙烯，简称PE，是乙烯经聚合制得的一种热塑性树脂。在工业上，也包括乙烯与少量α-烯烃的共聚物。聚乙烯无臭，无毒，手感似蜡，具有优良的耐低温性能（最低使用温度可达零下70℃至100℃）化学稳定性好，能耐大多数酸碱的侵蚀（不耐具有氧化性质的酸），常温下不溶于一般溶剂，吸水性小，电绝缘性能优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636" w:type="dxa"/>
                  <w:noWrap w:val="0"/>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2</w:t>
                  </w:r>
                </w:p>
              </w:tc>
              <w:tc>
                <w:tcPr>
                  <w:tcW w:w="1035" w:type="dxa"/>
                  <w:noWrap w:val="0"/>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尼龙</w:t>
                  </w:r>
                </w:p>
              </w:tc>
              <w:tc>
                <w:tcPr>
                  <w:tcW w:w="6528" w:type="dxa"/>
                  <w:noWrap w:val="0"/>
                  <w:vAlign w:val="center"/>
                </w:tcPr>
                <w:p>
                  <w:pPr>
                    <w:pStyle w:val="12"/>
                    <w:spacing w:line="240" w:lineRule="auto"/>
                    <w:jc w:val="left"/>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聚已二酰已二胺，工业简称PA66，常制成圆柱状粒料，作塑料用的聚酰胺分子量一般为1.5万-2万。各种聚酰胺的共同特点是耐热、抗张强度高（达104千帕），耐磨，电绝缘性好。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636" w:type="dxa"/>
                  <w:noWrap w:val="0"/>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3</w:t>
                  </w:r>
                </w:p>
              </w:tc>
              <w:tc>
                <w:tcPr>
                  <w:tcW w:w="1035" w:type="dxa"/>
                  <w:noWrap w:val="0"/>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WD-40模具清洗剂</w:t>
                  </w:r>
                </w:p>
              </w:tc>
              <w:tc>
                <w:tcPr>
                  <w:tcW w:w="6528" w:type="dxa"/>
                  <w:noWrap w:val="0"/>
                  <w:vAlign w:val="center"/>
                </w:tcPr>
                <w:p>
                  <w:pPr>
                    <w:pStyle w:val="12"/>
                    <w:spacing w:line="240" w:lineRule="auto"/>
                    <w:jc w:val="left"/>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WD-40清洗剂 主要成分为脂肪烃类60-70%、二氧化碳2%-3%、石油基油15-25%，其他无危险性混合物&lt;10%。稳定，不溶于水，比例挥发性70%，挥发比例站总重量78%，沸点149℃，密度0.816，淡琥珀色，常温下为液体。不宜分解，环境中能持续稳定；难溶混合物，对水生生物无毒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636" w:type="dxa"/>
                  <w:noWrap w:val="0"/>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4</w:t>
                  </w:r>
                </w:p>
              </w:tc>
              <w:tc>
                <w:tcPr>
                  <w:tcW w:w="1035" w:type="dxa"/>
                  <w:noWrap w:val="0"/>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银晶模具清洗剂</w:t>
                  </w:r>
                </w:p>
              </w:tc>
              <w:tc>
                <w:tcPr>
                  <w:tcW w:w="6528" w:type="dxa"/>
                  <w:noWrap w:val="0"/>
                  <w:vAlign w:val="center"/>
                </w:tcPr>
                <w:p>
                  <w:pPr>
                    <w:pStyle w:val="12"/>
                    <w:spacing w:line="240" w:lineRule="auto"/>
                    <w:jc w:val="left"/>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透明液体，有刺激性气味，不溶于水，无毒，成分为丙酮60%，丁烷液化气40%。危险特性：其蒸气与空气可形成爆炸性混合物，遇明火、高热极易燃烧爆炸。与氧化剂能发生强烈反应。其蒸气比空气重，能在较低处扩散到相当远的地方，遇火源会着火回燃。若遇高热，容器内压增大，有开裂和爆炸的危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636" w:type="dxa"/>
                  <w:noWrap w:val="0"/>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5</w:t>
                  </w:r>
                </w:p>
              </w:tc>
              <w:tc>
                <w:tcPr>
                  <w:tcW w:w="1035" w:type="dxa"/>
                  <w:noWrap w:val="0"/>
                  <w:vAlign w:val="center"/>
                </w:tcPr>
                <w:p>
                  <w:pPr>
                    <w:pStyle w:val="12"/>
                    <w:spacing w:line="240" w:lineRule="auto"/>
                    <w:jc w:val="center"/>
                    <w:rPr>
                      <w:rFonts w:hint="default" w:ascii="Times New Roman" w:hAnsi="Times New Roman" w:eastAsia="宋体" w:cs="Times New Roman"/>
                      <w:color w:val="auto"/>
                      <w:kern w:val="2"/>
                      <w:sz w:val="21"/>
                      <w:szCs w:val="21"/>
                      <w:highlight w:val="none"/>
                      <w:shd w:val="clear" w:color="FFFFFF" w:fill="D9D9D9"/>
                      <w:lang w:val="en-US" w:eastAsia="zh-CN"/>
                    </w:rPr>
                  </w:pPr>
                  <w:r>
                    <w:rPr>
                      <w:rFonts w:hint="default" w:ascii="Times New Roman" w:hAnsi="Times New Roman" w:eastAsia="宋体" w:cs="Times New Roman"/>
                      <w:color w:val="auto"/>
                      <w:kern w:val="2"/>
                      <w:sz w:val="21"/>
                      <w:szCs w:val="21"/>
                      <w:highlight w:val="none"/>
                      <w:shd w:val="clear" w:color="auto" w:fill="auto"/>
                      <w:lang w:val="en-US" w:eastAsia="zh-CN"/>
                    </w:rPr>
                    <w:t>防锈剂</w:t>
                  </w:r>
                </w:p>
              </w:tc>
              <w:tc>
                <w:tcPr>
                  <w:tcW w:w="6528" w:type="dxa"/>
                  <w:noWrap w:val="0"/>
                  <w:vAlign w:val="center"/>
                </w:tcPr>
                <w:p>
                  <w:pPr>
                    <w:pStyle w:val="12"/>
                    <w:spacing w:line="240" w:lineRule="auto"/>
                    <w:jc w:val="left"/>
                    <w:rPr>
                      <w:rFonts w:hint="default" w:ascii="Times New Roman" w:hAnsi="Times New Roman" w:eastAsia="宋体" w:cs="Times New Roman"/>
                      <w:color w:val="auto"/>
                      <w:kern w:val="2"/>
                      <w:sz w:val="21"/>
                      <w:szCs w:val="21"/>
                      <w:highlight w:val="none"/>
                      <w:shd w:val="clear" w:color="FFFFFF" w:fill="D9D9D9"/>
                      <w:lang w:val="en-US" w:eastAsia="zh-CN"/>
                    </w:rPr>
                  </w:pPr>
                  <w:r>
                    <w:rPr>
                      <w:rFonts w:hint="default" w:ascii="Times New Roman" w:hAnsi="Times New Roman" w:eastAsia="宋体" w:cs="Times New Roman"/>
                      <w:strike w:val="0"/>
                      <w:dstrike w:val="0"/>
                      <w:color w:val="auto"/>
                      <w:kern w:val="2"/>
                      <w:sz w:val="21"/>
                      <w:szCs w:val="21"/>
                      <w:highlight w:val="none"/>
                      <w:shd w:val="clear" w:color="auto" w:fill="auto"/>
                      <w:lang w:val="en-US" w:eastAsia="zh-CN"/>
                    </w:rPr>
                    <w:t>白色液体，微有乙醚气味，沸点142.4，熔点-95.37。主要成分为丁醚50%，液化石油气40%，</w:t>
                  </w:r>
                  <w:r>
                    <w:rPr>
                      <w:rFonts w:hint="default" w:ascii="Times New Roman" w:hAnsi="Times New Roman" w:eastAsia="宋体" w:cs="Times New Roman"/>
                      <w:i w:val="0"/>
                      <w:iCs w:val="0"/>
                      <w:caps w:val="0"/>
                      <w:strike w:val="0"/>
                      <w:dstrike w:val="0"/>
                      <w:color w:val="auto"/>
                      <w:spacing w:val="0"/>
                      <w:sz w:val="21"/>
                      <w:szCs w:val="21"/>
                      <w:highlight w:val="none"/>
                      <w:shd w:val="clear" w:color="auto" w:fill="FFFFFF"/>
                    </w:rPr>
                    <w:t>矽</w:t>
                  </w:r>
                  <w:r>
                    <w:rPr>
                      <w:rFonts w:hint="default" w:ascii="Times New Roman" w:hAnsi="Times New Roman" w:eastAsia="宋体" w:cs="Times New Roman"/>
                      <w:i w:val="0"/>
                      <w:iCs w:val="0"/>
                      <w:caps w:val="0"/>
                      <w:strike w:val="0"/>
                      <w:dstrike w:val="0"/>
                      <w:color w:val="auto"/>
                      <w:spacing w:val="0"/>
                      <w:sz w:val="21"/>
                      <w:szCs w:val="21"/>
                      <w:highlight w:val="none"/>
                      <w:shd w:val="clear" w:color="auto" w:fill="FFFFFF"/>
                      <w:lang w:val="en-US" w:eastAsia="zh-CN"/>
                    </w:rPr>
                    <w:t>油10%。危险特性：易燃，其蒸气与空气可形成爆炸性混合物。遇高热、明火极易燃烧爆炸。与氧化剂能发生强烈反应。接触空气或在光照条件下可生成具有潜在爆炸危险性的过氧化物。其蒸气比空气重，能在较低处扩散到相当远的地方，遇明火会引着回燃。毒性：不会蓄积。可经由皮肤、肺、肠胃吸收掉后，在体内会代谢掉并由尿液排出。光，预期在大气中不会进行光化作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636" w:type="dxa"/>
                  <w:noWrap w:val="0"/>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6</w:t>
                  </w:r>
                </w:p>
              </w:tc>
              <w:tc>
                <w:tcPr>
                  <w:tcW w:w="1035" w:type="dxa"/>
                  <w:noWrap w:val="0"/>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脱模剂</w:t>
                  </w:r>
                </w:p>
              </w:tc>
              <w:tc>
                <w:tcPr>
                  <w:tcW w:w="6528" w:type="dxa"/>
                  <w:noWrap w:val="0"/>
                  <w:vAlign w:val="center"/>
                </w:tcPr>
                <w:p>
                  <w:pPr>
                    <w:pStyle w:val="12"/>
                    <w:spacing w:line="240" w:lineRule="auto"/>
                    <w:jc w:val="left"/>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水基型脱模剂基本组分：石蜡5～20份，硬脂酸5～8份，植物油5～10份，助乳化剂5～8份，氢氧化钾计算量，其他辅料适量。无色无味挥发性液体，罐内压力2.5Mpa-3.5Mpa，闪点-23℃，沸点60-90℃，无粘性，不溶于水。急性中毒主要表现为呼吸道不适、头晕。慢性影响：长期反复接触可致皮肤过敏。</w:t>
                  </w:r>
                </w:p>
              </w:tc>
            </w:tr>
          </w:tbl>
          <w:p>
            <w:pPr>
              <w:spacing w:line="240" w:lineRule="auto"/>
              <w:rPr>
                <w:b/>
                <w:bCs/>
                <w:color w:val="auto"/>
                <w:sz w:val="24"/>
                <w:highlight w:val="none"/>
              </w:rPr>
            </w:pPr>
          </w:p>
          <w:p>
            <w:pPr>
              <w:spacing w:line="360" w:lineRule="auto"/>
              <w:ind w:firstLine="482" w:firstLineChars="200"/>
              <w:rPr>
                <w:b/>
                <w:bCs/>
                <w:color w:val="auto"/>
                <w:sz w:val="24"/>
                <w:highlight w:val="none"/>
              </w:rPr>
            </w:pPr>
            <w:r>
              <w:rPr>
                <w:b/>
                <w:bCs/>
                <w:color w:val="auto"/>
                <w:sz w:val="24"/>
                <w:highlight w:val="none"/>
              </w:rPr>
              <w:t>7.公用工程及劳动定员</w:t>
            </w:r>
          </w:p>
          <w:p>
            <w:pPr>
              <w:pStyle w:val="21"/>
              <w:spacing w:line="360" w:lineRule="auto"/>
              <w:ind w:left="0" w:firstLine="482" w:firstLineChars="200"/>
              <w:rPr>
                <w:b/>
                <w:bCs/>
                <w:color w:val="auto"/>
                <w:sz w:val="24"/>
                <w:highlight w:val="none"/>
              </w:rPr>
            </w:pPr>
            <w:r>
              <w:rPr>
                <w:b/>
                <w:bCs/>
                <w:color w:val="auto"/>
                <w:sz w:val="24"/>
                <w:highlight w:val="none"/>
              </w:rPr>
              <w:t>7.1给排水</w:t>
            </w:r>
          </w:p>
          <w:p>
            <w:pPr>
              <w:spacing w:line="360" w:lineRule="auto"/>
              <w:ind w:firstLine="482" w:firstLineChars="200"/>
              <w:rPr>
                <w:b/>
                <w:bCs/>
                <w:color w:val="auto"/>
                <w:sz w:val="24"/>
                <w:highlight w:val="none"/>
              </w:rPr>
            </w:pPr>
            <w:r>
              <w:rPr>
                <w:b/>
                <w:bCs/>
                <w:color w:val="auto"/>
                <w:sz w:val="24"/>
                <w:highlight w:val="none"/>
              </w:rPr>
              <w:t>7.1.1给水</w:t>
            </w:r>
          </w:p>
          <w:p>
            <w:pPr>
              <w:spacing w:line="360" w:lineRule="auto"/>
              <w:ind w:firstLine="480" w:firstLineChars="200"/>
              <w:rPr>
                <w:color w:val="auto"/>
                <w:highlight w:val="none"/>
              </w:rPr>
            </w:pPr>
            <w:r>
              <w:rPr>
                <w:color w:val="auto"/>
                <w:sz w:val="24"/>
                <w:highlight w:val="none"/>
              </w:rPr>
              <w:t>本项目运营期用水包括职工生活用水、</w:t>
            </w:r>
            <w:r>
              <w:rPr>
                <w:rFonts w:hint="eastAsia"/>
                <w:color w:val="auto"/>
                <w:sz w:val="24"/>
                <w:highlight w:val="none"/>
                <w:lang w:eastAsia="zh-CN"/>
              </w:rPr>
              <w:t>循环冷却水</w:t>
            </w:r>
            <w:r>
              <w:rPr>
                <w:color w:val="auto"/>
                <w:sz w:val="24"/>
                <w:highlight w:val="none"/>
              </w:rPr>
              <w:t>，用水来源为市政给水管网。</w:t>
            </w:r>
          </w:p>
          <w:p>
            <w:pPr>
              <w:spacing w:line="360" w:lineRule="auto"/>
              <w:ind w:firstLine="480" w:firstLineChars="200"/>
              <w:rPr>
                <w:color w:val="auto"/>
                <w:sz w:val="24"/>
                <w:highlight w:val="none"/>
              </w:rPr>
            </w:pPr>
            <w:r>
              <w:rPr>
                <w:color w:val="auto"/>
                <w:sz w:val="24"/>
                <w:highlight w:val="none"/>
              </w:rPr>
              <w:t>（1）生活用水</w:t>
            </w:r>
          </w:p>
          <w:p>
            <w:pPr>
              <w:spacing w:line="360" w:lineRule="auto"/>
              <w:ind w:firstLine="480" w:firstLineChars="200"/>
              <w:rPr>
                <w:rFonts w:hint="default" w:ascii="Times New Roman" w:hAnsi="Times New Roman" w:cs="Times New Roman"/>
                <w:i w:val="0"/>
                <w:iCs w:val="0"/>
                <w:color w:val="auto"/>
                <w:sz w:val="24"/>
                <w:highlight w:val="none"/>
                <w:u w:val="none" w:color="auto"/>
                <w:shd w:val="clear" w:color="auto" w:fill="auto"/>
                <w:lang w:val="en-US" w:eastAsia="zh-CN"/>
              </w:rPr>
            </w:pPr>
            <w:r>
              <w:rPr>
                <w:rFonts w:hint="default" w:ascii="Times New Roman" w:hAnsi="Times New Roman" w:cs="Times New Roman"/>
                <w:i w:val="0"/>
                <w:iCs w:val="0"/>
                <w:color w:val="auto"/>
                <w:sz w:val="24"/>
                <w:highlight w:val="none"/>
                <w:u w:val="none" w:color="auto"/>
                <w:shd w:val="clear" w:color="auto" w:fill="auto"/>
                <w:lang w:val="en-US" w:eastAsia="zh-CN"/>
              </w:rPr>
              <w:t>本项目</w:t>
            </w:r>
            <w:r>
              <w:rPr>
                <w:rFonts w:hint="eastAsia" w:cs="Times New Roman"/>
                <w:i w:val="0"/>
                <w:iCs w:val="0"/>
                <w:color w:val="auto"/>
                <w:sz w:val="24"/>
                <w:highlight w:val="none"/>
                <w:u w:val="none" w:color="auto"/>
                <w:shd w:val="clear" w:color="auto" w:fill="auto"/>
                <w:lang w:val="en-US" w:eastAsia="zh-CN"/>
              </w:rPr>
              <w:t>新增</w:t>
            </w:r>
            <w:r>
              <w:rPr>
                <w:rFonts w:hint="default" w:ascii="Times New Roman" w:hAnsi="Times New Roman" w:cs="Times New Roman"/>
                <w:i w:val="0"/>
                <w:iCs w:val="0"/>
                <w:color w:val="auto"/>
                <w:sz w:val="24"/>
                <w:highlight w:val="none"/>
                <w:u w:val="none" w:color="auto"/>
                <w:shd w:val="clear" w:color="auto" w:fill="auto"/>
                <w:lang w:val="en-US" w:eastAsia="zh-CN"/>
              </w:rPr>
              <w:t>职工25人，参照《吉林省地方标准用水定额》（DB22/T389-2019），职工生活用水量按40L/人·d计，本项目生活用水量为1m</w:t>
            </w:r>
            <w:r>
              <w:rPr>
                <w:rFonts w:hint="default" w:ascii="Times New Roman" w:hAnsi="Times New Roman" w:cs="Times New Roman"/>
                <w:i w:val="0"/>
                <w:iCs w:val="0"/>
                <w:color w:val="auto"/>
                <w:sz w:val="24"/>
                <w:highlight w:val="none"/>
                <w:u w:val="none" w:color="auto"/>
                <w:shd w:val="clear" w:color="auto" w:fill="auto"/>
                <w:vertAlign w:val="superscript"/>
                <w:lang w:val="en-US" w:eastAsia="zh-CN"/>
              </w:rPr>
              <w:t>3</w:t>
            </w:r>
            <w:r>
              <w:rPr>
                <w:rFonts w:hint="default" w:ascii="Times New Roman" w:hAnsi="Times New Roman" w:cs="Times New Roman"/>
                <w:i w:val="0"/>
                <w:iCs w:val="0"/>
                <w:color w:val="auto"/>
                <w:sz w:val="24"/>
                <w:highlight w:val="none"/>
                <w:u w:val="none" w:color="auto"/>
                <w:shd w:val="clear" w:color="auto" w:fill="auto"/>
                <w:lang w:val="en-US" w:eastAsia="zh-CN"/>
              </w:rPr>
              <w:t>/d（250m</w:t>
            </w:r>
            <w:r>
              <w:rPr>
                <w:rFonts w:hint="default" w:ascii="Times New Roman" w:hAnsi="Times New Roman" w:cs="Times New Roman"/>
                <w:i w:val="0"/>
                <w:iCs w:val="0"/>
                <w:color w:val="auto"/>
                <w:sz w:val="24"/>
                <w:highlight w:val="none"/>
                <w:u w:val="none" w:color="auto"/>
                <w:shd w:val="clear" w:color="auto" w:fill="auto"/>
                <w:vertAlign w:val="superscript"/>
                <w:lang w:val="en-US" w:eastAsia="zh-CN"/>
              </w:rPr>
              <w:t>3</w:t>
            </w:r>
            <w:r>
              <w:rPr>
                <w:rFonts w:hint="default" w:ascii="Times New Roman" w:hAnsi="Times New Roman" w:cs="Times New Roman"/>
                <w:i w:val="0"/>
                <w:iCs w:val="0"/>
                <w:color w:val="auto"/>
                <w:sz w:val="24"/>
                <w:highlight w:val="none"/>
                <w:u w:val="none" w:color="auto"/>
                <w:shd w:val="clear" w:color="auto" w:fill="auto"/>
                <w:lang w:val="en-US" w:eastAsia="zh-CN"/>
              </w:rPr>
              <w:t>/a）</w:t>
            </w:r>
            <w:r>
              <w:rPr>
                <w:rFonts w:hint="eastAsia" w:cs="Times New Roman"/>
                <w:i w:val="0"/>
                <w:iCs w:val="0"/>
                <w:color w:val="auto"/>
                <w:sz w:val="24"/>
                <w:highlight w:val="none"/>
                <w:u w:val="none" w:color="auto"/>
                <w:shd w:val="clear" w:color="auto" w:fill="auto"/>
                <w:lang w:val="en-US" w:eastAsia="zh-CN"/>
              </w:rPr>
              <w:t>。</w:t>
            </w:r>
          </w:p>
          <w:p>
            <w:pPr>
              <w:spacing w:line="360" w:lineRule="auto"/>
              <w:ind w:firstLine="480" w:firstLineChars="200"/>
              <w:rPr>
                <w:color w:val="auto"/>
                <w:sz w:val="24"/>
                <w:szCs w:val="32"/>
                <w:highlight w:val="none"/>
              </w:rPr>
            </w:pPr>
            <w:r>
              <w:rPr>
                <w:color w:val="auto"/>
                <w:sz w:val="24"/>
                <w:szCs w:val="32"/>
                <w:highlight w:val="none"/>
              </w:rPr>
              <w:t>（2）</w:t>
            </w:r>
            <w:r>
              <w:rPr>
                <w:rFonts w:hint="eastAsia"/>
                <w:color w:val="auto"/>
                <w:sz w:val="24"/>
                <w:highlight w:val="none"/>
                <w:lang w:eastAsia="zh-CN"/>
              </w:rPr>
              <w:t>循环冷却水</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firstLine="480" w:firstLineChars="200"/>
              <w:jc w:val="both"/>
              <w:textAlignment w:val="bottom"/>
              <w:rPr>
                <w:rFonts w:hint="eastAsia" w:eastAsia="宋体"/>
                <w:color w:val="auto"/>
                <w:sz w:val="24"/>
                <w:highlight w:val="none"/>
                <w:lang w:eastAsia="zh-CN"/>
              </w:rPr>
            </w:pPr>
            <w:r>
              <w:rPr>
                <w:color w:val="auto"/>
                <w:sz w:val="24"/>
                <w:szCs w:val="32"/>
                <w:highlight w:val="none"/>
              </w:rPr>
              <w:t>本项目采用循环水进行冷却，冷却水</w:t>
            </w:r>
            <w:r>
              <w:rPr>
                <w:rFonts w:hint="eastAsia"/>
                <w:color w:val="auto"/>
                <w:sz w:val="24"/>
                <w:szCs w:val="32"/>
                <w:highlight w:val="none"/>
                <w:lang w:eastAsia="zh-CN"/>
              </w:rPr>
              <w:t>水塔</w:t>
            </w:r>
            <w:r>
              <w:rPr>
                <w:color w:val="auto"/>
                <w:sz w:val="24"/>
                <w:szCs w:val="32"/>
                <w:highlight w:val="none"/>
              </w:rPr>
              <w:t>容积为</w:t>
            </w:r>
            <w:r>
              <w:rPr>
                <w:rFonts w:hint="eastAsia"/>
                <w:color w:val="auto"/>
                <w:sz w:val="24"/>
                <w:szCs w:val="32"/>
                <w:highlight w:val="none"/>
                <w:lang w:val="en-US" w:eastAsia="zh-CN"/>
              </w:rPr>
              <w:t>50</w:t>
            </w:r>
            <w:r>
              <w:rPr>
                <w:color w:val="auto"/>
                <w:sz w:val="24"/>
                <w:szCs w:val="32"/>
                <w:highlight w:val="none"/>
              </w:rPr>
              <w:t>m</w:t>
            </w:r>
            <w:r>
              <w:rPr>
                <w:rFonts w:hint="eastAsia"/>
                <w:color w:val="auto"/>
                <w:sz w:val="24"/>
                <w:szCs w:val="32"/>
                <w:highlight w:val="none"/>
                <w:vertAlign w:val="superscript"/>
                <w:lang w:val="en-US" w:eastAsia="zh-CN"/>
              </w:rPr>
              <w:t>3</w:t>
            </w:r>
            <w:r>
              <w:rPr>
                <w:color w:val="auto"/>
                <w:sz w:val="24"/>
                <w:szCs w:val="32"/>
                <w:highlight w:val="none"/>
              </w:rPr>
              <w:t>，循环量为</w:t>
            </w:r>
            <w:r>
              <w:rPr>
                <w:rFonts w:hint="eastAsia"/>
                <w:color w:val="auto"/>
                <w:sz w:val="24"/>
                <w:szCs w:val="32"/>
                <w:highlight w:val="none"/>
                <w:lang w:val="en-US" w:eastAsia="zh-CN"/>
              </w:rPr>
              <w:t>50</w:t>
            </w:r>
            <w:r>
              <w:rPr>
                <w:color w:val="auto"/>
                <w:sz w:val="24"/>
                <w:szCs w:val="32"/>
                <w:highlight w:val="none"/>
              </w:rPr>
              <w:t>m</w:t>
            </w:r>
            <w:r>
              <w:rPr>
                <w:rFonts w:hint="eastAsia"/>
                <w:color w:val="auto"/>
                <w:sz w:val="24"/>
                <w:szCs w:val="32"/>
                <w:highlight w:val="none"/>
                <w:vertAlign w:val="superscript"/>
                <w:lang w:val="en-US" w:eastAsia="zh-CN"/>
              </w:rPr>
              <w:t>3</w:t>
            </w:r>
            <w:r>
              <w:rPr>
                <w:color w:val="auto"/>
                <w:sz w:val="24"/>
                <w:szCs w:val="32"/>
                <w:highlight w:val="none"/>
              </w:rPr>
              <w:t>/</w:t>
            </w:r>
            <w:r>
              <w:rPr>
                <w:rFonts w:hint="eastAsia"/>
                <w:color w:val="auto"/>
                <w:sz w:val="24"/>
                <w:szCs w:val="32"/>
                <w:highlight w:val="none"/>
                <w:lang w:val="en-US" w:eastAsia="zh-CN"/>
              </w:rPr>
              <w:t>h</w:t>
            </w:r>
            <w:r>
              <w:rPr>
                <w:color w:val="auto"/>
                <w:sz w:val="24"/>
                <w:szCs w:val="32"/>
                <w:highlight w:val="none"/>
              </w:rPr>
              <w:t>，由于定期排放（每年/次）且循环过程中产生损耗，故添加量为</w:t>
            </w:r>
            <w:r>
              <w:rPr>
                <w:rFonts w:hint="eastAsia" w:cs="Times New Roman"/>
                <w:i w:val="0"/>
                <w:iCs w:val="0"/>
                <w:color w:val="auto"/>
                <w:sz w:val="24"/>
                <w:highlight w:val="none"/>
                <w:u w:val="none" w:color="auto"/>
                <w:shd w:val="clear" w:color="auto" w:fill="auto"/>
                <w:lang w:val="en-US" w:eastAsia="zh-CN"/>
              </w:rPr>
              <w:t>3.56</w:t>
            </w:r>
            <w:r>
              <w:rPr>
                <w:rFonts w:hint="default" w:ascii="Times New Roman" w:hAnsi="Times New Roman" w:cs="Times New Roman"/>
                <w:i w:val="0"/>
                <w:iCs w:val="0"/>
                <w:color w:val="auto"/>
                <w:sz w:val="24"/>
                <w:highlight w:val="none"/>
                <w:u w:val="none" w:color="auto"/>
                <w:shd w:val="clear" w:color="auto" w:fill="auto"/>
                <w:lang w:val="en-US" w:eastAsia="zh-CN"/>
              </w:rPr>
              <w:t>m</w:t>
            </w:r>
            <w:r>
              <w:rPr>
                <w:rFonts w:hint="default" w:ascii="Times New Roman" w:hAnsi="Times New Roman" w:cs="Times New Roman"/>
                <w:i w:val="0"/>
                <w:iCs w:val="0"/>
                <w:color w:val="auto"/>
                <w:sz w:val="24"/>
                <w:highlight w:val="none"/>
                <w:u w:val="none" w:color="auto"/>
                <w:shd w:val="clear" w:color="auto" w:fill="auto"/>
                <w:vertAlign w:val="superscript"/>
                <w:lang w:val="en-US" w:eastAsia="zh-CN"/>
              </w:rPr>
              <w:t>3</w:t>
            </w:r>
            <w:r>
              <w:rPr>
                <w:rFonts w:hint="default" w:ascii="Times New Roman" w:hAnsi="Times New Roman" w:cs="Times New Roman"/>
                <w:i w:val="0"/>
                <w:iCs w:val="0"/>
                <w:color w:val="auto"/>
                <w:sz w:val="24"/>
                <w:highlight w:val="none"/>
                <w:u w:val="none" w:color="auto"/>
                <w:shd w:val="clear" w:color="auto" w:fill="auto"/>
                <w:lang w:val="en-US" w:eastAsia="zh-CN"/>
              </w:rPr>
              <w:t>/d（</w:t>
            </w:r>
            <w:r>
              <w:rPr>
                <w:rFonts w:hint="eastAsia" w:cs="Times New Roman"/>
                <w:i w:val="0"/>
                <w:iCs w:val="0"/>
                <w:color w:val="auto"/>
                <w:sz w:val="24"/>
                <w:highlight w:val="none"/>
                <w:u w:val="none" w:color="auto"/>
                <w:shd w:val="clear" w:color="auto" w:fill="auto"/>
                <w:lang w:val="en-US" w:eastAsia="zh-CN"/>
              </w:rPr>
              <w:t>890</w:t>
            </w:r>
            <w:r>
              <w:rPr>
                <w:rFonts w:hint="default" w:ascii="Times New Roman" w:hAnsi="Times New Roman" w:cs="Times New Roman"/>
                <w:i w:val="0"/>
                <w:iCs w:val="0"/>
                <w:color w:val="auto"/>
                <w:sz w:val="24"/>
                <w:highlight w:val="none"/>
                <w:u w:val="none" w:color="auto"/>
                <w:shd w:val="clear" w:color="auto" w:fill="auto"/>
                <w:lang w:val="en-US" w:eastAsia="zh-CN"/>
              </w:rPr>
              <w:t>m</w:t>
            </w:r>
            <w:r>
              <w:rPr>
                <w:rFonts w:hint="default" w:ascii="Times New Roman" w:hAnsi="Times New Roman" w:cs="Times New Roman"/>
                <w:i w:val="0"/>
                <w:iCs w:val="0"/>
                <w:color w:val="auto"/>
                <w:sz w:val="24"/>
                <w:highlight w:val="none"/>
                <w:u w:val="none" w:color="auto"/>
                <w:shd w:val="clear" w:color="auto" w:fill="auto"/>
                <w:vertAlign w:val="superscript"/>
                <w:lang w:val="en-US" w:eastAsia="zh-CN"/>
              </w:rPr>
              <w:t>3</w:t>
            </w:r>
            <w:r>
              <w:rPr>
                <w:rFonts w:hint="default" w:ascii="Times New Roman" w:hAnsi="Times New Roman" w:cs="Times New Roman"/>
                <w:i w:val="0"/>
                <w:iCs w:val="0"/>
                <w:color w:val="auto"/>
                <w:sz w:val="24"/>
                <w:highlight w:val="none"/>
                <w:u w:val="none" w:color="auto"/>
                <w:shd w:val="clear" w:color="auto" w:fill="auto"/>
                <w:lang w:val="en-US" w:eastAsia="zh-CN"/>
              </w:rPr>
              <w:t>/a）</w:t>
            </w:r>
            <w:r>
              <w:rPr>
                <w:rFonts w:hint="eastAsia"/>
                <w:color w:val="auto"/>
                <w:sz w:val="24"/>
                <w:szCs w:val="32"/>
                <w:highlight w:val="none"/>
                <w:lang w:eastAsia="zh-CN"/>
              </w:rPr>
              <w:t>。</w:t>
            </w:r>
          </w:p>
          <w:p>
            <w:pPr>
              <w:spacing w:line="360" w:lineRule="auto"/>
              <w:ind w:firstLine="482" w:firstLineChars="200"/>
              <w:rPr>
                <w:b/>
                <w:bCs/>
                <w:color w:val="auto"/>
                <w:sz w:val="24"/>
                <w:highlight w:val="none"/>
              </w:rPr>
            </w:pPr>
            <w:r>
              <w:rPr>
                <w:b/>
                <w:bCs/>
                <w:color w:val="auto"/>
                <w:sz w:val="24"/>
                <w:highlight w:val="none"/>
              </w:rPr>
              <w:t>7.1.2排水</w:t>
            </w:r>
          </w:p>
          <w:p>
            <w:pPr>
              <w:spacing w:line="360" w:lineRule="auto"/>
              <w:ind w:firstLine="480" w:firstLineChars="200"/>
              <w:rPr>
                <w:color w:val="auto"/>
                <w:sz w:val="24"/>
                <w:szCs w:val="32"/>
                <w:highlight w:val="none"/>
              </w:rPr>
            </w:pPr>
            <w:r>
              <w:rPr>
                <w:color w:val="auto"/>
                <w:sz w:val="24"/>
                <w:szCs w:val="32"/>
                <w:highlight w:val="none"/>
              </w:rPr>
              <w:t>本项目运营期废水主要为生活污水、循环冷却水排水</w:t>
            </w:r>
            <w:r>
              <w:rPr>
                <w:rFonts w:hint="eastAsia"/>
                <w:color w:val="auto"/>
                <w:sz w:val="24"/>
                <w:szCs w:val="32"/>
                <w:highlight w:val="none"/>
                <w:lang w:eastAsia="zh-CN"/>
              </w:rPr>
              <w:t>，废水</w:t>
            </w:r>
            <w:r>
              <w:rPr>
                <w:color w:val="auto"/>
                <w:sz w:val="24"/>
                <w:szCs w:val="32"/>
                <w:highlight w:val="none"/>
              </w:rPr>
              <w:t>经下水管网排入市政污水管网后排入长春市北郊污水处理厂，处理达标后排入伊通河。</w:t>
            </w:r>
          </w:p>
          <w:p>
            <w:pPr>
              <w:spacing w:line="360" w:lineRule="auto"/>
              <w:ind w:firstLine="480" w:firstLineChars="200"/>
              <w:rPr>
                <w:color w:val="auto"/>
                <w:sz w:val="24"/>
                <w:szCs w:val="32"/>
                <w:highlight w:val="none"/>
              </w:rPr>
            </w:pPr>
            <w:r>
              <w:rPr>
                <w:color w:val="auto"/>
                <w:sz w:val="24"/>
                <w:szCs w:val="32"/>
                <w:highlight w:val="none"/>
              </w:rPr>
              <w:t>（1）生活污水</w:t>
            </w:r>
          </w:p>
          <w:p>
            <w:pPr>
              <w:spacing w:line="360" w:lineRule="auto"/>
              <w:ind w:firstLine="480" w:firstLineChars="200"/>
              <w:rPr>
                <w:color w:val="auto"/>
                <w:sz w:val="24"/>
                <w:szCs w:val="32"/>
                <w:highlight w:val="none"/>
              </w:rPr>
            </w:pPr>
            <w:r>
              <w:rPr>
                <w:color w:val="auto"/>
                <w:sz w:val="24"/>
                <w:szCs w:val="32"/>
                <w:highlight w:val="none"/>
              </w:rPr>
              <w:t>本项目生活污水产生系数按用水量80%计，则项目生活污水产生量为</w:t>
            </w:r>
            <w:r>
              <w:rPr>
                <w:rFonts w:hint="default"/>
                <w:color w:val="auto"/>
                <w:sz w:val="24"/>
                <w:szCs w:val="32"/>
                <w:highlight w:val="none"/>
                <w:lang w:val="en-US" w:eastAsia="zh-CN"/>
              </w:rPr>
              <w:t>0.8m</w:t>
            </w:r>
            <w:r>
              <w:rPr>
                <w:rFonts w:hint="default"/>
                <w:color w:val="auto"/>
                <w:sz w:val="24"/>
                <w:szCs w:val="32"/>
                <w:highlight w:val="none"/>
                <w:vertAlign w:val="superscript"/>
                <w:lang w:val="en-US" w:eastAsia="zh-CN"/>
              </w:rPr>
              <w:t>3</w:t>
            </w:r>
            <w:r>
              <w:rPr>
                <w:rFonts w:hint="default"/>
                <w:color w:val="auto"/>
                <w:sz w:val="24"/>
                <w:szCs w:val="32"/>
                <w:highlight w:val="none"/>
                <w:lang w:val="en-US" w:eastAsia="zh-CN"/>
              </w:rPr>
              <w:t>/d（200m</w:t>
            </w:r>
            <w:r>
              <w:rPr>
                <w:rFonts w:hint="default"/>
                <w:color w:val="auto"/>
                <w:sz w:val="24"/>
                <w:szCs w:val="32"/>
                <w:highlight w:val="none"/>
                <w:vertAlign w:val="superscript"/>
                <w:lang w:val="en-US" w:eastAsia="zh-CN"/>
              </w:rPr>
              <w:t>3</w:t>
            </w:r>
            <w:r>
              <w:rPr>
                <w:rFonts w:hint="default"/>
                <w:color w:val="auto"/>
                <w:sz w:val="24"/>
                <w:szCs w:val="32"/>
                <w:highlight w:val="none"/>
                <w:lang w:val="en-US" w:eastAsia="zh-CN"/>
              </w:rPr>
              <w:t>/a）</w:t>
            </w:r>
            <w:r>
              <w:rPr>
                <w:color w:val="auto"/>
                <w:sz w:val="24"/>
                <w:szCs w:val="32"/>
                <w:highlight w:val="none"/>
              </w:rPr>
              <w:t>。</w:t>
            </w:r>
          </w:p>
          <w:p>
            <w:pPr>
              <w:spacing w:line="360" w:lineRule="auto"/>
              <w:ind w:firstLine="480" w:firstLineChars="200"/>
              <w:rPr>
                <w:color w:val="auto"/>
                <w:sz w:val="24"/>
                <w:szCs w:val="32"/>
                <w:highlight w:val="none"/>
              </w:rPr>
            </w:pPr>
            <w:r>
              <w:rPr>
                <w:color w:val="auto"/>
                <w:sz w:val="24"/>
                <w:szCs w:val="32"/>
                <w:highlight w:val="none"/>
              </w:rPr>
              <w:t>（2）循环冷却水排水</w:t>
            </w:r>
          </w:p>
          <w:p>
            <w:pPr>
              <w:spacing w:line="360" w:lineRule="auto"/>
              <w:ind w:firstLine="480" w:firstLineChars="200"/>
              <w:rPr>
                <w:color w:val="auto"/>
                <w:sz w:val="24"/>
                <w:szCs w:val="32"/>
                <w:highlight w:val="none"/>
              </w:rPr>
            </w:pPr>
            <w:r>
              <w:rPr>
                <w:color w:val="auto"/>
                <w:sz w:val="24"/>
                <w:szCs w:val="32"/>
                <w:highlight w:val="none"/>
              </w:rPr>
              <w:t>本项目冷却水循环使用，定期排放（年/次），排放量最大约为</w:t>
            </w:r>
            <w:r>
              <w:rPr>
                <w:rFonts w:hint="eastAsia"/>
                <w:color w:val="auto"/>
                <w:sz w:val="24"/>
                <w:szCs w:val="32"/>
                <w:highlight w:val="none"/>
                <w:lang w:val="en-US" w:eastAsia="zh-CN"/>
              </w:rPr>
              <w:t>0.2</w:t>
            </w:r>
            <w:r>
              <w:rPr>
                <w:color w:val="auto"/>
                <w:sz w:val="24"/>
                <w:szCs w:val="32"/>
                <w:highlight w:val="none"/>
              </w:rPr>
              <w:t>m³/d（</w:t>
            </w:r>
            <w:r>
              <w:rPr>
                <w:rFonts w:hint="eastAsia"/>
                <w:color w:val="auto"/>
                <w:sz w:val="24"/>
                <w:szCs w:val="32"/>
                <w:highlight w:val="none"/>
                <w:lang w:val="en-US" w:eastAsia="zh-CN"/>
              </w:rPr>
              <w:t>50</w:t>
            </w:r>
            <w:r>
              <w:rPr>
                <w:color w:val="auto"/>
                <w:sz w:val="24"/>
                <w:szCs w:val="32"/>
                <w:highlight w:val="none"/>
              </w:rPr>
              <w:t>m³/a）。</w:t>
            </w:r>
          </w:p>
          <w:p>
            <w:pPr>
              <w:spacing w:line="360" w:lineRule="auto"/>
              <w:ind w:firstLine="480" w:firstLineChars="200"/>
              <w:rPr>
                <w:color w:val="auto"/>
                <w:sz w:val="24"/>
                <w:szCs w:val="32"/>
                <w:highlight w:val="none"/>
              </w:rPr>
            </w:pPr>
            <w:r>
              <w:rPr>
                <w:color w:val="auto"/>
                <w:sz w:val="24"/>
                <w:szCs w:val="32"/>
                <w:highlight w:val="none"/>
              </w:rPr>
              <w:t>本项目厂区水平衡情况详见下图。</w:t>
            </w:r>
          </w:p>
          <w:p>
            <w:pPr>
              <w:spacing w:line="360" w:lineRule="auto"/>
              <w:rPr>
                <w:b/>
                <w:bCs/>
                <w:color w:val="auto"/>
                <w:sz w:val="24"/>
                <w:highlight w:val="none"/>
              </w:rPr>
            </w:pPr>
            <w:r>
              <w:rPr>
                <w:color w:val="auto"/>
                <w:sz w:val="24"/>
                <w:highlight w:val="none"/>
              </w:rPr>
              <mc:AlternateContent>
                <mc:Choice Requires="wpc">
                  <w:drawing>
                    <wp:inline distT="0" distB="0" distL="114300" distR="114300">
                      <wp:extent cx="4853940" cy="2320290"/>
                      <wp:effectExtent l="0" t="0" r="0" b="0"/>
                      <wp:docPr id="21" name="画布 1420"/>
                      <wp:cNvGraphicFramePr/>
                      <a:graphic xmlns:a="http://schemas.openxmlformats.org/drawingml/2006/main">
                        <a:graphicData uri="http://schemas.microsoft.com/office/word/2010/wordprocessingCanvas">
                          <wpc:wpc>
                            <wpc:bg>
                              <a:noFill/>
                            </wpc:bg>
                            <wpc:whole>
                              <a:ln w="9525" cap="flat" cmpd="sng">
                                <a:noFill/>
                                <a:prstDash val="solid"/>
                                <a:miter/>
                                <a:headEnd type="none" w="med" len="med"/>
                                <a:tailEnd type="none" w="med" len="med"/>
                              </a:ln>
                            </wpc:whole>
                            <wps:wsp>
                              <wps:cNvPr id="65" name="矩形 1421"/>
                              <wps:cNvSpPr/>
                              <wps:spPr>
                                <a:xfrm>
                                  <a:off x="351155" y="751205"/>
                                  <a:ext cx="421005" cy="219710"/>
                                </a:xfrm>
                                <a:prstGeom prst="rect">
                                  <a:avLst/>
                                </a:prstGeom>
                                <a:noFill/>
                                <a:ln>
                                  <a:noFill/>
                                </a:ln>
                              </wps:spPr>
                              <wps:txbx>
                                <w:txbxContent>
                                  <w:p>
                                    <w:pPr>
                                      <w:rPr>
                                        <w:rFonts w:hint="default" w:eastAsia="宋体"/>
                                        <w:sz w:val="20"/>
                                        <w:szCs w:val="22"/>
                                        <w:lang w:val="en-US" w:eastAsia="zh-CN"/>
                                      </w:rPr>
                                    </w:pPr>
                                    <w:r>
                                      <w:rPr>
                                        <w:rFonts w:hint="eastAsia"/>
                                        <w:sz w:val="20"/>
                                        <w:szCs w:val="22"/>
                                        <w:lang w:val="en-US" w:eastAsia="zh-CN"/>
                                      </w:rPr>
                                      <w:t>4.56</w:t>
                                    </w:r>
                                  </w:p>
                                </w:txbxContent>
                              </wps:txbx>
                              <wps:bodyPr vert="horz" wrap="square" anchor="t" anchorCtr="0" upright="1"/>
                            </wps:wsp>
                            <wps:wsp>
                              <wps:cNvPr id="66" name="直线 1422"/>
                              <wps:cNvCnPr/>
                              <wps:spPr>
                                <a:xfrm>
                                  <a:off x="398780" y="1021715"/>
                                  <a:ext cx="627380" cy="3810"/>
                                </a:xfrm>
                                <a:prstGeom prst="line">
                                  <a:avLst/>
                                </a:prstGeom>
                                <a:ln w="9525" cap="flat" cmpd="sng">
                                  <a:solidFill>
                                    <a:srgbClr val="000000"/>
                                  </a:solidFill>
                                  <a:prstDash val="solid"/>
                                  <a:headEnd type="none" w="med" len="med"/>
                                  <a:tailEnd type="stealth" w="lg" len="lg"/>
                                </a:ln>
                              </wps:spPr>
                              <wps:bodyPr/>
                            </wps:wsp>
                            <wps:wsp>
                              <wps:cNvPr id="71" name="直线 1423"/>
                              <wps:cNvCnPr/>
                              <wps:spPr>
                                <a:xfrm>
                                  <a:off x="1036320" y="613410"/>
                                  <a:ext cx="4445" cy="767080"/>
                                </a:xfrm>
                                <a:prstGeom prst="line">
                                  <a:avLst/>
                                </a:prstGeom>
                                <a:ln w="9525" cap="flat" cmpd="sng">
                                  <a:solidFill>
                                    <a:srgbClr val="000000"/>
                                  </a:solidFill>
                                  <a:prstDash val="solid"/>
                                  <a:headEnd type="none" w="med" len="med"/>
                                  <a:tailEnd type="none" w="med" len="med"/>
                                </a:ln>
                              </wps:spPr>
                              <wps:bodyPr/>
                            </wps:wsp>
                            <wps:wsp>
                              <wps:cNvPr id="72" name="直线 1424"/>
                              <wps:cNvCnPr/>
                              <wps:spPr>
                                <a:xfrm flipV="1">
                                  <a:off x="1044575" y="606425"/>
                                  <a:ext cx="714375" cy="8890"/>
                                </a:xfrm>
                                <a:prstGeom prst="line">
                                  <a:avLst/>
                                </a:prstGeom>
                                <a:ln w="9525" cap="flat" cmpd="sng">
                                  <a:solidFill>
                                    <a:srgbClr val="000000"/>
                                  </a:solidFill>
                                  <a:prstDash val="solid"/>
                                  <a:headEnd type="none" w="med" len="med"/>
                                  <a:tailEnd type="stealth" w="lg" len="lg"/>
                                </a:ln>
                              </wps:spPr>
                              <wps:bodyPr/>
                            </wps:wsp>
                            <wps:wsp>
                              <wps:cNvPr id="73" name="矩形 1425"/>
                              <wps:cNvSpPr/>
                              <wps:spPr>
                                <a:xfrm>
                                  <a:off x="1205865" y="353695"/>
                                  <a:ext cx="419100" cy="215900"/>
                                </a:xfrm>
                                <a:prstGeom prst="rect">
                                  <a:avLst/>
                                </a:prstGeom>
                                <a:noFill/>
                                <a:ln>
                                  <a:noFill/>
                                </a:ln>
                              </wps:spPr>
                              <wps:txbx>
                                <w:txbxContent>
                                  <w:p>
                                    <w:pPr>
                                      <w:rPr>
                                        <w:sz w:val="20"/>
                                        <w:szCs w:val="22"/>
                                      </w:rPr>
                                    </w:pPr>
                                    <w:r>
                                      <w:rPr>
                                        <w:rFonts w:hint="eastAsia"/>
                                        <w:sz w:val="20"/>
                                        <w:szCs w:val="22"/>
                                      </w:rPr>
                                      <w:t>1</w:t>
                                    </w:r>
                                  </w:p>
                                </w:txbxContent>
                              </wps:txbx>
                              <wps:bodyPr vert="horz" wrap="square" anchor="t" anchorCtr="0" upright="1"/>
                            </wps:wsp>
                            <wps:wsp>
                              <wps:cNvPr id="74" name="矩形 1426"/>
                              <wps:cNvSpPr/>
                              <wps:spPr>
                                <a:xfrm>
                                  <a:off x="1755140" y="465455"/>
                                  <a:ext cx="812165" cy="307340"/>
                                </a:xfrm>
                                <a:prstGeom prst="rect">
                                  <a:avLst/>
                                </a:prstGeom>
                                <a:noFill/>
                                <a:ln w="9525" cap="flat" cmpd="sng">
                                  <a:solidFill>
                                    <a:srgbClr val="000000"/>
                                  </a:solidFill>
                                  <a:prstDash val="solid"/>
                                  <a:miter/>
                                  <a:headEnd type="none" w="med" len="med"/>
                                  <a:tailEnd type="none" w="med" len="med"/>
                                </a:ln>
                              </wps:spPr>
                              <wps:txbx>
                                <w:txbxContent>
                                  <w:p>
                                    <w:pPr>
                                      <w:jc w:val="center"/>
                                      <w:rPr>
                                        <w:sz w:val="20"/>
                                        <w:szCs w:val="22"/>
                                      </w:rPr>
                                    </w:pPr>
                                    <w:r>
                                      <w:rPr>
                                        <w:rFonts w:hint="eastAsia"/>
                                        <w:sz w:val="20"/>
                                        <w:szCs w:val="22"/>
                                      </w:rPr>
                                      <w:t>生活用水</w:t>
                                    </w:r>
                                  </w:p>
                                </w:txbxContent>
                              </wps:txbx>
                              <wps:bodyPr vert="horz" wrap="square" anchor="t" anchorCtr="0" upright="1"/>
                            </wps:wsp>
                            <wps:wsp>
                              <wps:cNvPr id="75" name="自选图形 1427"/>
                              <wps:cNvCnPr/>
                              <wps:spPr>
                                <a:xfrm rot="-5400000">
                                  <a:off x="2129790" y="217805"/>
                                  <a:ext cx="279400" cy="215900"/>
                                </a:xfrm>
                                <a:prstGeom prst="curvedConnector2">
                                  <a:avLst/>
                                </a:prstGeom>
                                <a:ln w="9525" cap="flat" cmpd="sng">
                                  <a:solidFill>
                                    <a:srgbClr val="000000"/>
                                  </a:solidFill>
                                  <a:prstDash val="dashDot"/>
                                  <a:headEnd type="none" w="med" len="med"/>
                                  <a:tailEnd type="stealth" w="lg" len="lg"/>
                                </a:ln>
                              </wps:spPr>
                              <wps:bodyPr/>
                            </wps:wsp>
                            <wps:wsp>
                              <wps:cNvPr id="76" name="矩形 1428"/>
                              <wps:cNvSpPr/>
                              <wps:spPr>
                                <a:xfrm>
                                  <a:off x="2377440" y="78105"/>
                                  <a:ext cx="419100" cy="215900"/>
                                </a:xfrm>
                                <a:prstGeom prst="rect">
                                  <a:avLst/>
                                </a:prstGeom>
                                <a:noFill/>
                                <a:ln>
                                  <a:noFill/>
                                </a:ln>
                              </wps:spPr>
                              <wps:txbx>
                                <w:txbxContent>
                                  <w:p>
                                    <w:pPr>
                                      <w:rPr>
                                        <w:sz w:val="20"/>
                                        <w:szCs w:val="22"/>
                                      </w:rPr>
                                    </w:pPr>
                                    <w:r>
                                      <w:rPr>
                                        <w:rFonts w:hint="eastAsia"/>
                                        <w:sz w:val="20"/>
                                        <w:szCs w:val="22"/>
                                      </w:rPr>
                                      <w:t>0.2</w:t>
                                    </w:r>
                                  </w:p>
                                </w:txbxContent>
                              </wps:txbx>
                              <wps:bodyPr vert="horz" wrap="square" anchor="t" anchorCtr="0" upright="1"/>
                            </wps:wsp>
                            <wps:wsp>
                              <wps:cNvPr id="77" name="直线 1429"/>
                              <wps:cNvCnPr/>
                              <wps:spPr>
                                <a:xfrm>
                                  <a:off x="2576830" y="633095"/>
                                  <a:ext cx="540385" cy="635"/>
                                </a:xfrm>
                                <a:prstGeom prst="line">
                                  <a:avLst/>
                                </a:prstGeom>
                                <a:ln w="9525" cap="flat" cmpd="sng">
                                  <a:solidFill>
                                    <a:srgbClr val="000000"/>
                                  </a:solidFill>
                                  <a:prstDash val="solid"/>
                                  <a:headEnd type="none" w="med" len="med"/>
                                  <a:tailEnd type="stealth" w="lg" len="lg"/>
                                </a:ln>
                              </wps:spPr>
                              <wps:bodyPr/>
                            </wps:wsp>
                            <wps:wsp>
                              <wps:cNvPr id="78" name="矩形 1430"/>
                              <wps:cNvSpPr/>
                              <wps:spPr>
                                <a:xfrm>
                                  <a:off x="3137535" y="429260"/>
                                  <a:ext cx="1511935" cy="321945"/>
                                </a:xfrm>
                                <a:prstGeom prst="rect">
                                  <a:avLst/>
                                </a:prstGeom>
                                <a:noFill/>
                                <a:ln w="9525" cap="flat" cmpd="sng">
                                  <a:noFill/>
                                  <a:prstDash val="solid"/>
                                  <a:miter/>
                                  <a:headEnd type="none" w="med" len="med"/>
                                  <a:tailEnd type="none" w="med" len="med"/>
                                </a:ln>
                              </wps:spPr>
                              <wps:txbx>
                                <w:txbxContent>
                                  <w:p>
                                    <w:pPr>
                                      <w:rPr>
                                        <w:color w:val="auto"/>
                                        <w:sz w:val="20"/>
                                        <w:szCs w:val="20"/>
                                      </w:rPr>
                                    </w:pPr>
                                    <w:r>
                                      <w:rPr>
                                        <w:rFonts w:hint="eastAsia"/>
                                        <w:color w:val="auto"/>
                                        <w:sz w:val="20"/>
                                        <w:szCs w:val="20"/>
                                      </w:rPr>
                                      <w:t>长春市北郊污水处理厂</w:t>
                                    </w:r>
                                  </w:p>
                                </w:txbxContent>
                              </wps:txbx>
                              <wps:bodyPr vert="horz" wrap="square" anchor="t" anchorCtr="0" upright="1"/>
                            </wps:wsp>
                            <wps:wsp>
                              <wps:cNvPr id="79" name="矩形 1431"/>
                              <wps:cNvSpPr/>
                              <wps:spPr>
                                <a:xfrm>
                                  <a:off x="2643505" y="399415"/>
                                  <a:ext cx="419100" cy="215900"/>
                                </a:xfrm>
                                <a:prstGeom prst="rect">
                                  <a:avLst/>
                                </a:prstGeom>
                                <a:noFill/>
                                <a:ln>
                                  <a:noFill/>
                                </a:ln>
                              </wps:spPr>
                              <wps:txbx>
                                <w:txbxContent>
                                  <w:p>
                                    <w:pPr>
                                      <w:rPr>
                                        <w:sz w:val="20"/>
                                        <w:szCs w:val="22"/>
                                      </w:rPr>
                                    </w:pPr>
                                    <w:r>
                                      <w:rPr>
                                        <w:rFonts w:hint="eastAsia"/>
                                        <w:sz w:val="20"/>
                                        <w:szCs w:val="22"/>
                                      </w:rPr>
                                      <w:t>0.8</w:t>
                                    </w:r>
                                  </w:p>
                                </w:txbxContent>
                              </wps:txbx>
                              <wps:bodyPr vert="horz" wrap="square" anchor="t" anchorCtr="0" upright="1"/>
                            </wps:wsp>
                            <wps:wsp>
                              <wps:cNvPr id="80" name="直线 1432"/>
                              <wps:cNvCnPr/>
                              <wps:spPr>
                                <a:xfrm flipV="1">
                                  <a:off x="1022350" y="1376046"/>
                                  <a:ext cx="711200" cy="0"/>
                                </a:xfrm>
                                <a:prstGeom prst="line">
                                  <a:avLst/>
                                </a:prstGeom>
                                <a:ln w="9525" cap="flat" cmpd="sng">
                                  <a:solidFill>
                                    <a:srgbClr val="000000"/>
                                  </a:solidFill>
                                  <a:prstDash val="solid"/>
                                  <a:headEnd type="none" w="med" len="med"/>
                                  <a:tailEnd type="stealth" w="lg" len="lg"/>
                                </a:ln>
                              </wps:spPr>
                              <wps:bodyPr/>
                            </wps:wsp>
                            <wps:wsp>
                              <wps:cNvPr id="81" name="矩形 1433"/>
                              <wps:cNvSpPr/>
                              <wps:spPr>
                                <a:xfrm>
                                  <a:off x="1746250" y="1223646"/>
                                  <a:ext cx="873125" cy="287020"/>
                                </a:xfrm>
                                <a:prstGeom prst="rect">
                                  <a:avLst/>
                                </a:prstGeom>
                                <a:noFill/>
                                <a:ln w="9525" cap="flat" cmpd="sng">
                                  <a:solidFill>
                                    <a:srgbClr val="000000"/>
                                  </a:solidFill>
                                  <a:prstDash val="solid"/>
                                  <a:miter/>
                                  <a:headEnd type="none" w="med" len="med"/>
                                  <a:tailEnd type="none" w="med" len="med"/>
                                </a:ln>
                              </wps:spPr>
                              <wps:txbx>
                                <w:txbxContent>
                                  <w:p>
                                    <w:pPr>
                                      <w:jc w:val="center"/>
                                    </w:pPr>
                                    <w:r>
                                      <w:rPr>
                                        <w:rFonts w:hint="eastAsia"/>
                                        <w:sz w:val="20"/>
                                        <w:szCs w:val="22"/>
                                      </w:rPr>
                                      <w:t>循环冷却水</w:t>
                                    </w:r>
                                  </w:p>
                                </w:txbxContent>
                              </wps:txbx>
                              <wps:bodyPr vert="horz" wrap="square" anchor="t" anchorCtr="0" upright="1"/>
                            </wps:wsp>
                            <wps:wsp>
                              <wps:cNvPr id="82" name="矩形 1434"/>
                              <wps:cNvSpPr/>
                              <wps:spPr>
                                <a:xfrm>
                                  <a:off x="1113155" y="1130300"/>
                                  <a:ext cx="546100" cy="215900"/>
                                </a:xfrm>
                                <a:prstGeom prst="rect">
                                  <a:avLst/>
                                </a:prstGeom>
                                <a:noFill/>
                                <a:ln>
                                  <a:noFill/>
                                </a:ln>
                              </wps:spPr>
                              <wps:txbx>
                                <w:txbxContent>
                                  <w:p>
                                    <w:pPr>
                                      <w:rPr>
                                        <w:rFonts w:hint="default" w:eastAsia="宋体"/>
                                        <w:sz w:val="20"/>
                                        <w:szCs w:val="22"/>
                                        <w:lang w:val="en-US" w:eastAsia="zh-CN"/>
                                      </w:rPr>
                                    </w:pPr>
                                    <w:r>
                                      <w:rPr>
                                        <w:rFonts w:hint="eastAsia"/>
                                        <w:sz w:val="20"/>
                                        <w:szCs w:val="22"/>
                                        <w:lang w:val="en-US" w:eastAsia="zh-CN"/>
                                      </w:rPr>
                                      <w:t>3.56</w:t>
                                    </w:r>
                                  </w:p>
                                </w:txbxContent>
                              </wps:txbx>
                              <wps:bodyPr vert="horz" wrap="square" anchor="t" anchorCtr="0" upright="1"/>
                            </wps:wsp>
                            <wps:wsp>
                              <wps:cNvPr id="83" name="自选图形 1435"/>
                              <wps:cNvCnPr/>
                              <wps:spPr>
                                <a:xfrm rot="-5400000">
                                  <a:off x="2066290" y="951230"/>
                                  <a:ext cx="279400" cy="215900"/>
                                </a:xfrm>
                                <a:prstGeom prst="curvedConnector2">
                                  <a:avLst/>
                                </a:prstGeom>
                                <a:ln w="9525" cap="flat" cmpd="sng">
                                  <a:solidFill>
                                    <a:srgbClr val="000000"/>
                                  </a:solidFill>
                                  <a:prstDash val="dashDot"/>
                                  <a:headEnd type="none" w="med" len="med"/>
                                  <a:tailEnd type="stealth" w="lg" len="lg"/>
                                </a:ln>
                              </wps:spPr>
                              <wps:bodyPr/>
                            </wps:wsp>
                            <wps:wsp>
                              <wps:cNvPr id="84" name="矩形 1436"/>
                              <wps:cNvSpPr/>
                              <wps:spPr>
                                <a:xfrm>
                                  <a:off x="2320290" y="811530"/>
                                  <a:ext cx="419100" cy="215900"/>
                                </a:xfrm>
                                <a:prstGeom prst="rect">
                                  <a:avLst/>
                                </a:prstGeom>
                                <a:noFill/>
                                <a:ln>
                                  <a:noFill/>
                                </a:ln>
                              </wps:spPr>
                              <wps:txbx>
                                <w:txbxContent>
                                  <w:p>
                                    <w:pPr>
                                      <w:rPr>
                                        <w:rFonts w:hint="default" w:eastAsia="宋体"/>
                                        <w:sz w:val="20"/>
                                        <w:szCs w:val="22"/>
                                        <w:lang w:val="en-US" w:eastAsia="zh-CN"/>
                                      </w:rPr>
                                    </w:pPr>
                                    <w:r>
                                      <w:rPr>
                                        <w:rFonts w:hint="eastAsia"/>
                                        <w:sz w:val="20"/>
                                        <w:szCs w:val="22"/>
                                        <w:lang w:val="en-US" w:eastAsia="zh-CN"/>
                                      </w:rPr>
                                      <w:t>3.36</w:t>
                                    </w:r>
                                  </w:p>
                                </w:txbxContent>
                              </wps:txbx>
                              <wps:bodyPr vert="horz" wrap="square" anchor="t" anchorCtr="0" upright="1"/>
                            </wps:wsp>
                            <wps:wsp>
                              <wps:cNvPr id="85" name="自选图形 1437"/>
                              <wps:cNvCnPr/>
                              <wps:spPr>
                                <a:xfrm rot="5400000" flipV="1">
                                  <a:off x="2439031" y="1254757"/>
                                  <a:ext cx="358775" cy="869950"/>
                                </a:xfrm>
                                <a:prstGeom prst="bentConnector2">
                                  <a:avLst/>
                                </a:prstGeom>
                                <a:ln w="9525" cap="flat" cmpd="sng">
                                  <a:solidFill>
                                    <a:srgbClr val="000000"/>
                                  </a:solidFill>
                                  <a:prstDash val="solid"/>
                                  <a:miter/>
                                  <a:headEnd type="none" w="med" len="med"/>
                                  <a:tailEnd type="none" w="med" len="med"/>
                                </a:ln>
                              </wps:spPr>
                              <wps:bodyPr/>
                            </wps:wsp>
                            <wps:wsp>
                              <wps:cNvPr id="86" name="自选图形 1438"/>
                              <wps:cNvCnPr/>
                              <wps:spPr>
                                <a:xfrm>
                                  <a:off x="2619375" y="1367156"/>
                                  <a:ext cx="433705" cy="520700"/>
                                </a:xfrm>
                                <a:prstGeom prst="bentConnector2">
                                  <a:avLst/>
                                </a:prstGeom>
                                <a:ln w="9525" cap="flat" cmpd="sng">
                                  <a:solidFill>
                                    <a:srgbClr val="000000"/>
                                  </a:solidFill>
                                  <a:prstDash val="solid"/>
                                  <a:miter/>
                                  <a:headEnd type="stealth" w="lg" len="lg"/>
                                  <a:tailEnd type="none" w="med" len="med"/>
                                </a:ln>
                              </wps:spPr>
                              <wps:bodyPr/>
                            </wps:wsp>
                            <wps:wsp>
                              <wps:cNvPr id="87" name="矩形 1439"/>
                              <wps:cNvSpPr/>
                              <wps:spPr>
                                <a:xfrm>
                                  <a:off x="2193290" y="1650365"/>
                                  <a:ext cx="744220" cy="255905"/>
                                </a:xfrm>
                                <a:prstGeom prst="rect">
                                  <a:avLst/>
                                </a:prstGeom>
                                <a:noFill/>
                                <a:ln>
                                  <a:noFill/>
                                </a:ln>
                              </wps:spPr>
                              <wps:txbx>
                                <w:txbxContent>
                                  <w:p>
                                    <w:pPr>
                                      <w:rPr>
                                        <w:rFonts w:hint="default" w:eastAsia="宋体"/>
                                        <w:sz w:val="20"/>
                                        <w:szCs w:val="22"/>
                                        <w:lang w:val="en-US" w:eastAsia="zh-CN"/>
                                      </w:rPr>
                                    </w:pPr>
                                    <w:r>
                                      <w:rPr>
                                        <w:rFonts w:hint="eastAsia"/>
                                        <w:sz w:val="20"/>
                                        <w:szCs w:val="22"/>
                                        <w:lang w:val="en-US" w:eastAsia="zh-CN"/>
                                      </w:rPr>
                                      <w:t>50m</w:t>
                                    </w:r>
                                    <w:r>
                                      <w:rPr>
                                        <w:rFonts w:hint="eastAsia"/>
                                        <w:sz w:val="20"/>
                                        <w:szCs w:val="22"/>
                                        <w:vertAlign w:val="superscript"/>
                                        <w:lang w:val="en-US" w:eastAsia="zh-CN"/>
                                      </w:rPr>
                                      <w:t>3</w:t>
                                    </w:r>
                                    <w:r>
                                      <w:rPr>
                                        <w:rFonts w:hint="eastAsia"/>
                                        <w:sz w:val="20"/>
                                        <w:szCs w:val="22"/>
                                        <w:lang w:val="en-US" w:eastAsia="zh-CN"/>
                                      </w:rPr>
                                      <w:t>/h</w:t>
                                    </w:r>
                                  </w:p>
                                </w:txbxContent>
                              </wps:txbx>
                              <wps:bodyPr vert="horz" wrap="square" anchor="t" anchorCtr="0" upright="1"/>
                            </wps:wsp>
                            <wps:wsp>
                              <wps:cNvPr id="88" name="矩形 1440"/>
                              <wps:cNvSpPr/>
                              <wps:spPr>
                                <a:xfrm>
                                  <a:off x="1511300" y="1967865"/>
                                  <a:ext cx="2275205" cy="323850"/>
                                </a:xfrm>
                                <a:prstGeom prst="rect">
                                  <a:avLst/>
                                </a:prstGeom>
                                <a:noFill/>
                                <a:ln>
                                  <a:noFill/>
                                </a:ln>
                              </wps:spPr>
                              <wps:txbx>
                                <w:txbxContent>
                                  <w:p>
                                    <w:pPr>
                                      <w:rPr>
                                        <w:b/>
                                        <w:bCs/>
                                        <w:i w:val="0"/>
                                        <w:iCs w:val="0"/>
                                        <w:color w:val="auto"/>
                                        <w:sz w:val="24"/>
                                        <w:u w:val="none"/>
                                      </w:rPr>
                                    </w:pPr>
                                    <w:r>
                                      <w:rPr>
                                        <w:rFonts w:hint="eastAsia"/>
                                        <w:b/>
                                        <w:bCs/>
                                        <w:i w:val="0"/>
                                        <w:iCs w:val="0"/>
                                        <w:color w:val="auto"/>
                                        <w:sz w:val="24"/>
                                        <w:u w:val="none"/>
                                      </w:rPr>
                                      <w:t>图2-1  水平衡图（单位：m</w:t>
                                    </w:r>
                                    <w:r>
                                      <w:rPr>
                                        <w:rFonts w:hint="eastAsia"/>
                                        <w:b/>
                                        <w:bCs/>
                                        <w:i w:val="0"/>
                                        <w:iCs w:val="0"/>
                                        <w:color w:val="auto"/>
                                        <w:sz w:val="24"/>
                                        <w:u w:val="none"/>
                                        <w:vertAlign w:val="superscript"/>
                                      </w:rPr>
                                      <w:t>3</w:t>
                                    </w:r>
                                    <w:r>
                                      <w:rPr>
                                        <w:rFonts w:hint="eastAsia"/>
                                        <w:b/>
                                        <w:bCs/>
                                        <w:i w:val="0"/>
                                        <w:iCs w:val="0"/>
                                        <w:color w:val="auto"/>
                                        <w:sz w:val="24"/>
                                        <w:u w:val="none"/>
                                      </w:rPr>
                                      <w:t>/d）</w:t>
                                    </w:r>
                                  </w:p>
                                </w:txbxContent>
                              </wps:txbx>
                              <wps:bodyPr vert="horz" wrap="square" anchor="t" anchorCtr="0" upright="1"/>
                            </wps:wsp>
                            <wps:wsp>
                              <wps:cNvPr id="89" name="直线 1424"/>
                              <wps:cNvCnPr/>
                              <wps:spPr>
                                <a:xfrm flipV="1">
                                  <a:off x="2632075" y="1270635"/>
                                  <a:ext cx="1326515" cy="5080"/>
                                </a:xfrm>
                                <a:prstGeom prst="line">
                                  <a:avLst/>
                                </a:prstGeom>
                                <a:ln w="9525" cap="flat" cmpd="sng">
                                  <a:solidFill>
                                    <a:srgbClr val="000000"/>
                                  </a:solidFill>
                                  <a:prstDash val="solid"/>
                                  <a:headEnd type="none" w="med" len="med"/>
                                  <a:tailEnd type="stealth" w="lg" len="lg"/>
                                </a:ln>
                              </wps:spPr>
                              <wps:bodyPr/>
                            </wps:wsp>
                            <wps:wsp>
                              <wps:cNvPr id="90" name="直线 1423"/>
                              <wps:cNvCnPr/>
                              <wps:spPr>
                                <a:xfrm flipH="1">
                                  <a:off x="3951605" y="770890"/>
                                  <a:ext cx="5715" cy="491490"/>
                                </a:xfrm>
                                <a:prstGeom prst="line">
                                  <a:avLst/>
                                </a:prstGeom>
                                <a:ln w="12700" cap="flat" cmpd="sng">
                                  <a:solidFill>
                                    <a:srgbClr val="000000"/>
                                  </a:solidFill>
                                  <a:prstDash val="solid"/>
                                  <a:headEnd type="stealth" w="lg" len="lg"/>
                                  <a:tailEnd type="none" w="med" len="med"/>
                                </a:ln>
                              </wps:spPr>
                              <wps:bodyPr/>
                            </wps:wsp>
                            <wps:wsp>
                              <wps:cNvPr id="91" name="矩形 1439"/>
                              <wps:cNvSpPr/>
                              <wps:spPr>
                                <a:xfrm>
                                  <a:off x="3022600" y="994410"/>
                                  <a:ext cx="419100" cy="215900"/>
                                </a:xfrm>
                                <a:prstGeom prst="rect">
                                  <a:avLst/>
                                </a:prstGeom>
                                <a:noFill/>
                                <a:ln>
                                  <a:noFill/>
                                </a:ln>
                              </wps:spPr>
                              <wps:txbx>
                                <w:txbxContent>
                                  <w:p>
                                    <w:pPr>
                                      <w:rPr>
                                        <w:rFonts w:hint="default" w:eastAsia="宋体"/>
                                        <w:sz w:val="20"/>
                                        <w:szCs w:val="22"/>
                                        <w:lang w:val="en-US" w:eastAsia="zh-CN"/>
                                      </w:rPr>
                                    </w:pPr>
                                    <w:r>
                                      <w:rPr>
                                        <w:rFonts w:hint="eastAsia"/>
                                        <w:sz w:val="20"/>
                                        <w:szCs w:val="22"/>
                                        <w:lang w:val="en-US" w:eastAsia="zh-CN"/>
                                      </w:rPr>
                                      <w:t>0.2</w:t>
                                    </w:r>
                                  </w:p>
                                </w:txbxContent>
                              </wps:txbx>
                              <wps:bodyPr vert="horz" wrap="square" anchor="t" anchorCtr="0" upright="1"/>
                            </wps:wsp>
                          </wpc:wpc>
                        </a:graphicData>
                      </a:graphic>
                    </wp:inline>
                  </w:drawing>
                </mc:Choice>
                <mc:Fallback>
                  <w:pict>
                    <v:group id="画布 1420" o:spid="_x0000_s1026" o:spt="203" style="height:182.7pt;width:382.2pt;" coordsize="4853940,2320290" editas="canvas" o:gfxdata="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">
                      <o:lock v:ext="edit" aspectratio="f"/>
                      <v:shape id="画布 1420" o:spid="_x0000_s1026" style="position:absolute;left:0;top:0;height:2320290;width:4853940;" filled="f" stroked="f" coordsize="21600,21600" o:gfxdata="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">
                        <v:fill on="f" focussize="0,0"/>
                        <v:stroke on="f" joinstyle="miter"/>
                        <v:imagedata o:title=""/>
                        <o:lock v:ext="edit" aspectratio="f"/>
                      </v:shape>
                      <v:rect id="矩形 1421" o:spid="_x0000_s1026" o:spt="1" style="position:absolute;left:351155;top:751205;height:219710;width:421005;" filled="f" stroked="f" coordsize="21600,21600" o:gfxdata="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Ok45NgAAAAFAQAADwAAAAAAAAABACAAAAAiAAAAZHJz&#10;L2Rvd25yZXYueG1sUEsBAhQAFAAAAAgAh07iQAps2kzLAQAAgQMAAA4AAAAAAAAAAQAgAAAAJwEA&#10;AGRycy9lMm9Eb2MueG1sUEsFBgAAAAAGAAYAWQEAAGQFAAAAAA==&#10;">
                        <v:fill on="f" focussize="0,0"/>
                        <v:stroke on="f"/>
                        <v:imagedata o:title=""/>
                        <o:lock v:ext="edit" aspectratio="f"/>
                        <v:textbox>
                          <w:txbxContent>
                            <w:p>
                              <w:pPr>
                                <w:rPr>
                                  <w:rFonts w:hint="default" w:eastAsia="宋体"/>
                                  <w:sz w:val="20"/>
                                  <w:szCs w:val="22"/>
                                  <w:lang w:val="en-US" w:eastAsia="zh-CN"/>
                                </w:rPr>
                              </w:pPr>
                              <w:r>
                                <w:rPr>
                                  <w:rFonts w:hint="eastAsia"/>
                                  <w:sz w:val="20"/>
                                  <w:szCs w:val="22"/>
                                  <w:lang w:val="en-US" w:eastAsia="zh-CN"/>
                                </w:rPr>
                                <w:t>4.56</w:t>
                              </w:r>
                            </w:p>
                          </w:txbxContent>
                        </v:textbox>
                      </v:rect>
                      <v:line id="直线 1422" o:spid="_x0000_s1026" o:spt="20" style="position:absolute;left:398780;top:1021715;height:3810;width:627380;" filled="f" stroked="t" coordsize="21600,21600" o:gfxdata="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JYgBHVAAAABQEAAA8AAAAAAAAAAQAgAAAAIgAAAGRycy9kb3ducmV2Lnht&#10;bFBLAQIUABQAAAAIAIdO4kAdDmZ2/AEAAOEDAAAOAAAAAAAAAAEAIAAAACQBAABkcnMvZTJvRG9j&#10;LnhtbFBLBQYAAAAABgAGAFkBAACSBQAAAAA=&#10;">
                        <v:fill on="f" focussize="0,0"/>
                        <v:stroke color="#000000" joinstyle="round" endarrow="classic" endarrowwidth="wide" endarrowlength="long"/>
                        <v:imagedata o:title=""/>
                        <o:lock v:ext="edit" aspectratio="f"/>
                      </v:line>
                      <v:line id="直线 1423" o:spid="_x0000_s1026" o:spt="20" style="position:absolute;left:1036320;top:613410;height:767080;width:4445;" filled="f" stroked="t" coordsize="21600,21600" o:gfxdata="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67Qab1gAAAAUBAAAPAAAAAAAAAAEAIAAAACIAAABkcnMvZG93bnJldi54bWxQSwECFAAU&#10;AAAACACHTuJAi24i2/MBAADgAwAADgAAAAAAAAABACAAAAAlAQAAZHJzL2Uyb0RvYy54bWxQSwUG&#10;AAAAAAYABgBZAQAAigUAAAAA&#10;">
                        <v:fill on="f" focussize="0,0"/>
                        <v:stroke color="#000000" joinstyle="round"/>
                        <v:imagedata o:title=""/>
                        <o:lock v:ext="edit" aspectratio="f"/>
                      </v:line>
                      <v:line id="直线 1424" o:spid="_x0000_s1026" o:spt="20" style="position:absolute;left:1044575;top:606425;flip:y;height:8890;width:714375;" filled="f" stroked="t" coordsize="21600,21600" o:gfxdata="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9OlIPWAAAABQEAAA8AAAAAAAAAAQAgAAAAIgAAAGRycy9k&#10;b3ducmV2LnhtbFBLAQIUABQAAAAIAIdO4kBW+k4gBAIAAOsDAAAOAAAAAAAAAAEAIAAAACUBAABk&#10;cnMvZTJvRG9jLnhtbFBLBQYAAAAABgAGAFkBAACbBQAAAAA=&#10;">
                        <v:fill on="f" focussize="0,0"/>
                        <v:stroke color="#000000" joinstyle="round" endarrow="classic" endarrowwidth="wide" endarrowlength="long"/>
                        <v:imagedata o:title=""/>
                        <o:lock v:ext="edit" aspectratio="f"/>
                      </v:line>
                      <v:rect id="矩形 1425" o:spid="_x0000_s1026" o:spt="1" style="position:absolute;left:1205865;top:353695;height:215900;width:419100;" filled="f" stroked="f" coordsize="21600,21600" o:gfxdata="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ROk45NgAAAAFAQAADwAAAAAAAAABACAAAAAi&#10;AAAAZHJzL2Rvd25yZXYueG1sUEsBAhQAFAAAAAgAh07iQPvM1B7RAQAAggMAAA4AAAAAAAAAAQAg&#10;AAAAJwEAAGRycy9lMm9Eb2MueG1sUEsFBgAAAAAGAAYAWQEAAGoFAAAAAA==&#10;">
                        <v:fill on="f" focussize="0,0"/>
                        <v:stroke on="f"/>
                        <v:imagedata o:title=""/>
                        <o:lock v:ext="edit" aspectratio="f"/>
                        <v:textbox>
                          <w:txbxContent>
                            <w:p>
                              <w:pPr>
                                <w:rPr>
                                  <w:sz w:val="20"/>
                                  <w:szCs w:val="22"/>
                                </w:rPr>
                              </w:pPr>
                              <w:r>
                                <w:rPr>
                                  <w:rFonts w:hint="eastAsia"/>
                                  <w:sz w:val="20"/>
                                  <w:szCs w:val="22"/>
                                </w:rPr>
                                <w:t>1</w:t>
                              </w:r>
                            </w:p>
                          </w:txbxContent>
                        </v:textbox>
                      </v:rect>
                      <v:rect id="矩形 1426" o:spid="_x0000_s1026" o:spt="1" style="position:absolute;left:1755140;top:465455;height:307340;width:812165;" filled="f" stroked="t" coordsize="21600,21600" o:gfxdata="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2Jurl9UAAAAFAQAADwAAAAAAAAABACAAAAAiAAAAZHJzL2Rvd25yZXYueG1sUEsBAhQAFAAAAAgA&#10;h07iQGk0AwkoAgAAQQQAAA4AAAAAAAAAAQAgAAAAJAEAAGRycy9lMm9Eb2MueG1sUEsFBgAAAAAG&#10;AAYAWQEAAL4FAAAAAA==&#10;">
                        <v:fill on="f" focussize="0,0"/>
                        <v:stroke color="#000000" joinstyle="miter"/>
                        <v:imagedata o:title=""/>
                        <o:lock v:ext="edit" aspectratio="f"/>
                        <v:textbox>
                          <w:txbxContent>
                            <w:p>
                              <w:pPr>
                                <w:jc w:val="center"/>
                                <w:rPr>
                                  <w:sz w:val="20"/>
                                  <w:szCs w:val="22"/>
                                </w:rPr>
                              </w:pPr>
                              <w:r>
                                <w:rPr>
                                  <w:rFonts w:hint="eastAsia"/>
                                  <w:sz w:val="20"/>
                                  <w:szCs w:val="22"/>
                                </w:rPr>
                                <w:t>生活用水</w:t>
                              </w:r>
                            </w:p>
                          </w:txbxContent>
                        </v:textbox>
                      </v:rect>
                      <v:shape id="自选图形 1427" o:spid="_x0000_s1026" o:spt="37" type="#_x0000_t37" style="position:absolute;left:2129790;top:217805;height:215900;width:279400;rotation:-5898240f;" filled="f" stroked="t" coordsize="21600,21600" o:gfxdata="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KbyI9gAAAAFAQAA&#10;DwAAAAAAAAABACAAAAAiAAAAZHJzL2Rvd25yZXYueG1sUEsBAhQAFAAAAAgAh07iQNNiCgYZAgAA&#10;BgQAAA4AAAAAAAAAAQAgAAAAJwEAAGRycy9lMm9Eb2MueG1sUEsFBgAAAAAGAAYAWQEAALIFAAAA&#10;AA==&#10;">
                        <v:fill on="f" focussize="0,0"/>
                        <v:stroke color="#000000" joinstyle="round" dashstyle="dashDot" endarrow="classic" endarrowwidth="wide" endarrowlength="long"/>
                        <v:imagedata o:title=""/>
                        <o:lock v:ext="edit" aspectratio="f"/>
                      </v:shape>
                      <v:rect id="矩形 1428" o:spid="_x0000_s1026" o:spt="1" style="position:absolute;left:2377440;top:78105;height:215900;width:419100;" filled="f" stroked="f" coordsize="21600,21600" o:gfxdata="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TpOOTYAAAABQEAAA8AAAAAAAAAAQAgAAAAIgAA&#10;AGRycy9kb3ducmV2LnhtbFBLAQIUABQAAAAIAIdO4kAst0sczwEAAIEDAAAOAAAAAAAAAAEAIAAA&#10;ACcBAABkcnMvZTJvRG9jLnhtbFBLBQYAAAAABgAGAFkBAABoBQAAAAA=&#10;">
                        <v:fill on="f" focussize="0,0"/>
                        <v:stroke on="f"/>
                        <v:imagedata o:title=""/>
                        <o:lock v:ext="edit" aspectratio="f"/>
                        <v:textbox>
                          <w:txbxContent>
                            <w:p>
                              <w:pPr>
                                <w:rPr>
                                  <w:sz w:val="20"/>
                                  <w:szCs w:val="22"/>
                                </w:rPr>
                              </w:pPr>
                              <w:r>
                                <w:rPr>
                                  <w:rFonts w:hint="eastAsia"/>
                                  <w:sz w:val="20"/>
                                  <w:szCs w:val="22"/>
                                </w:rPr>
                                <w:t>0.2</w:t>
                              </w:r>
                            </w:p>
                          </w:txbxContent>
                        </v:textbox>
                      </v:rect>
                      <v:line id="直线 1429" o:spid="_x0000_s1026" o:spt="20" style="position:absolute;left:2576830;top:633095;height:635;width:540385;" filled="f" stroked="t" coordsize="21600,21600" o:gfxdata="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0liAEdUAAAAFAQAADwAAAAAAAAABACAAAAAiAAAAZHJzL2Rvd25yZXYueG1s&#10;UEsBAhQAFAAAAAgAh07iQCLSvTT7AQAA4AMAAA4AAAAAAAAAAQAgAAAAJAEAAGRycy9lMm9Eb2Mu&#10;eG1sUEsFBgAAAAAGAAYAWQEAAJEFAAAAAA==&#10;">
                        <v:fill on="f" focussize="0,0"/>
                        <v:stroke color="#000000" joinstyle="round" endarrow="classic" endarrowwidth="wide" endarrowlength="long"/>
                        <v:imagedata o:title=""/>
                        <o:lock v:ext="edit" aspectratio="f"/>
                      </v:line>
                      <v:rect id="矩形 1430" o:spid="_x0000_s1026" o:spt="1" style="position:absolute;left:3137535;top:429260;height:321945;width:1511935;" filled="f" stroked="f" coordsize="21600,21600" o:gfxdata="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Ok45NgAAAAFAQAADwAA&#10;AAAAAAABACAAAAAiAAAAZHJzL2Rvd25yZXYueG1sUEsBAhQAFAAAAAgAh07iQDQOFqsWAgAAGQQA&#10;AA4AAAAAAAAAAQAgAAAAJwEAAGRycy9lMm9Eb2MueG1sUEsFBgAAAAAGAAYAWQEAAK8FAAAAAA==&#10;">
                        <v:fill on="f" focussize="0,0"/>
                        <v:stroke on="f" joinstyle="miter"/>
                        <v:imagedata o:title=""/>
                        <o:lock v:ext="edit" aspectratio="f"/>
                        <v:textbox>
                          <w:txbxContent>
                            <w:p>
                              <w:pPr>
                                <w:rPr>
                                  <w:color w:val="auto"/>
                                  <w:sz w:val="20"/>
                                  <w:szCs w:val="20"/>
                                </w:rPr>
                              </w:pPr>
                              <w:r>
                                <w:rPr>
                                  <w:rFonts w:hint="eastAsia"/>
                                  <w:color w:val="auto"/>
                                  <w:sz w:val="20"/>
                                  <w:szCs w:val="20"/>
                                </w:rPr>
                                <w:t>长春市北郊污水处理厂</w:t>
                              </w:r>
                            </w:p>
                          </w:txbxContent>
                        </v:textbox>
                      </v:rect>
                      <v:rect id="矩形 1431" o:spid="_x0000_s1026" o:spt="1" style="position:absolute;left:2643505;top:399415;height:215900;width:419100;" filled="f" stroked="f" coordsize="21600,21600" o:gfxdata="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E6Tjk2AAAAAUBAAAPAAAAAAAAAAEAIAAAACIA&#10;AABkcnMvZG93bnJldi54bWxQSwECFAAUAAAACACHTuJAa2nSUNABAACCAwAADgAAAAAAAAABACAA&#10;AAAnAQAAZHJzL2Uyb0RvYy54bWxQSwUGAAAAAAYABgBZAQAAaQUAAAAA&#10;">
                        <v:fill on="f" focussize="0,0"/>
                        <v:stroke on="f"/>
                        <v:imagedata o:title=""/>
                        <o:lock v:ext="edit" aspectratio="f"/>
                        <v:textbox>
                          <w:txbxContent>
                            <w:p>
                              <w:pPr>
                                <w:rPr>
                                  <w:sz w:val="20"/>
                                  <w:szCs w:val="22"/>
                                </w:rPr>
                              </w:pPr>
                              <w:r>
                                <w:rPr>
                                  <w:rFonts w:hint="eastAsia"/>
                                  <w:sz w:val="20"/>
                                  <w:szCs w:val="22"/>
                                </w:rPr>
                                <w:t>0.8</w:t>
                              </w:r>
                            </w:p>
                          </w:txbxContent>
                        </v:textbox>
                      </v:rect>
                      <v:line id="直线 1432" o:spid="_x0000_s1026" o:spt="20" style="position:absolute;left:1022350;top:1376046;flip:y;height:0;width:711200;" filled="f" stroked="t" coordsize="21600,21600" o:gfxdata="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vTpSD1gAAAAUBAAAPAAAAAAAAAAEAIAAAACIAAABkcnMvZG93&#10;bnJldi54bWxQSwECFAAUAAAACACHTuJA87TQ+AICAADpAwAADgAAAAAAAAABACAAAAAlAQAAZHJz&#10;L2Uyb0RvYy54bWxQSwUGAAAAAAYABgBZAQAAmQUAAAAA&#10;">
                        <v:fill on="f" focussize="0,0"/>
                        <v:stroke color="#000000" joinstyle="round" endarrow="classic" endarrowwidth="wide" endarrowlength="long"/>
                        <v:imagedata o:title=""/>
                        <o:lock v:ext="edit" aspectratio="f"/>
                      </v:line>
                      <v:rect id="矩形 1433" o:spid="_x0000_s1026" o:spt="1" style="position:absolute;left:1746250;top:1223646;height:287020;width:873125;" filled="f" stroked="t" coordsize="21600,21600" o:gfxdata="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ibq5fVAAAABQEAAA8AAAAAAAAAAQAgAAAAIgAAAGRycy9kb3ducmV2LnhtbFBLAQIUABQAAAAI&#10;AIdO4kCeDcDLKQIAAEIEAAAOAAAAAAAAAAEAIAAAACQBAABkcnMvZTJvRG9jLnhtbFBLBQYAAAAA&#10;BgAGAFkBAAC/BQAAAAA=&#10;">
                        <v:fill on="f" focussize="0,0"/>
                        <v:stroke color="#000000" joinstyle="miter"/>
                        <v:imagedata o:title=""/>
                        <o:lock v:ext="edit" aspectratio="f"/>
                        <v:textbox>
                          <w:txbxContent>
                            <w:p>
                              <w:pPr>
                                <w:jc w:val="center"/>
                              </w:pPr>
                              <w:r>
                                <w:rPr>
                                  <w:rFonts w:hint="eastAsia"/>
                                  <w:sz w:val="20"/>
                                  <w:szCs w:val="22"/>
                                </w:rPr>
                                <w:t>循环冷却水</w:t>
                              </w:r>
                            </w:p>
                          </w:txbxContent>
                        </v:textbox>
                      </v:rect>
                      <v:rect id="矩形 1434" o:spid="_x0000_s1026" o:spt="1" style="position:absolute;left:1113155;top:1130300;height:215900;width:546100;" filled="f" stroked="f" coordsize="21600,21600" o:gfxdata="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Ok45NgAAAAFAQAADwAAAAAAAAABACAAAAAiAAAA&#10;ZHJzL2Rvd25yZXYueG1sUEsBAhQAFAAAAAgAh07iQCdGy47OAQAAgwMAAA4AAAAAAAAAAQAgAAAA&#10;JwEAAGRycy9lMm9Eb2MueG1sUEsFBgAAAAAGAAYAWQEAAGcFAAAAAA==&#10;">
                        <v:fill on="f" focussize="0,0"/>
                        <v:stroke on="f"/>
                        <v:imagedata o:title=""/>
                        <o:lock v:ext="edit" aspectratio="f"/>
                        <v:textbox>
                          <w:txbxContent>
                            <w:p>
                              <w:pPr>
                                <w:rPr>
                                  <w:rFonts w:hint="default" w:eastAsia="宋体"/>
                                  <w:sz w:val="20"/>
                                  <w:szCs w:val="22"/>
                                  <w:lang w:val="en-US" w:eastAsia="zh-CN"/>
                                </w:rPr>
                              </w:pPr>
                              <w:r>
                                <w:rPr>
                                  <w:rFonts w:hint="eastAsia"/>
                                  <w:sz w:val="20"/>
                                  <w:szCs w:val="22"/>
                                  <w:lang w:val="en-US" w:eastAsia="zh-CN"/>
                                </w:rPr>
                                <w:t>3.56</w:t>
                              </w:r>
                            </w:p>
                          </w:txbxContent>
                        </v:textbox>
                      </v:rect>
                      <v:shape id="自选图形 1435" o:spid="_x0000_s1026" o:spt="37" type="#_x0000_t37" style="position:absolute;left:2066290;top:951230;height:215900;width:279400;rotation:-5898240f;" filled="f" stroked="t" coordsize="21600,21600" o:gfxdata="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eKbyI9gAAAAF&#10;AQAADwAAAAAAAAABACAAAAAiAAAAZHJzL2Rvd25yZXYueG1sUEsBAhQAFAAAAAgAh07iQD4y3Ycc&#10;AgAABgQAAA4AAAAAAAAAAQAgAAAAJwEAAGRycy9lMm9Eb2MueG1sUEsFBgAAAAAGAAYAWQEAALUF&#10;AAAAAA==&#10;">
                        <v:fill on="f" focussize="0,0"/>
                        <v:stroke color="#000000" joinstyle="round" dashstyle="dashDot" endarrow="classic" endarrowwidth="wide" endarrowlength="long"/>
                        <v:imagedata o:title=""/>
                        <o:lock v:ext="edit" aspectratio="f"/>
                      </v:shape>
                      <v:rect id="矩形 1436" o:spid="_x0000_s1026" o:spt="1" style="position:absolute;left:2320290;top:811530;height:215900;width:419100;" filled="f" stroked="f" coordsize="21600,21600" o:gfxdata="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Ok45NgAAAAFAQAADwAAAAAAAAABACAAAAAiAAAA&#10;ZHJzL2Rvd25yZXYueG1sUEsBAhQAFAAAAAgAh07iQCD8M0jOAQAAggMAAA4AAAAAAAAAAQAgAAAA&#10;JwEAAGRycy9lMm9Eb2MueG1sUEsFBgAAAAAGAAYAWQEAAGcFAAAAAA==&#10;">
                        <v:fill on="f" focussize="0,0"/>
                        <v:stroke on="f"/>
                        <v:imagedata o:title=""/>
                        <o:lock v:ext="edit" aspectratio="f"/>
                        <v:textbox>
                          <w:txbxContent>
                            <w:p>
                              <w:pPr>
                                <w:rPr>
                                  <w:rFonts w:hint="default" w:eastAsia="宋体"/>
                                  <w:sz w:val="20"/>
                                  <w:szCs w:val="22"/>
                                  <w:lang w:val="en-US" w:eastAsia="zh-CN"/>
                                </w:rPr>
                              </w:pPr>
                              <w:r>
                                <w:rPr>
                                  <w:rFonts w:hint="eastAsia"/>
                                  <w:sz w:val="20"/>
                                  <w:szCs w:val="22"/>
                                  <w:lang w:val="en-US" w:eastAsia="zh-CN"/>
                                </w:rPr>
                                <w:t>3.36</w:t>
                              </w:r>
                            </w:p>
                          </w:txbxContent>
                        </v:textbox>
                      </v:rect>
                      <v:shape id="自选图形 1437" o:spid="_x0000_s1026" o:spt="33" type="#_x0000_t33" style="position:absolute;left:2439031;top:1254757;flip:y;height:869950;width:358775;rotation:-5898240f;" filled="f" stroked="t" coordsize="21600,21600" o:gfxdata="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MRl7U1gAAAAUB&#10;AAAPAAAAAAAAAAEAIAAAACIAAABkcnMvZG93bnJldi54bWxQSwECFAAUAAAACACHTuJArgHWdB0C&#10;AAAVBAAADgAAAAAAAAABACAAAAAlAQAAZHJzL2Uyb0RvYy54bWxQSwUGAAAAAAYABgBZAQAAtAUA&#10;AAAA&#10;">
                        <v:fill on="f" focussize="0,0"/>
                        <v:stroke color="#000000" joinstyle="miter"/>
                        <v:imagedata o:title=""/>
                        <o:lock v:ext="edit" aspectratio="f"/>
                      </v:shape>
                      <v:shape id="自选图形 1438" o:spid="_x0000_s1026" o:spt="33" type="#_x0000_t33" style="position:absolute;left:2619375;top:1367156;height:520700;width:433705;" filled="f" stroked="t" coordsize="21600,21600" o:gfxdata="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cGvitYAAAAFAQAADwAA&#10;AAAAAAABACAAAAAiAAAAZHJzL2Rvd25yZXYueG1sUEsBAhQAFAAAAAgAh07iQP6dfhUYAgAA/gMA&#10;AA4AAAAAAAAAAQAgAAAAJQEAAGRycy9lMm9Eb2MueG1sUEsFBgAAAAAGAAYAWQEAAK8FAAAAAA==&#10;">
                        <v:fill on="f" focussize="0,0"/>
                        <v:stroke color="#000000" joinstyle="miter" startarrow="classic" startarrowwidth="wide" startarrowlength="long"/>
                        <v:imagedata o:title=""/>
                        <o:lock v:ext="edit" aspectratio="f"/>
                      </v:shape>
                      <v:rect id="矩形 1439" o:spid="_x0000_s1026" o:spt="1" style="position:absolute;left:2193290;top:1650365;height:255905;width:744220;" filled="f" stroked="f" coordsize="21600,21600" o:gfxdata="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TpOOTYAAAABQEAAA8AAAAAAAAAAQAgAAAA&#10;IgAAAGRycy9kb3ducmV2LnhtbFBLAQIUABQAAAAIAIdO4kB98/sv0gEAAIMDAAAOAAAAAAAAAAEA&#10;IAAAACcBAABkcnMvZTJvRG9jLnhtbFBLBQYAAAAABgAGAFkBAABrBQAAAAA=&#10;">
                        <v:fill on="f" focussize="0,0"/>
                        <v:stroke on="f"/>
                        <v:imagedata o:title=""/>
                        <o:lock v:ext="edit" aspectratio="f"/>
                        <v:textbox>
                          <w:txbxContent>
                            <w:p>
                              <w:pPr>
                                <w:rPr>
                                  <w:rFonts w:hint="default" w:eastAsia="宋体"/>
                                  <w:sz w:val="20"/>
                                  <w:szCs w:val="22"/>
                                  <w:lang w:val="en-US" w:eastAsia="zh-CN"/>
                                </w:rPr>
                              </w:pPr>
                              <w:r>
                                <w:rPr>
                                  <w:rFonts w:hint="eastAsia"/>
                                  <w:sz w:val="20"/>
                                  <w:szCs w:val="22"/>
                                  <w:lang w:val="en-US" w:eastAsia="zh-CN"/>
                                </w:rPr>
                                <w:t>50m</w:t>
                              </w:r>
                              <w:r>
                                <w:rPr>
                                  <w:rFonts w:hint="eastAsia"/>
                                  <w:sz w:val="20"/>
                                  <w:szCs w:val="22"/>
                                  <w:vertAlign w:val="superscript"/>
                                  <w:lang w:val="en-US" w:eastAsia="zh-CN"/>
                                </w:rPr>
                                <w:t>3</w:t>
                              </w:r>
                              <w:r>
                                <w:rPr>
                                  <w:rFonts w:hint="eastAsia"/>
                                  <w:sz w:val="20"/>
                                  <w:szCs w:val="22"/>
                                  <w:lang w:val="en-US" w:eastAsia="zh-CN"/>
                                </w:rPr>
                                <w:t>/h</w:t>
                              </w:r>
                            </w:p>
                          </w:txbxContent>
                        </v:textbox>
                      </v:rect>
                      <v:rect id="矩形 1440" o:spid="_x0000_s1026" o:spt="1" style="position:absolute;left:1511300;top:1967865;height:323850;width:2275205;" filled="f" stroked="f" coordsize="21600,21600" o:gfxdata="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ROk45NgAAAAFAQAADwAAAAAAAAABACAAAAAi&#10;AAAAZHJzL2Rvd25yZXYueG1sUEsBAhQAFAAAAAgAh07iQJQ1TN3RAQAAhAMAAA4AAAAAAAAAAQAg&#10;AAAAJwEAAGRycy9lMm9Eb2MueG1sUEsFBgAAAAAGAAYAWQEAAGoFAAAAAA==&#10;">
                        <v:fill on="f" focussize="0,0"/>
                        <v:stroke on="f"/>
                        <v:imagedata o:title=""/>
                        <o:lock v:ext="edit" aspectratio="f"/>
                        <v:textbox>
                          <w:txbxContent>
                            <w:p>
                              <w:pPr>
                                <w:rPr>
                                  <w:b/>
                                  <w:bCs/>
                                  <w:i w:val="0"/>
                                  <w:iCs w:val="0"/>
                                  <w:color w:val="auto"/>
                                  <w:sz w:val="24"/>
                                  <w:u w:val="none"/>
                                </w:rPr>
                              </w:pPr>
                              <w:r>
                                <w:rPr>
                                  <w:rFonts w:hint="eastAsia"/>
                                  <w:b/>
                                  <w:bCs/>
                                  <w:i w:val="0"/>
                                  <w:iCs w:val="0"/>
                                  <w:color w:val="auto"/>
                                  <w:sz w:val="24"/>
                                  <w:u w:val="none"/>
                                </w:rPr>
                                <w:t>图2-1  水平衡图（单位：m</w:t>
                              </w:r>
                              <w:r>
                                <w:rPr>
                                  <w:rFonts w:hint="eastAsia"/>
                                  <w:b/>
                                  <w:bCs/>
                                  <w:i w:val="0"/>
                                  <w:iCs w:val="0"/>
                                  <w:color w:val="auto"/>
                                  <w:sz w:val="24"/>
                                  <w:u w:val="none"/>
                                  <w:vertAlign w:val="superscript"/>
                                </w:rPr>
                                <w:t>3</w:t>
                              </w:r>
                              <w:r>
                                <w:rPr>
                                  <w:rFonts w:hint="eastAsia"/>
                                  <w:b/>
                                  <w:bCs/>
                                  <w:i w:val="0"/>
                                  <w:iCs w:val="0"/>
                                  <w:color w:val="auto"/>
                                  <w:sz w:val="24"/>
                                  <w:u w:val="none"/>
                                </w:rPr>
                                <w:t>/d）</w:t>
                              </w:r>
                            </w:p>
                          </w:txbxContent>
                        </v:textbox>
                      </v:rect>
                      <v:line id="直线 1424" o:spid="_x0000_s1026" o:spt="20" style="position:absolute;left:2632075;top:1270635;flip:y;height:5080;width:1326515;" filled="f" stroked="t" coordsize="21600,21600" o:gfxdata="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06Ug9YAAAAFAQAADwAAAAAAAAABACAAAAAiAAAAZHJz&#10;L2Rvd25yZXYueG1sUEsBAhQAFAAAAAgAh07iQH70AhEGAgAA7QMAAA4AAAAAAAAAAQAgAAAAJQEA&#10;AGRycy9lMm9Eb2MueG1sUEsFBgAAAAAGAAYAWQEAAJ0FAAAAAA==&#10;">
                        <v:fill on="f" focussize="0,0"/>
                        <v:stroke color="#000000" joinstyle="round" endarrow="classic" endarrowwidth="wide" endarrowlength="long"/>
                        <v:imagedata o:title=""/>
                        <o:lock v:ext="edit" aspectratio="f"/>
                      </v:line>
                      <v:line id="直线 1423" o:spid="_x0000_s1026" o:spt="20" style="position:absolute;left:3951605;top:770890;flip:x;height:491490;width:5715;" filled="f" stroked="t" coordsize="21600,21600" o:gfxdata="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48tXrXAAAABQEAAA8AAAAAAAAAAQAgAAAAIgAAAGRycy9k&#10;b3ducmV2LnhtbFBLAQIUABQAAAAIAIdO4kAG/NplAwIAAOwDAAAOAAAAAAAAAAEAIAAAACYBAABk&#10;cnMvZTJvRG9jLnhtbFBLBQYAAAAABgAGAFkBAACbBQAAAAA=&#10;">
                        <v:fill on="f" focussize="0,0"/>
                        <v:stroke weight="1pt" color="#000000" joinstyle="round" startarrow="classic" startarrowwidth="wide" startarrowlength="long"/>
                        <v:imagedata o:title=""/>
                        <o:lock v:ext="edit" aspectratio="f"/>
                      </v:line>
                      <v:rect id="矩形 1439" o:spid="_x0000_s1026" o:spt="1" style="position:absolute;left:3022600;top:994410;height:215900;width:419100;" filled="f" stroked="f" coordsize="21600,21600" o:gfxdata="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&#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E6Tjk2AAAAAUBAAAPAAAAAAAAAAEAIAAAACIAAABk&#10;cnMvZG93bnJldi54bWxQSwECFAAUAAAACACHTuJAbgeyeM0BAACCAwAADgAAAAAAAAABACAAAAAn&#10;AQAAZHJzL2Uyb0RvYy54bWxQSwUGAAAAAAYABgBZAQAAZgUAAAAA&#10;">
                        <v:fill on="f" focussize="0,0"/>
                        <v:stroke on="f"/>
                        <v:imagedata o:title=""/>
                        <o:lock v:ext="edit" aspectratio="f"/>
                        <v:textbox>
                          <w:txbxContent>
                            <w:p>
                              <w:pPr>
                                <w:rPr>
                                  <w:rFonts w:hint="default" w:eastAsia="宋体"/>
                                  <w:sz w:val="20"/>
                                  <w:szCs w:val="22"/>
                                  <w:lang w:val="en-US" w:eastAsia="zh-CN"/>
                                </w:rPr>
                              </w:pPr>
                              <w:r>
                                <w:rPr>
                                  <w:rFonts w:hint="eastAsia"/>
                                  <w:sz w:val="20"/>
                                  <w:szCs w:val="22"/>
                                  <w:lang w:val="en-US" w:eastAsia="zh-CN"/>
                                </w:rPr>
                                <w:t>0.2</w:t>
                              </w:r>
                            </w:p>
                          </w:txbxContent>
                        </v:textbox>
                      </v:rect>
                      <w10:wrap type="none"/>
                      <w10:anchorlock/>
                    </v:group>
                  </w:pict>
                </mc:Fallback>
              </mc:AlternateContent>
            </w:r>
          </w:p>
          <w:p>
            <w:pPr>
              <w:pStyle w:val="21"/>
              <w:spacing w:line="360" w:lineRule="auto"/>
              <w:ind w:left="0" w:firstLine="482" w:firstLineChars="200"/>
              <w:rPr>
                <w:b/>
                <w:bCs/>
                <w:color w:val="auto"/>
                <w:sz w:val="24"/>
                <w:highlight w:val="none"/>
              </w:rPr>
            </w:pPr>
            <w:r>
              <w:rPr>
                <w:b/>
                <w:bCs/>
                <w:color w:val="auto"/>
                <w:sz w:val="24"/>
                <w:highlight w:val="none"/>
              </w:rPr>
              <w:t>7.2供电</w:t>
            </w:r>
          </w:p>
          <w:p>
            <w:pPr>
              <w:pStyle w:val="21"/>
              <w:spacing w:line="360" w:lineRule="auto"/>
              <w:ind w:left="0" w:firstLine="480" w:firstLineChars="200"/>
              <w:rPr>
                <w:color w:val="auto"/>
                <w:sz w:val="24"/>
                <w:highlight w:val="none"/>
              </w:rPr>
            </w:pPr>
            <w:r>
              <w:rPr>
                <w:color w:val="auto"/>
                <w:sz w:val="24"/>
                <w:highlight w:val="none"/>
              </w:rPr>
              <w:t>由市政供电线路接入，满足项目需求。</w:t>
            </w:r>
          </w:p>
          <w:p>
            <w:pPr>
              <w:pStyle w:val="21"/>
              <w:spacing w:line="360" w:lineRule="auto"/>
              <w:ind w:left="0" w:firstLine="482" w:firstLineChars="200"/>
              <w:rPr>
                <w:b/>
                <w:bCs/>
                <w:color w:val="auto"/>
                <w:sz w:val="24"/>
                <w:highlight w:val="none"/>
              </w:rPr>
            </w:pPr>
            <w:r>
              <w:rPr>
                <w:b/>
                <w:bCs/>
                <w:color w:val="auto"/>
                <w:sz w:val="24"/>
                <w:highlight w:val="none"/>
              </w:rPr>
              <w:t>7.3供热及其他热源</w:t>
            </w:r>
          </w:p>
          <w:p>
            <w:pPr>
              <w:adjustRightInd w:val="0"/>
              <w:snapToGrid w:val="0"/>
              <w:spacing w:line="360" w:lineRule="auto"/>
              <w:ind w:firstLine="480" w:firstLineChars="200"/>
              <w:rPr>
                <w:color w:val="auto"/>
                <w:sz w:val="24"/>
                <w:highlight w:val="none"/>
              </w:rPr>
            </w:pPr>
            <w:r>
              <w:rPr>
                <w:color w:val="auto"/>
                <w:sz w:val="24"/>
                <w:highlight w:val="none"/>
              </w:rPr>
              <w:t>车间冬季供热依托区域市政供热管网。</w:t>
            </w:r>
          </w:p>
          <w:p>
            <w:pPr>
              <w:adjustRightInd w:val="0"/>
              <w:snapToGrid w:val="0"/>
              <w:spacing w:line="360" w:lineRule="auto"/>
              <w:ind w:firstLine="480" w:firstLineChars="200"/>
              <w:rPr>
                <w:color w:val="auto"/>
                <w:sz w:val="24"/>
                <w:highlight w:val="none"/>
              </w:rPr>
            </w:pPr>
            <w:r>
              <w:rPr>
                <w:color w:val="auto"/>
                <w:sz w:val="24"/>
                <w:highlight w:val="none"/>
              </w:rPr>
              <w:t>本项目工艺需要加热，热源为电加热。</w:t>
            </w:r>
          </w:p>
          <w:p>
            <w:pPr>
              <w:pStyle w:val="21"/>
              <w:spacing w:line="360" w:lineRule="auto"/>
              <w:ind w:left="0" w:firstLine="482" w:firstLineChars="200"/>
              <w:rPr>
                <w:b/>
                <w:bCs/>
                <w:color w:val="auto"/>
                <w:sz w:val="24"/>
                <w:highlight w:val="none"/>
              </w:rPr>
            </w:pPr>
            <w:r>
              <w:rPr>
                <w:b/>
                <w:bCs/>
                <w:color w:val="auto"/>
                <w:sz w:val="24"/>
                <w:highlight w:val="none"/>
              </w:rPr>
              <w:t>7.4劳动定员</w:t>
            </w:r>
          </w:p>
          <w:p>
            <w:pPr>
              <w:spacing w:line="360" w:lineRule="auto"/>
              <w:ind w:firstLine="480" w:firstLineChars="200"/>
              <w:rPr>
                <w:color w:val="auto"/>
                <w:sz w:val="24"/>
                <w:highlight w:val="none"/>
              </w:rPr>
            </w:pPr>
            <w:r>
              <w:rPr>
                <w:color w:val="auto"/>
                <w:sz w:val="24"/>
                <w:highlight w:val="none"/>
              </w:rPr>
              <w:t>项目整个建设总工期为</w:t>
            </w:r>
            <w:r>
              <w:rPr>
                <w:rFonts w:hint="eastAsia"/>
                <w:color w:val="auto"/>
                <w:sz w:val="24"/>
                <w:highlight w:val="none"/>
                <w:lang w:val="en-US" w:eastAsia="zh-CN"/>
              </w:rPr>
              <w:t>12</w:t>
            </w:r>
            <w:r>
              <w:rPr>
                <w:color w:val="auto"/>
                <w:sz w:val="24"/>
                <w:highlight w:val="none"/>
              </w:rPr>
              <w:t>个月，预计施工时间为202</w:t>
            </w:r>
            <w:r>
              <w:rPr>
                <w:rFonts w:hint="eastAsia"/>
                <w:color w:val="auto"/>
                <w:sz w:val="24"/>
                <w:highlight w:val="none"/>
                <w:lang w:val="en-US" w:eastAsia="zh-CN"/>
              </w:rPr>
              <w:t>3</w:t>
            </w:r>
            <w:r>
              <w:rPr>
                <w:color w:val="auto"/>
                <w:sz w:val="24"/>
                <w:highlight w:val="none"/>
              </w:rPr>
              <w:t>年</w:t>
            </w:r>
            <w:r>
              <w:rPr>
                <w:rFonts w:hint="eastAsia"/>
                <w:color w:val="auto"/>
                <w:sz w:val="24"/>
                <w:highlight w:val="none"/>
                <w:lang w:val="en-US" w:eastAsia="zh-CN"/>
              </w:rPr>
              <w:t>6</w:t>
            </w:r>
            <w:r>
              <w:rPr>
                <w:color w:val="auto"/>
                <w:sz w:val="24"/>
                <w:highlight w:val="none"/>
              </w:rPr>
              <w:t>月开工，20</w:t>
            </w:r>
            <w:r>
              <w:rPr>
                <w:rFonts w:hint="eastAsia"/>
                <w:color w:val="auto"/>
                <w:sz w:val="24"/>
                <w:highlight w:val="none"/>
                <w:lang w:val="en-US" w:eastAsia="zh-CN"/>
              </w:rPr>
              <w:t>24</w:t>
            </w:r>
            <w:r>
              <w:rPr>
                <w:color w:val="auto"/>
                <w:sz w:val="24"/>
                <w:highlight w:val="none"/>
              </w:rPr>
              <w:t>年</w:t>
            </w:r>
            <w:r>
              <w:rPr>
                <w:rFonts w:hint="eastAsia"/>
                <w:color w:val="auto"/>
                <w:sz w:val="24"/>
                <w:highlight w:val="none"/>
                <w:lang w:val="en-US" w:eastAsia="zh-CN"/>
              </w:rPr>
              <w:t>5</w:t>
            </w:r>
            <w:r>
              <w:rPr>
                <w:color w:val="auto"/>
                <w:sz w:val="24"/>
                <w:highlight w:val="none"/>
              </w:rPr>
              <w:t>月正式投产。项目</w:t>
            </w:r>
            <w:r>
              <w:rPr>
                <w:rFonts w:hint="eastAsia"/>
                <w:color w:val="auto"/>
                <w:sz w:val="24"/>
                <w:highlight w:val="none"/>
                <w:lang w:eastAsia="zh-CN"/>
              </w:rPr>
              <w:t>新增</w:t>
            </w:r>
            <w:r>
              <w:rPr>
                <w:color w:val="auto"/>
                <w:sz w:val="24"/>
                <w:highlight w:val="none"/>
              </w:rPr>
              <w:t>劳动定员</w:t>
            </w:r>
            <w:r>
              <w:rPr>
                <w:rFonts w:hint="eastAsia"/>
                <w:color w:val="auto"/>
                <w:sz w:val="24"/>
                <w:highlight w:val="none"/>
                <w:lang w:val="en-US" w:eastAsia="zh-CN"/>
              </w:rPr>
              <w:t>25</w:t>
            </w:r>
            <w:r>
              <w:rPr>
                <w:color w:val="auto"/>
                <w:sz w:val="24"/>
                <w:highlight w:val="none"/>
              </w:rPr>
              <w:t>人，年工作时间</w:t>
            </w:r>
            <w:r>
              <w:rPr>
                <w:rFonts w:hint="eastAsia"/>
                <w:color w:val="auto"/>
                <w:sz w:val="24"/>
                <w:highlight w:val="none"/>
                <w:lang w:val="en-US" w:eastAsia="zh-CN"/>
              </w:rPr>
              <w:t>250</w:t>
            </w:r>
            <w:r>
              <w:rPr>
                <w:color w:val="auto"/>
                <w:sz w:val="24"/>
                <w:highlight w:val="none"/>
              </w:rPr>
              <w:t>天，</w:t>
            </w:r>
            <w:r>
              <w:rPr>
                <w:rFonts w:hint="eastAsia"/>
                <w:color w:val="auto"/>
                <w:sz w:val="24"/>
                <w:highlight w:val="none"/>
                <w:lang w:eastAsia="zh-CN"/>
              </w:rPr>
              <w:t>一</w:t>
            </w:r>
            <w:r>
              <w:rPr>
                <w:color w:val="auto"/>
                <w:sz w:val="24"/>
                <w:highlight w:val="none"/>
              </w:rPr>
              <w:t>班工作制，每班8h。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3" w:type="dxa"/>
            <w:vAlign w:val="center"/>
          </w:tcPr>
          <w:p>
            <w:pPr>
              <w:pStyle w:val="26"/>
              <w:adjustRightInd w:val="0"/>
              <w:snapToGrid w:val="0"/>
              <w:spacing w:before="0" w:beforeAutospacing="0" w:after="0" w:afterAutospacing="0"/>
              <w:jc w:val="center"/>
              <w:rPr>
                <w:rFonts w:ascii="Times New Roman" w:hAnsi="Times New Roman"/>
                <w:color w:val="auto"/>
                <w:szCs w:val="24"/>
                <w:highlight w:val="none"/>
              </w:rPr>
            </w:pPr>
            <w:r>
              <w:rPr>
                <w:rFonts w:ascii="Times New Roman" w:hAnsi="Times New Roman"/>
                <w:b/>
                <w:bCs/>
                <w:color w:val="auto"/>
                <w:szCs w:val="24"/>
                <w:highlight w:val="none"/>
              </w:rPr>
              <w:t>工艺流程和产排污环节</w:t>
            </w:r>
          </w:p>
        </w:tc>
        <w:tc>
          <w:tcPr>
            <w:tcW w:w="8281" w:type="dxa"/>
          </w:tcPr>
          <w:p>
            <w:pPr>
              <w:pStyle w:val="28"/>
              <w:spacing w:line="360" w:lineRule="auto"/>
              <w:ind w:firstLine="482" w:firstLineChars="200"/>
              <w:rPr>
                <w:b/>
                <w:bCs/>
                <w:color w:val="auto"/>
                <w:sz w:val="24"/>
                <w:highlight w:val="none"/>
              </w:rPr>
            </w:pPr>
            <w:r>
              <w:rPr>
                <w:b/>
                <w:bCs/>
                <w:color w:val="auto"/>
                <w:sz w:val="24"/>
                <w:highlight w:val="none"/>
              </w:rPr>
              <w:t>1.工艺流程</w:t>
            </w:r>
          </w:p>
          <w:p>
            <w:pPr>
              <w:pStyle w:val="28"/>
              <w:spacing w:line="360" w:lineRule="auto"/>
              <w:ind w:firstLine="482" w:firstLineChars="200"/>
              <w:rPr>
                <w:b/>
                <w:bCs/>
                <w:color w:val="auto"/>
                <w:sz w:val="24"/>
                <w:highlight w:val="none"/>
              </w:rPr>
            </w:pPr>
            <w:r>
              <w:rPr>
                <w:b/>
                <w:bCs/>
                <w:color w:val="auto"/>
                <w:sz w:val="24"/>
                <w:highlight w:val="none"/>
              </w:rPr>
              <w:t>1.1施工期工艺流程</w:t>
            </w:r>
          </w:p>
          <w:p>
            <w:pPr>
              <w:pStyle w:val="28"/>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eastAsia"/>
                <w:color w:val="auto"/>
                <w:sz w:val="24"/>
                <w:highlight w:val="none"/>
              </w:rPr>
              <w:t>本项目不新增占地，利用企业现厂房内产品存储区新购置生产线进行生产</w:t>
            </w:r>
            <w:r>
              <w:rPr>
                <w:color w:val="auto"/>
                <w:sz w:val="24"/>
                <w:highlight w:val="none"/>
              </w:rPr>
              <w:t>，</w:t>
            </w:r>
            <w:r>
              <w:rPr>
                <w:rFonts w:hint="eastAsia"/>
                <w:color w:val="auto"/>
                <w:sz w:val="24"/>
                <w:highlight w:val="none"/>
                <w:lang w:eastAsia="zh-CN"/>
              </w:rPr>
              <w:t>不涉及拆除工作，且</w:t>
            </w:r>
            <w:r>
              <w:rPr>
                <w:color w:val="auto"/>
                <w:sz w:val="24"/>
                <w:highlight w:val="none"/>
              </w:rPr>
              <w:t>厂房已建成多年，施工期无土建工程，仅为设备安装。故施工期工艺略。</w:t>
            </w:r>
            <w:r>
              <w:rPr>
                <w:rFonts w:hint="eastAsia" w:ascii="Times New Roman" w:hAnsi="Times New Roman" w:eastAsia="宋体" w:cs="Times New Roman"/>
                <w:b w:val="0"/>
                <w:bCs/>
                <w:color w:val="auto"/>
                <w:kern w:val="2"/>
                <w:sz w:val="24"/>
                <w:szCs w:val="24"/>
                <w:highlight w:val="none"/>
                <w:lang w:val="en-US" w:eastAsia="zh-CN" w:bidi="ar-SA"/>
              </w:rPr>
              <w:t>故不再进行施工期影响分析。</w:t>
            </w:r>
          </w:p>
          <w:p>
            <w:pPr>
              <w:pStyle w:val="21"/>
              <w:spacing w:line="360" w:lineRule="auto"/>
              <w:ind w:left="0" w:firstLine="482" w:firstLineChars="200"/>
              <w:rPr>
                <w:b/>
                <w:bCs/>
                <w:color w:val="auto"/>
                <w:sz w:val="24"/>
                <w:highlight w:val="none"/>
              </w:rPr>
            </w:pPr>
            <w:r>
              <w:rPr>
                <w:b/>
                <w:bCs/>
                <w:color w:val="auto"/>
                <w:sz w:val="24"/>
                <w:highlight w:val="none"/>
              </w:rPr>
              <w:t>1.2运营期工艺流程</w:t>
            </w:r>
          </w:p>
          <w:p>
            <w:pPr>
              <w:pStyle w:val="21"/>
              <w:spacing w:line="360" w:lineRule="auto"/>
              <w:ind w:left="0" w:firstLine="480" w:firstLineChars="200"/>
              <w:rPr>
                <w:color w:val="auto"/>
                <w:sz w:val="24"/>
                <w:highlight w:val="none"/>
              </w:rPr>
            </w:pPr>
            <w:r>
              <w:rPr>
                <w:color w:val="auto"/>
                <w:sz w:val="24"/>
                <w:highlight w:val="none"/>
              </w:rPr>
              <w:t>本项目运营期生产工艺流程如下：</w:t>
            </w:r>
          </w:p>
          <w:p>
            <w:pPr>
              <w:spacing w:line="360" w:lineRule="auto"/>
              <w:ind w:firstLine="480" w:firstLineChars="200"/>
              <w:rPr>
                <w:b/>
                <w:bCs/>
                <w:color w:val="auto"/>
                <w:sz w:val="24"/>
                <w:highlight w:val="none"/>
              </w:rPr>
            </w:pPr>
            <w:r>
              <w:rPr>
                <w:rFonts w:hint="default" w:ascii="Times New Roman" w:hAnsi="Times New Roman" w:cs="Times New Roman"/>
                <w:b w:val="0"/>
                <w:bCs w:val="0"/>
                <w:color w:val="auto"/>
                <w:sz w:val="24"/>
                <w:szCs w:val="24"/>
                <w:highlight w:val="none"/>
                <w:u w:val="none" w:color="auto"/>
                <w:shd w:val="clear" w:color="auto" w:fill="auto"/>
                <w:lang w:val="en-US" w:eastAsia="zh-CN"/>
              </w:rPr>
              <w:drawing>
                <wp:anchor distT="0" distB="0" distL="114300" distR="114300" simplePos="0" relativeHeight="251663360" behindDoc="1" locked="0" layoutInCell="1" allowOverlap="1">
                  <wp:simplePos x="0" y="0"/>
                  <wp:positionH relativeFrom="column">
                    <wp:posOffset>92075</wp:posOffset>
                  </wp:positionH>
                  <wp:positionV relativeFrom="paragraph">
                    <wp:posOffset>41910</wp:posOffset>
                  </wp:positionV>
                  <wp:extent cx="5045075" cy="2973705"/>
                  <wp:effectExtent l="9525" t="9525" r="12700" b="26670"/>
                  <wp:wrapNone/>
                  <wp:docPr id="64" name="图片 1" descr="饭田工艺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 descr="饭田工艺流程图"/>
                          <pic:cNvPicPr>
                            <a:picLocks noChangeAspect="1"/>
                          </pic:cNvPicPr>
                        </pic:nvPicPr>
                        <pic:blipFill>
                          <a:blip r:embed="rId7"/>
                          <a:stretch>
                            <a:fillRect/>
                          </a:stretch>
                        </pic:blipFill>
                        <pic:spPr>
                          <a:xfrm>
                            <a:off x="0" y="0"/>
                            <a:ext cx="5045075" cy="2973705"/>
                          </a:xfrm>
                          <a:prstGeom prst="rect">
                            <a:avLst/>
                          </a:prstGeom>
                          <a:noFill/>
                          <a:ln w="9525" cap="flat" cmpd="sng">
                            <a:solidFill>
                              <a:srgbClr val="000000"/>
                            </a:solidFill>
                            <a:prstDash val="solid"/>
                            <a:miter/>
                            <a:headEnd type="none" w="med" len="med"/>
                            <a:tailEnd type="none" w="med" len="med"/>
                          </a:ln>
                        </pic:spPr>
                      </pic:pic>
                    </a:graphicData>
                  </a:graphic>
                </wp:anchor>
              </w:drawing>
            </w:r>
          </w:p>
          <w:p>
            <w:pPr>
              <w:pStyle w:val="40"/>
              <w:ind w:firstLine="482"/>
              <w:rPr>
                <w:rFonts w:ascii="Times New Roman" w:hAnsi="Times New Roman" w:cs="Times New Roman"/>
                <w:b/>
                <w:bCs/>
                <w:color w:val="auto"/>
                <w:sz w:val="24"/>
                <w:highlight w:val="none"/>
              </w:rPr>
            </w:pPr>
          </w:p>
          <w:p>
            <w:pPr>
              <w:pStyle w:val="40"/>
              <w:ind w:firstLine="482"/>
              <w:rPr>
                <w:rFonts w:ascii="Times New Roman" w:hAnsi="Times New Roman" w:cs="Times New Roman"/>
                <w:b/>
                <w:bCs/>
                <w:color w:val="auto"/>
                <w:sz w:val="24"/>
                <w:highlight w:val="none"/>
              </w:rPr>
            </w:pPr>
          </w:p>
          <w:p>
            <w:pPr>
              <w:pStyle w:val="40"/>
              <w:rPr>
                <w:rFonts w:ascii="Times New Roman" w:hAnsi="Times New Roman" w:cs="Times New Roman"/>
                <w:b/>
                <w:bCs/>
                <w:color w:val="auto"/>
                <w:sz w:val="24"/>
                <w:highlight w:val="none"/>
              </w:rPr>
            </w:pPr>
          </w:p>
          <w:p>
            <w:pPr>
              <w:pStyle w:val="40"/>
              <w:ind w:firstLine="482"/>
              <w:rPr>
                <w:rFonts w:ascii="Times New Roman" w:hAnsi="Times New Roman" w:cs="Times New Roman"/>
                <w:b/>
                <w:bCs/>
                <w:color w:val="auto"/>
                <w:sz w:val="24"/>
                <w:highlight w:val="none"/>
              </w:rPr>
            </w:pPr>
          </w:p>
          <w:p>
            <w:pPr>
              <w:pStyle w:val="40"/>
              <w:ind w:firstLine="480"/>
              <w:rPr>
                <w:rFonts w:ascii="Times New Roman" w:hAnsi="Times New Roman" w:cs="Times New Roman"/>
                <w:b/>
                <w:bCs/>
                <w:color w:val="auto"/>
                <w:sz w:val="24"/>
                <w:highlight w:val="none"/>
              </w:rPr>
            </w:pPr>
          </w:p>
          <w:p>
            <w:pPr>
              <w:pStyle w:val="40"/>
              <w:ind w:firstLine="480"/>
              <w:rPr>
                <w:rFonts w:ascii="Times New Roman" w:hAnsi="Times New Roman" w:cs="Times New Roman"/>
                <w:b/>
                <w:bCs/>
                <w:color w:val="auto"/>
                <w:sz w:val="24"/>
                <w:highlight w:val="none"/>
              </w:rPr>
            </w:pPr>
          </w:p>
          <w:p>
            <w:pPr>
              <w:pStyle w:val="40"/>
              <w:ind w:firstLine="480"/>
              <w:rPr>
                <w:rFonts w:ascii="Times New Roman" w:hAnsi="Times New Roman" w:cs="Times New Roman"/>
                <w:b/>
                <w:bCs/>
                <w:color w:val="auto"/>
                <w:sz w:val="24"/>
                <w:highlight w:val="none"/>
              </w:rPr>
            </w:pPr>
            <w:r>
              <w:rPr>
                <w:rFonts w:ascii="Times New Roman" w:hAnsi="Times New Roman" w:cs="Times New Roman"/>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3382010</wp:posOffset>
                      </wp:positionH>
                      <wp:positionV relativeFrom="paragraph">
                        <wp:posOffset>222885</wp:posOffset>
                      </wp:positionV>
                      <wp:extent cx="1682750" cy="476885"/>
                      <wp:effectExtent l="4445" t="4445" r="8255" b="13970"/>
                      <wp:wrapNone/>
                      <wp:docPr id="39" name="文本框 1495"/>
                      <wp:cNvGraphicFramePr/>
                      <a:graphic xmlns:a="http://schemas.openxmlformats.org/drawingml/2006/main">
                        <a:graphicData uri="http://schemas.microsoft.com/office/word/2010/wordprocessingShape">
                          <wps:wsp>
                            <wps:cNvSpPr txBox="1"/>
                            <wps:spPr>
                              <a:xfrm>
                                <a:off x="0" y="0"/>
                                <a:ext cx="1682750" cy="476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538" w:leftChars="85" w:hanging="360" w:hangingChars="200"/>
                                    <w:rPr>
                                      <w:color w:val="595959" w:themeColor="text1" w:themeTint="A6"/>
                                      <w:sz w:val="18"/>
                                      <w:szCs w:val="18"/>
                                      <w14:textFill>
                                        <w14:solidFill>
                                          <w14:schemeClr w14:val="tx1">
                                            <w14:lumMod w14:val="65000"/>
                                            <w14:lumOff w14:val="35000"/>
                                          </w14:schemeClr>
                                        </w14:solidFill>
                                      </w14:textFill>
                                    </w:rPr>
                                  </w:pPr>
                                  <w:r>
                                    <w:rPr>
                                      <w:rFonts w:hint="eastAsia"/>
                                      <w:color w:val="595959" w:themeColor="text1" w:themeTint="A6"/>
                                      <w:sz w:val="18"/>
                                      <w:szCs w:val="18"/>
                                      <w14:textFill>
                                        <w14:solidFill>
                                          <w14:schemeClr w14:val="tx1">
                                            <w14:lumMod w14:val="65000"/>
                                            <w14:lumOff w14:val="35000"/>
                                          </w14:schemeClr>
                                        </w14:solidFill>
                                      </w14:textFill>
                                    </w:rPr>
                                    <w:t xml:space="preserve">图例：噪声—N  废气—G  </w:t>
                                  </w:r>
                                </w:p>
                                <w:p>
                                  <w:pPr>
                                    <w:ind w:firstLine="720" w:firstLineChars="400"/>
                                    <w:rPr>
                                      <w:color w:val="595959" w:themeColor="text1" w:themeTint="A6"/>
                                      <w:sz w:val="18"/>
                                      <w:szCs w:val="18"/>
                                      <w14:textFill>
                                        <w14:solidFill>
                                          <w14:schemeClr w14:val="tx1">
                                            <w14:lumMod w14:val="65000"/>
                                            <w14:lumOff w14:val="35000"/>
                                          </w14:schemeClr>
                                        </w14:solidFill>
                                      </w14:textFill>
                                    </w:rPr>
                                  </w:pPr>
                                  <w:r>
                                    <w:rPr>
                                      <w:rFonts w:hint="eastAsia"/>
                                      <w:color w:val="595959" w:themeColor="text1" w:themeTint="A6"/>
                                      <w:sz w:val="18"/>
                                      <w:szCs w:val="18"/>
                                      <w14:textFill>
                                        <w14:solidFill>
                                          <w14:schemeClr w14:val="tx1">
                                            <w14:lumMod w14:val="65000"/>
                                            <w14:lumOff w14:val="35000"/>
                                          </w14:schemeClr>
                                        </w14:solidFill>
                                      </w14:textFill>
                                    </w:rPr>
                                    <w:t>废水—W  固废—S</w:t>
                                  </w:r>
                                </w:p>
                              </w:txbxContent>
                            </wps:txbx>
                            <wps:bodyPr wrap="square" upright="1"/>
                          </wps:wsp>
                        </a:graphicData>
                      </a:graphic>
                    </wp:anchor>
                  </w:drawing>
                </mc:Choice>
                <mc:Fallback>
                  <w:pict>
                    <v:shape id="文本框 1495" o:spid="_x0000_s1026" o:spt="202" type="#_x0000_t202" style="position:absolute;left:0pt;margin-left:266.3pt;margin-top:17.55pt;height:37.55pt;width:132.5pt;z-index:251662336;mso-width-relative:page;mso-height-relative:page;" fillcolor="#FFFFFF" filled="t" stroked="t" coordsize="21600,21600" o:gfxdata="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mzSDldkAAAAK&#10;AQAADwAAAAAAAAABACAAAAAiAAAAZHJzL2Rvd25yZXYueG1sUEsBAhQAFAAAAAgAh07iQDz3K84b&#10;AgAASAQAAA4AAAAAAAAAAQAgAAAAKAEAAGRycy9lMm9Eb2MueG1sUEsFBgAAAAAGAAYAWQEAALUF&#10;AAAAAA==&#10;">
                      <v:fill on="t" focussize="0,0"/>
                      <v:stroke color="#000000" joinstyle="miter"/>
                      <v:imagedata o:title=""/>
                      <o:lock v:ext="edit" aspectratio="f"/>
                      <v:textbox>
                        <w:txbxContent>
                          <w:p>
                            <w:pPr>
                              <w:ind w:left="538" w:leftChars="85" w:hanging="360" w:hangingChars="200"/>
                              <w:rPr>
                                <w:color w:val="595959" w:themeColor="text1" w:themeTint="A6"/>
                                <w:sz w:val="18"/>
                                <w:szCs w:val="18"/>
                                <w14:textFill>
                                  <w14:solidFill>
                                    <w14:schemeClr w14:val="tx1">
                                      <w14:lumMod w14:val="65000"/>
                                      <w14:lumOff w14:val="35000"/>
                                    </w14:schemeClr>
                                  </w14:solidFill>
                                </w14:textFill>
                              </w:rPr>
                            </w:pPr>
                            <w:r>
                              <w:rPr>
                                <w:rFonts w:hint="eastAsia"/>
                                <w:color w:val="595959" w:themeColor="text1" w:themeTint="A6"/>
                                <w:sz w:val="18"/>
                                <w:szCs w:val="18"/>
                                <w14:textFill>
                                  <w14:solidFill>
                                    <w14:schemeClr w14:val="tx1">
                                      <w14:lumMod w14:val="65000"/>
                                      <w14:lumOff w14:val="35000"/>
                                    </w14:schemeClr>
                                  </w14:solidFill>
                                </w14:textFill>
                              </w:rPr>
                              <w:t xml:space="preserve">图例：噪声—N  废气—G  </w:t>
                            </w:r>
                          </w:p>
                          <w:p>
                            <w:pPr>
                              <w:ind w:firstLine="720" w:firstLineChars="400"/>
                              <w:rPr>
                                <w:color w:val="595959" w:themeColor="text1" w:themeTint="A6"/>
                                <w:sz w:val="18"/>
                                <w:szCs w:val="18"/>
                                <w14:textFill>
                                  <w14:solidFill>
                                    <w14:schemeClr w14:val="tx1">
                                      <w14:lumMod w14:val="65000"/>
                                      <w14:lumOff w14:val="35000"/>
                                    </w14:schemeClr>
                                  </w14:solidFill>
                                </w14:textFill>
                              </w:rPr>
                            </w:pPr>
                            <w:r>
                              <w:rPr>
                                <w:rFonts w:hint="eastAsia"/>
                                <w:color w:val="595959" w:themeColor="text1" w:themeTint="A6"/>
                                <w:sz w:val="18"/>
                                <w:szCs w:val="18"/>
                                <w14:textFill>
                                  <w14:solidFill>
                                    <w14:schemeClr w14:val="tx1">
                                      <w14:lumMod w14:val="65000"/>
                                      <w14:lumOff w14:val="35000"/>
                                    </w14:schemeClr>
                                  </w14:solidFill>
                                </w14:textFill>
                              </w:rPr>
                              <w:t>废水—W  固废—S</w:t>
                            </w:r>
                          </w:p>
                        </w:txbxContent>
                      </v:textbox>
                    </v:shape>
                  </w:pict>
                </mc:Fallback>
              </mc:AlternateContent>
            </w:r>
          </w:p>
          <w:p>
            <w:pPr>
              <w:pStyle w:val="40"/>
              <w:ind w:firstLine="480"/>
              <w:rPr>
                <w:rFonts w:ascii="Times New Roman" w:hAnsi="Times New Roman" w:cs="Times New Roman"/>
                <w:b/>
                <w:bCs/>
                <w:color w:val="auto"/>
                <w:sz w:val="24"/>
                <w:highlight w:val="none"/>
              </w:rPr>
            </w:pPr>
          </w:p>
          <w:p>
            <w:pPr>
              <w:pStyle w:val="40"/>
              <w:ind w:firstLine="482"/>
              <w:rPr>
                <w:rFonts w:ascii="Times New Roman" w:hAnsi="Times New Roman" w:cs="Times New Roman"/>
                <w:b/>
                <w:bCs/>
                <w:color w:val="auto"/>
                <w:sz w:val="24"/>
                <w:highlight w:val="none"/>
              </w:rPr>
            </w:pPr>
          </w:p>
          <w:p>
            <w:pPr>
              <w:spacing w:line="360" w:lineRule="auto"/>
              <w:ind w:firstLine="480" w:firstLineChars="200"/>
              <w:rPr>
                <w:b/>
                <w:bCs/>
                <w:color w:val="auto"/>
                <w:sz w:val="24"/>
                <w:highlight w:val="none"/>
              </w:rPr>
            </w:pPr>
            <w:r>
              <w:rPr>
                <w:rFonts w:ascii="Times New Roman" w:hAnsi="Times New Roman" w:cs="Times New Roman"/>
                <w:color w:val="auto"/>
                <w:sz w:val="24"/>
                <w:highlight w:val="none"/>
              </w:rPr>
              <mc:AlternateContent>
                <mc:Choice Requires="wps">
                  <w:drawing>
                    <wp:anchor distT="0" distB="0" distL="114300" distR="114300" simplePos="0" relativeHeight="251661312" behindDoc="0" locked="0" layoutInCell="1" allowOverlap="1">
                      <wp:simplePos x="0" y="0"/>
                      <wp:positionH relativeFrom="column">
                        <wp:posOffset>980440</wp:posOffset>
                      </wp:positionH>
                      <wp:positionV relativeFrom="paragraph">
                        <wp:posOffset>26035</wp:posOffset>
                      </wp:positionV>
                      <wp:extent cx="3201670" cy="325755"/>
                      <wp:effectExtent l="0" t="0" r="0" b="0"/>
                      <wp:wrapNone/>
                      <wp:docPr id="28" name="文本框 28"/>
                      <wp:cNvGraphicFramePr/>
                      <a:graphic xmlns:a="http://schemas.openxmlformats.org/drawingml/2006/main">
                        <a:graphicData uri="http://schemas.microsoft.com/office/word/2010/wordprocessingShape">
                          <wps:wsp>
                            <wps:cNvSpPr txBox="1"/>
                            <wps:spPr>
                              <a:xfrm>
                                <a:off x="3099435" y="5320030"/>
                                <a:ext cx="3201670" cy="3257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sz w:val="24"/>
                                      <w:szCs w:val="32"/>
                                    </w:rPr>
                                  </w:pPr>
                                  <w:r>
                                    <w:rPr>
                                      <w:rFonts w:hint="eastAsia"/>
                                      <w:b/>
                                      <w:bCs/>
                                      <w:sz w:val="24"/>
                                      <w:szCs w:val="32"/>
                                    </w:rPr>
                                    <w:t xml:space="preserve">  图2-2  </w:t>
                                  </w:r>
                                  <w:r>
                                    <w:rPr>
                                      <w:rFonts w:hint="eastAsia"/>
                                      <w:b/>
                                      <w:bCs/>
                                      <w:sz w:val="24"/>
                                      <w:szCs w:val="32"/>
                                      <w:lang w:eastAsia="zh-CN"/>
                                    </w:rPr>
                                    <w:t>树脂隔音材料</w:t>
                                  </w:r>
                                  <w:r>
                                    <w:rPr>
                                      <w:rFonts w:hint="eastAsia"/>
                                      <w:b/>
                                      <w:bCs/>
                                      <w:color w:val="auto"/>
                                      <w:sz w:val="24"/>
                                      <w:szCs w:val="32"/>
                                    </w:rPr>
                                    <w:t>工</w:t>
                                  </w:r>
                                  <w:r>
                                    <w:rPr>
                                      <w:rFonts w:hint="eastAsia"/>
                                      <w:b/>
                                      <w:bCs/>
                                      <w:sz w:val="24"/>
                                      <w:szCs w:val="32"/>
                                    </w:rPr>
                                    <w:t>艺流程图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2pt;margin-top:2.05pt;height:25.65pt;width:252.1pt;z-index:251661312;mso-width-relative:page;mso-height-relative:page;" filled="f" stroked="f" coordsize="21600,21600" o:gfxdata="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SbMTYAAAACAEAAA8AAAAAAAAAAQAg&#10;AAAAIgAAAGRycy9kb3ducmV2LnhtbFBLAQIUABQAAAAIAIdO4kAkYe1CRwIAAHQEAAAOAAAAAAAA&#10;AAEAIAAAACcBAABkcnMvZTJvRG9jLnhtbFBLBQYAAAAABgAGAFkBAADgBQAAAAA=&#10;">
                      <v:fill on="f" focussize="0,0"/>
                      <v:stroke on="f" weight="0.5pt"/>
                      <v:imagedata o:title=""/>
                      <o:lock v:ext="edit" aspectratio="f"/>
                      <v:textbox>
                        <w:txbxContent>
                          <w:p>
                            <w:pPr>
                              <w:rPr>
                                <w:b/>
                                <w:bCs/>
                                <w:sz w:val="24"/>
                                <w:szCs w:val="32"/>
                              </w:rPr>
                            </w:pPr>
                            <w:r>
                              <w:rPr>
                                <w:rFonts w:hint="eastAsia"/>
                                <w:b/>
                                <w:bCs/>
                                <w:sz w:val="24"/>
                                <w:szCs w:val="32"/>
                              </w:rPr>
                              <w:t xml:space="preserve">  图2-2  </w:t>
                            </w:r>
                            <w:r>
                              <w:rPr>
                                <w:rFonts w:hint="eastAsia"/>
                                <w:b/>
                                <w:bCs/>
                                <w:sz w:val="24"/>
                                <w:szCs w:val="32"/>
                                <w:lang w:eastAsia="zh-CN"/>
                              </w:rPr>
                              <w:t>树脂隔音材料</w:t>
                            </w:r>
                            <w:r>
                              <w:rPr>
                                <w:rFonts w:hint="eastAsia"/>
                                <w:b/>
                                <w:bCs/>
                                <w:color w:val="auto"/>
                                <w:sz w:val="24"/>
                                <w:szCs w:val="32"/>
                              </w:rPr>
                              <w:t>工</w:t>
                            </w:r>
                            <w:r>
                              <w:rPr>
                                <w:rFonts w:hint="eastAsia"/>
                                <w:b/>
                                <w:bCs/>
                                <w:sz w:val="24"/>
                                <w:szCs w:val="32"/>
                              </w:rPr>
                              <w:t>艺流程图</w:t>
                            </w:r>
                          </w:p>
                        </w:txbxContent>
                      </v:textbox>
                    </v:shape>
                  </w:pict>
                </mc:Fallback>
              </mc:AlternateContent>
            </w:r>
          </w:p>
          <w:p>
            <w:pPr>
              <w:spacing w:line="360" w:lineRule="auto"/>
              <w:ind w:firstLine="482" w:firstLineChars="200"/>
              <w:rPr>
                <w:b/>
                <w:bCs/>
                <w:color w:val="auto"/>
                <w:sz w:val="24"/>
                <w:highlight w:val="none"/>
              </w:rPr>
            </w:pPr>
          </w:p>
          <w:p>
            <w:pPr>
              <w:spacing w:line="360" w:lineRule="auto"/>
              <w:ind w:firstLine="482" w:firstLineChars="200"/>
              <w:rPr>
                <w:color w:val="auto"/>
                <w:sz w:val="24"/>
                <w:highlight w:val="none"/>
              </w:rPr>
            </w:pPr>
            <w:r>
              <w:rPr>
                <w:b/>
                <w:bCs/>
                <w:color w:val="auto"/>
                <w:sz w:val="24"/>
                <w:highlight w:val="none"/>
              </w:rPr>
              <w:t>工艺流程及产污节点简述：</w:t>
            </w:r>
          </w:p>
          <w:p>
            <w:pPr>
              <w:pStyle w:val="97"/>
              <w:keepNext w:val="0"/>
              <w:keepLines w:val="0"/>
              <w:pageBreakBefore w:val="0"/>
              <w:widowControl w:val="0"/>
              <w:numPr>
                <w:ilvl w:val="0"/>
                <w:numId w:val="0"/>
              </w:numPr>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b w:val="0"/>
                <w:bCs w:val="0"/>
                <w:i w:val="0"/>
                <w:iCs w:val="0"/>
                <w:color w:val="auto"/>
                <w:sz w:val="24"/>
                <w:szCs w:val="24"/>
                <w:highlight w:val="none"/>
                <w:u w:val="none" w:color="auto"/>
                <w:shd w:val="clear" w:color="auto" w:fill="auto"/>
                <w:lang w:val="en-US" w:eastAsia="zh-CN"/>
              </w:rPr>
            </w:pPr>
            <w:r>
              <w:rPr>
                <w:rFonts w:hint="eastAsia" w:cs="Times New Roman"/>
                <w:b w:val="0"/>
                <w:bCs w:val="0"/>
                <w:i w:val="0"/>
                <w:iCs w:val="0"/>
                <w:color w:val="auto"/>
                <w:sz w:val="24"/>
                <w:szCs w:val="24"/>
                <w:highlight w:val="none"/>
                <w:u w:val="none" w:color="auto"/>
                <w:shd w:val="clear" w:color="auto" w:fill="auto"/>
                <w:lang w:val="en-US" w:eastAsia="zh-CN"/>
              </w:rPr>
              <w:t>A、</w:t>
            </w:r>
            <w:r>
              <w:rPr>
                <w:rFonts w:hint="default" w:ascii="Times New Roman" w:hAnsi="Times New Roman" w:eastAsia="宋体" w:cs="Times New Roman"/>
                <w:b w:val="0"/>
                <w:bCs w:val="0"/>
                <w:i w:val="0"/>
                <w:iCs w:val="0"/>
                <w:color w:val="auto"/>
                <w:sz w:val="24"/>
                <w:szCs w:val="24"/>
                <w:highlight w:val="none"/>
                <w:u w:val="none" w:color="auto"/>
                <w:shd w:val="clear" w:color="auto" w:fill="auto"/>
                <w:lang w:val="en-US" w:eastAsia="zh-CN"/>
              </w:rPr>
              <w:t>拆包</w:t>
            </w:r>
          </w:p>
          <w:p>
            <w:pPr>
              <w:pStyle w:val="97"/>
              <w:keepNext w:val="0"/>
              <w:keepLines w:val="0"/>
              <w:pageBreakBefore w:val="0"/>
              <w:widowControl w:val="0"/>
              <w:numPr>
                <w:ilvl w:val="0"/>
                <w:numId w:val="0"/>
              </w:numPr>
              <w:kinsoku/>
              <w:wordWrap/>
              <w:overflowPunct/>
              <w:topLinePunct w:val="0"/>
              <w:autoSpaceDE/>
              <w:autoSpaceDN/>
              <w:bidi w:val="0"/>
              <w:adjustRightInd w:val="0"/>
              <w:snapToGrid w:val="0"/>
              <w:ind w:leftChars="200"/>
              <w:textAlignment w:val="auto"/>
              <w:rPr>
                <w:rFonts w:hint="default" w:ascii="Times New Roman" w:hAnsi="Times New Roman" w:eastAsia="宋体" w:cs="Times New Roman"/>
                <w:b w:val="0"/>
                <w:bCs w:val="0"/>
                <w:i w:val="0"/>
                <w:iCs w:val="0"/>
                <w:color w:val="auto"/>
                <w:sz w:val="24"/>
                <w:szCs w:val="24"/>
                <w:highlight w:val="none"/>
                <w:u w:val="none" w:color="auto"/>
                <w:shd w:val="clear" w:color="auto" w:fill="auto"/>
                <w:lang w:val="en-US" w:eastAsia="zh-CN"/>
              </w:rPr>
            </w:pPr>
            <w:r>
              <w:rPr>
                <w:rFonts w:hint="default" w:ascii="Times New Roman" w:hAnsi="Times New Roman" w:eastAsia="宋体" w:cs="Times New Roman"/>
                <w:b w:val="0"/>
                <w:bCs w:val="0"/>
                <w:i w:val="0"/>
                <w:iCs w:val="0"/>
                <w:color w:val="auto"/>
                <w:sz w:val="24"/>
                <w:szCs w:val="24"/>
                <w:highlight w:val="none"/>
                <w:u w:val="none" w:color="auto"/>
                <w:shd w:val="clear" w:color="auto" w:fill="auto"/>
                <w:lang w:val="en-US" w:eastAsia="zh-CN"/>
              </w:rPr>
              <w:t>将入厂原辅料包装进行拆除。此工序将产生</w:t>
            </w:r>
            <w:r>
              <w:rPr>
                <w:rFonts w:hint="eastAsia" w:cs="Times New Roman"/>
                <w:b w:val="0"/>
                <w:bCs w:val="0"/>
                <w:i w:val="0"/>
                <w:iCs w:val="0"/>
                <w:color w:val="auto"/>
                <w:sz w:val="24"/>
                <w:szCs w:val="24"/>
                <w:highlight w:val="none"/>
                <w:u w:val="none" w:color="auto"/>
                <w:shd w:val="clear" w:color="auto" w:fill="auto"/>
                <w:lang w:val="en-US" w:eastAsia="zh-CN"/>
              </w:rPr>
              <w:t>原料</w:t>
            </w:r>
            <w:r>
              <w:rPr>
                <w:rFonts w:hint="default" w:ascii="Times New Roman" w:hAnsi="Times New Roman" w:eastAsia="宋体" w:cs="Times New Roman"/>
                <w:b w:val="0"/>
                <w:bCs w:val="0"/>
                <w:i w:val="0"/>
                <w:iCs w:val="0"/>
                <w:color w:val="auto"/>
                <w:sz w:val="24"/>
                <w:szCs w:val="24"/>
                <w:highlight w:val="none"/>
                <w:u w:val="none" w:color="auto"/>
                <w:shd w:val="clear" w:color="auto" w:fill="auto"/>
                <w:lang w:val="en-US" w:eastAsia="zh-CN"/>
              </w:rPr>
              <w:t>废包装</w:t>
            </w:r>
            <w:r>
              <w:rPr>
                <w:rFonts w:hint="eastAsia" w:cs="Times New Roman"/>
                <w:b w:val="0"/>
                <w:bCs w:val="0"/>
                <w:i w:val="0"/>
                <w:iCs w:val="0"/>
                <w:color w:val="auto"/>
                <w:sz w:val="24"/>
                <w:szCs w:val="24"/>
                <w:highlight w:val="none"/>
                <w:u w:val="none" w:color="auto"/>
                <w:shd w:val="clear" w:color="auto" w:fill="auto"/>
                <w:lang w:val="en-US" w:eastAsia="zh-CN"/>
              </w:rPr>
              <w:t>袋</w:t>
            </w:r>
            <w:r>
              <w:rPr>
                <w:rFonts w:hint="default" w:ascii="Times New Roman" w:hAnsi="Times New Roman" w:eastAsia="宋体" w:cs="Times New Roman"/>
                <w:b w:val="0"/>
                <w:bCs w:val="0"/>
                <w:i w:val="0"/>
                <w:iCs w:val="0"/>
                <w:color w:val="auto"/>
                <w:sz w:val="24"/>
                <w:szCs w:val="24"/>
                <w:highlight w:val="none"/>
                <w:u w:val="none" w:color="auto"/>
                <w:shd w:val="clear" w:color="auto" w:fill="auto"/>
                <w:lang w:val="en-US" w:eastAsia="zh-CN"/>
              </w:rPr>
              <w:t>。</w:t>
            </w:r>
          </w:p>
          <w:p>
            <w:pPr>
              <w:pStyle w:val="97"/>
              <w:keepNext w:val="0"/>
              <w:keepLines w:val="0"/>
              <w:pageBreakBefore w:val="0"/>
              <w:widowControl w:val="0"/>
              <w:numPr>
                <w:ilvl w:val="0"/>
                <w:numId w:val="0"/>
              </w:numPr>
              <w:kinsoku/>
              <w:wordWrap/>
              <w:overflowPunct/>
              <w:topLinePunct w:val="0"/>
              <w:autoSpaceDE/>
              <w:autoSpaceDN/>
              <w:bidi w:val="0"/>
              <w:adjustRightInd w:val="0"/>
              <w:snapToGrid w:val="0"/>
              <w:ind w:firstLine="480" w:firstLineChars="200"/>
              <w:textAlignment w:val="auto"/>
              <w:rPr>
                <w:rFonts w:hint="default" w:ascii="Times New Roman" w:hAnsi="Times New Roman" w:cs="Times New Roman"/>
                <w:i w:val="0"/>
                <w:iCs w:val="0"/>
                <w:color w:val="auto"/>
                <w:sz w:val="24"/>
                <w:szCs w:val="24"/>
                <w:highlight w:val="none"/>
                <w:u w:val="none" w:color="auto"/>
                <w:lang w:val="en-US" w:eastAsia="zh-CN"/>
              </w:rPr>
            </w:pPr>
            <w:r>
              <w:rPr>
                <w:rFonts w:hint="eastAsia" w:cs="Times New Roman"/>
                <w:b w:val="0"/>
                <w:bCs w:val="0"/>
                <w:i w:val="0"/>
                <w:iCs w:val="0"/>
                <w:color w:val="auto"/>
                <w:sz w:val="24"/>
                <w:szCs w:val="24"/>
                <w:highlight w:val="none"/>
                <w:u w:val="none" w:color="auto"/>
                <w:shd w:val="clear" w:color="auto" w:fill="auto"/>
                <w:lang w:val="en-US" w:eastAsia="zh-CN"/>
              </w:rPr>
              <w:t>B、</w:t>
            </w:r>
            <w:r>
              <w:rPr>
                <w:rFonts w:hint="default" w:ascii="Times New Roman" w:hAnsi="Times New Roman" w:cs="Times New Roman"/>
                <w:b w:val="0"/>
                <w:bCs w:val="0"/>
                <w:i w:val="0"/>
                <w:iCs w:val="0"/>
                <w:color w:val="auto"/>
                <w:sz w:val="24"/>
                <w:szCs w:val="24"/>
                <w:highlight w:val="none"/>
                <w:u w:val="none" w:color="auto"/>
                <w:shd w:val="clear" w:color="auto" w:fill="auto"/>
                <w:lang w:val="en-US" w:eastAsia="zh-CN"/>
              </w:rPr>
              <w:t>注塑</w:t>
            </w:r>
          </w:p>
          <w:p>
            <w:pPr>
              <w:keepNext w:val="0"/>
              <w:keepLines w:val="0"/>
              <w:pageBreakBefore w:val="0"/>
              <w:widowControl w:val="0"/>
              <w:tabs>
                <w:tab w:val="center" w:pos="3360"/>
                <w:tab w:val="left" w:pos="4095"/>
                <w:tab w:val="left" w:pos="5565"/>
              </w:tabs>
              <w:kinsoku/>
              <w:wordWrap/>
              <w:overflowPunct/>
              <w:topLinePunct w:val="0"/>
              <w:autoSpaceDE w:val="0"/>
              <w:autoSpaceDN w:val="0"/>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宋体" w:cs="Times New Roman"/>
                <w:b w:val="0"/>
                <w:bCs/>
                <w:i w:val="0"/>
                <w:iCs w:val="0"/>
                <w:color w:val="auto"/>
                <w:sz w:val="24"/>
                <w:highlight w:val="none"/>
                <w:u w:val="none" w:color="auto"/>
                <w:lang w:val="en-US" w:eastAsia="zh-CN"/>
              </w:rPr>
            </w:pPr>
            <w:r>
              <w:rPr>
                <w:rFonts w:hint="default" w:ascii="Times New Roman" w:hAnsi="Times New Roman" w:eastAsia="宋体" w:cs="Times New Roman"/>
                <w:b w:val="0"/>
                <w:bCs/>
                <w:i w:val="0"/>
                <w:iCs w:val="0"/>
                <w:color w:val="auto"/>
                <w:sz w:val="24"/>
                <w:highlight w:val="none"/>
                <w:u w:val="none" w:color="auto"/>
                <w:lang w:val="en-US" w:eastAsia="zh-CN"/>
              </w:rPr>
              <w:t>将料箱中的塑料粒子（聚乙烯）由全封闭上料机输送至注塑机（无颗粒物产生），电加热使其熔融，（注塑温度一般控制在</w:t>
            </w:r>
            <w:r>
              <w:rPr>
                <w:rFonts w:hint="default" w:ascii="Times New Roman" w:hAnsi="Times New Roman" w:eastAsia="Times New Roman" w:cs="Times New Roman"/>
                <w:b w:val="0"/>
                <w:bCs w:val="0"/>
                <w:i w:val="0"/>
                <w:iCs w:val="0"/>
                <w:color w:val="auto"/>
                <w:sz w:val="24"/>
                <w:szCs w:val="24"/>
                <w:highlight w:val="none"/>
                <w:u w:val="none" w:color="auto"/>
                <w:shd w:val="clear" w:color="auto" w:fill="auto"/>
                <w:lang w:val="en-US" w:eastAsia="zh-CN"/>
              </w:rPr>
              <w:t>180~230℃</w:t>
            </w:r>
            <w:r>
              <w:rPr>
                <w:rFonts w:hint="default" w:ascii="Times New Roman" w:hAnsi="Times New Roman" w:eastAsia="宋体" w:cs="Times New Roman"/>
                <w:b w:val="0"/>
                <w:bCs/>
                <w:i w:val="0"/>
                <w:iCs w:val="0"/>
                <w:color w:val="auto"/>
                <w:sz w:val="24"/>
                <w:highlight w:val="none"/>
                <w:u w:val="none" w:color="auto"/>
                <w:lang w:val="en-US" w:eastAsia="zh-CN"/>
              </w:rPr>
              <w:t>左右，该过程为全封闭式，注：</w:t>
            </w:r>
            <w:r>
              <w:rPr>
                <w:rFonts w:hint="default" w:ascii="Times New Roman" w:hAnsi="Times New Roman" w:eastAsia="Times New Roman" w:cs="Times New Roman"/>
                <w:b w:val="0"/>
                <w:bCs w:val="0"/>
                <w:i w:val="0"/>
                <w:iCs w:val="0"/>
                <w:color w:val="auto"/>
                <w:sz w:val="24"/>
                <w:szCs w:val="24"/>
                <w:highlight w:val="none"/>
                <w:u w:val="none" w:color="auto"/>
                <w:shd w:val="clear" w:color="auto" w:fill="auto"/>
                <w:lang w:val="en-US" w:eastAsia="zh-CN"/>
              </w:rPr>
              <w:t>PE塑料热分解温度为410℃，尼龙热分解温度为380℃，由于本项目所用原辅材料均为基本无毒、性质稳定的物质，且加热温度均低于所用物料的热分解温度，不会使原材料发生裂解产生多环芳烃类有机物</w:t>
            </w:r>
            <w:r>
              <w:rPr>
                <w:rFonts w:hint="default" w:ascii="Times New Roman" w:hAnsi="Times New Roman" w:eastAsia="宋体" w:cs="Times New Roman"/>
                <w:b w:val="0"/>
                <w:bCs/>
                <w:i w:val="0"/>
                <w:iCs w:val="0"/>
                <w:color w:val="auto"/>
                <w:sz w:val="24"/>
                <w:highlight w:val="none"/>
                <w:u w:val="none" w:color="auto"/>
                <w:lang w:val="en-US" w:eastAsia="zh-CN"/>
              </w:rPr>
              <w:t>），熔融的物料经螺杆设施加压，经延伸式喷嘴进入与成型机相连接的模具内成型，成品为隔音材主体，模具外腔的水套通水对设备及产品进行间接冷却，间接冷却水经冷却塔冷却后循环使用。尼龙材料同原理输送至注塑机进行注塑加工成支架。</w:t>
            </w:r>
          </w:p>
          <w:p>
            <w:pPr>
              <w:keepNext w:val="0"/>
              <w:keepLines w:val="0"/>
              <w:pageBreakBefore w:val="0"/>
              <w:widowControl w:val="0"/>
              <w:tabs>
                <w:tab w:val="center" w:pos="3360"/>
                <w:tab w:val="left" w:pos="4095"/>
                <w:tab w:val="left" w:pos="5565"/>
              </w:tabs>
              <w:kinsoku/>
              <w:wordWrap/>
              <w:overflowPunct/>
              <w:topLinePunct w:val="0"/>
              <w:autoSpaceDE w:val="0"/>
              <w:autoSpaceDN w:val="0"/>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宋体" w:cs="Times New Roman"/>
                <w:b w:val="0"/>
                <w:bCs/>
                <w:i w:val="0"/>
                <w:iCs w:val="0"/>
                <w:color w:val="auto"/>
                <w:sz w:val="24"/>
                <w:highlight w:val="none"/>
                <w:u w:val="none" w:color="auto"/>
                <w:lang w:val="en-US" w:eastAsia="zh-CN"/>
              </w:rPr>
            </w:pPr>
            <w:r>
              <w:rPr>
                <w:rFonts w:hint="default" w:ascii="Times New Roman" w:hAnsi="Times New Roman" w:eastAsia="宋体" w:cs="Times New Roman"/>
                <w:b w:val="0"/>
                <w:bCs/>
                <w:i w:val="0"/>
                <w:iCs w:val="0"/>
                <w:color w:val="auto"/>
                <w:sz w:val="24"/>
                <w:highlight w:val="none"/>
                <w:u w:val="none" w:color="auto"/>
                <w:lang w:val="en-US" w:eastAsia="zh-CN"/>
              </w:rPr>
              <w:t>上述注塑工序将产生注塑机噪声、注塑废气（NMHC）、冷却塔噪声。</w:t>
            </w:r>
          </w:p>
          <w:p>
            <w:pPr>
              <w:pStyle w:val="97"/>
              <w:keepNext w:val="0"/>
              <w:keepLines w:val="0"/>
              <w:pageBreakBefore w:val="0"/>
              <w:widowControl w:val="0"/>
              <w:numPr>
                <w:ilvl w:val="0"/>
                <w:numId w:val="0"/>
              </w:numPr>
              <w:kinsoku/>
              <w:wordWrap/>
              <w:overflowPunct/>
              <w:topLinePunct w:val="0"/>
              <w:autoSpaceDE/>
              <w:autoSpaceDN/>
              <w:bidi w:val="0"/>
              <w:adjustRightInd w:val="0"/>
              <w:snapToGrid w:val="0"/>
              <w:ind w:left="630" w:leftChars="0"/>
              <w:textAlignment w:val="auto"/>
              <w:rPr>
                <w:rFonts w:hint="default" w:ascii="Times New Roman" w:hAnsi="Times New Roman" w:eastAsia="宋体" w:cs="Times New Roman"/>
                <w:b w:val="0"/>
                <w:bCs w:val="0"/>
                <w:i w:val="0"/>
                <w:iCs w:val="0"/>
                <w:color w:val="auto"/>
                <w:sz w:val="24"/>
                <w:szCs w:val="24"/>
                <w:highlight w:val="none"/>
                <w:u w:val="none" w:color="auto"/>
                <w:shd w:val="clear" w:color="auto" w:fill="auto"/>
                <w:lang w:val="en-US" w:eastAsia="zh-CN"/>
              </w:rPr>
            </w:pPr>
            <w:r>
              <w:rPr>
                <w:rFonts w:hint="eastAsia" w:cs="Times New Roman"/>
                <w:b w:val="0"/>
                <w:bCs w:val="0"/>
                <w:i w:val="0"/>
                <w:iCs w:val="0"/>
                <w:color w:val="auto"/>
                <w:sz w:val="24"/>
                <w:szCs w:val="24"/>
                <w:highlight w:val="none"/>
                <w:u w:val="none" w:color="auto"/>
                <w:shd w:val="clear" w:color="auto" w:fill="auto"/>
                <w:lang w:val="en-US" w:eastAsia="zh-CN"/>
              </w:rPr>
              <w:t>C、</w:t>
            </w:r>
            <w:r>
              <w:rPr>
                <w:rFonts w:hint="default" w:ascii="Times New Roman" w:hAnsi="Times New Roman" w:eastAsia="宋体" w:cs="Times New Roman"/>
                <w:b w:val="0"/>
                <w:bCs w:val="0"/>
                <w:i w:val="0"/>
                <w:iCs w:val="0"/>
                <w:color w:val="auto"/>
                <w:sz w:val="24"/>
                <w:szCs w:val="24"/>
                <w:highlight w:val="none"/>
                <w:u w:val="none" w:color="auto"/>
                <w:shd w:val="clear" w:color="auto" w:fill="auto"/>
                <w:lang w:val="en-US" w:eastAsia="zh-CN"/>
              </w:rPr>
              <w:t>组装</w:t>
            </w:r>
          </w:p>
          <w:p>
            <w:pPr>
              <w:keepNext w:val="0"/>
              <w:keepLines w:val="0"/>
              <w:pageBreakBefore w:val="0"/>
              <w:widowControl w:val="0"/>
              <w:tabs>
                <w:tab w:val="center" w:pos="3360"/>
                <w:tab w:val="left" w:pos="4095"/>
                <w:tab w:val="left" w:pos="5565"/>
              </w:tabs>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default" w:ascii="Times New Roman" w:hAnsi="Times New Roman" w:eastAsia="宋体" w:cs="Times New Roman"/>
                <w:i w:val="0"/>
                <w:iCs w:val="0"/>
                <w:color w:val="auto"/>
                <w:sz w:val="24"/>
                <w:szCs w:val="24"/>
                <w:highlight w:val="none"/>
                <w:u w:val="none" w:color="auto"/>
                <w:lang w:val="en-US" w:eastAsia="zh-CN"/>
              </w:rPr>
            </w:pPr>
            <w:r>
              <w:rPr>
                <w:rFonts w:hint="default" w:ascii="Times New Roman" w:hAnsi="Times New Roman" w:eastAsia="宋体" w:cs="Times New Roman"/>
                <w:i w:val="0"/>
                <w:iCs w:val="0"/>
                <w:color w:val="auto"/>
                <w:sz w:val="24"/>
                <w:szCs w:val="24"/>
                <w:highlight w:val="none"/>
                <w:u w:val="none" w:color="auto"/>
                <w:lang w:val="en-US" w:eastAsia="zh-CN"/>
              </w:rPr>
              <w:t>将不同模具注塑顶出制品按照产品设计将主体及支架进行组合装配。</w:t>
            </w:r>
          </w:p>
          <w:p>
            <w:pPr>
              <w:pStyle w:val="97"/>
              <w:keepNext w:val="0"/>
              <w:keepLines w:val="0"/>
              <w:pageBreakBefore w:val="0"/>
              <w:widowControl w:val="0"/>
              <w:numPr>
                <w:ilvl w:val="0"/>
                <w:numId w:val="0"/>
              </w:numPr>
              <w:kinsoku/>
              <w:wordWrap/>
              <w:overflowPunct/>
              <w:topLinePunct w:val="0"/>
              <w:autoSpaceDE/>
              <w:autoSpaceDN/>
              <w:bidi w:val="0"/>
              <w:adjustRightInd w:val="0"/>
              <w:snapToGrid w:val="0"/>
              <w:ind w:left="630" w:leftChars="0"/>
              <w:textAlignment w:val="auto"/>
              <w:rPr>
                <w:rFonts w:hint="default" w:ascii="Times New Roman" w:hAnsi="Times New Roman" w:eastAsia="宋体" w:cs="Times New Roman"/>
                <w:b w:val="0"/>
                <w:bCs w:val="0"/>
                <w:i w:val="0"/>
                <w:iCs w:val="0"/>
                <w:color w:val="auto"/>
                <w:sz w:val="24"/>
                <w:szCs w:val="24"/>
                <w:highlight w:val="none"/>
                <w:u w:val="none" w:color="auto"/>
                <w:shd w:val="clear" w:color="auto" w:fill="auto"/>
                <w:lang w:val="en-US" w:eastAsia="zh-CN"/>
              </w:rPr>
            </w:pPr>
            <w:r>
              <w:rPr>
                <w:rFonts w:hint="eastAsia" w:cs="Times New Roman"/>
                <w:b w:val="0"/>
                <w:bCs w:val="0"/>
                <w:i w:val="0"/>
                <w:iCs w:val="0"/>
                <w:color w:val="auto"/>
                <w:sz w:val="24"/>
                <w:szCs w:val="24"/>
                <w:highlight w:val="none"/>
                <w:u w:val="none" w:color="auto"/>
                <w:shd w:val="clear" w:color="auto" w:fill="auto"/>
                <w:lang w:val="en-US" w:eastAsia="zh-CN"/>
              </w:rPr>
              <w:t>D、</w:t>
            </w:r>
            <w:r>
              <w:rPr>
                <w:rFonts w:hint="default" w:ascii="Times New Roman" w:hAnsi="Times New Roman" w:eastAsia="宋体" w:cs="Times New Roman"/>
                <w:b w:val="0"/>
                <w:bCs w:val="0"/>
                <w:i w:val="0"/>
                <w:iCs w:val="0"/>
                <w:color w:val="auto"/>
                <w:sz w:val="24"/>
                <w:szCs w:val="24"/>
                <w:highlight w:val="none"/>
                <w:u w:val="none" w:color="auto"/>
                <w:shd w:val="clear" w:color="auto" w:fill="auto"/>
                <w:lang w:val="en-US" w:eastAsia="zh-CN"/>
              </w:rPr>
              <w:t>检验及破碎</w:t>
            </w:r>
          </w:p>
          <w:p>
            <w:pPr>
              <w:pStyle w:val="97"/>
              <w:keepNext w:val="0"/>
              <w:keepLines w:val="0"/>
              <w:pageBreakBefore w:val="0"/>
              <w:widowControl w:val="0"/>
              <w:numPr>
                <w:ilvl w:val="0"/>
                <w:numId w:val="0"/>
              </w:numPr>
              <w:kinsoku/>
              <w:wordWrap/>
              <w:overflowPunct/>
              <w:topLinePunct w:val="0"/>
              <w:autoSpaceDE/>
              <w:autoSpaceDN/>
              <w:bidi w:val="0"/>
              <w:adjustRightInd w:val="0"/>
              <w:snapToGrid w:val="0"/>
              <w:ind w:leftChars="0" w:firstLine="480" w:firstLineChars="200"/>
              <w:textAlignment w:val="auto"/>
              <w:rPr>
                <w:rFonts w:hint="default" w:ascii="Times New Roman" w:hAnsi="Times New Roman" w:eastAsia="宋体" w:cs="Times New Roman"/>
                <w:i w:val="0"/>
                <w:iCs w:val="0"/>
                <w:color w:val="auto"/>
                <w:sz w:val="24"/>
                <w:szCs w:val="24"/>
                <w:highlight w:val="none"/>
                <w:u w:val="none" w:color="auto"/>
                <w:lang w:val="en-US" w:eastAsia="zh-CN"/>
              </w:rPr>
            </w:pPr>
            <w:r>
              <w:rPr>
                <w:rFonts w:hint="default" w:ascii="Times New Roman" w:hAnsi="Times New Roman" w:eastAsia="宋体" w:cs="Times New Roman"/>
                <w:b w:val="0"/>
                <w:bCs w:val="0"/>
                <w:i w:val="0"/>
                <w:iCs w:val="0"/>
                <w:color w:val="auto"/>
                <w:sz w:val="24"/>
                <w:szCs w:val="24"/>
                <w:highlight w:val="none"/>
                <w:u w:val="none" w:color="auto"/>
                <w:shd w:val="clear" w:color="auto" w:fill="auto"/>
                <w:lang w:val="en-US" w:eastAsia="zh-CN"/>
              </w:rPr>
              <w:t>对组装工序后成品进行检验，检验不合格产品进入破碎机进行破碎后由密闭输料机械吸入预塑工序重新进行注塑流程，合格产品转入包装工序。</w:t>
            </w:r>
            <w:r>
              <w:rPr>
                <w:rFonts w:hint="default" w:ascii="Times New Roman" w:hAnsi="Times New Roman" w:eastAsia="宋体" w:cs="Times New Roman"/>
                <w:i w:val="0"/>
                <w:iCs w:val="0"/>
                <w:color w:val="auto"/>
                <w:sz w:val="24"/>
                <w:szCs w:val="24"/>
                <w:highlight w:val="none"/>
                <w:u w:val="none" w:color="auto"/>
                <w:lang w:val="en-US" w:eastAsia="zh-CN"/>
              </w:rPr>
              <w:t>此工序产生破碎机噪声及破碎废气颗粒物。污染治理措施将产生袋式除尘器集尘粉及废弃布袋。</w:t>
            </w:r>
          </w:p>
          <w:p>
            <w:pPr>
              <w:pStyle w:val="97"/>
              <w:keepNext w:val="0"/>
              <w:keepLines w:val="0"/>
              <w:pageBreakBefore w:val="0"/>
              <w:widowControl w:val="0"/>
              <w:numPr>
                <w:ilvl w:val="0"/>
                <w:numId w:val="0"/>
              </w:numPr>
              <w:kinsoku/>
              <w:wordWrap/>
              <w:overflowPunct/>
              <w:topLinePunct w:val="0"/>
              <w:autoSpaceDE/>
              <w:autoSpaceDN/>
              <w:bidi w:val="0"/>
              <w:adjustRightInd w:val="0"/>
              <w:snapToGrid w:val="0"/>
              <w:ind w:left="630" w:leftChars="0"/>
              <w:textAlignment w:val="auto"/>
              <w:rPr>
                <w:rFonts w:hint="default" w:ascii="Times New Roman" w:hAnsi="Times New Roman" w:eastAsia="宋体" w:cs="Times New Roman"/>
                <w:b w:val="0"/>
                <w:bCs w:val="0"/>
                <w:i w:val="0"/>
                <w:iCs w:val="0"/>
                <w:color w:val="auto"/>
                <w:sz w:val="24"/>
                <w:szCs w:val="24"/>
                <w:highlight w:val="none"/>
                <w:u w:val="none" w:color="auto"/>
                <w:shd w:val="clear" w:color="auto" w:fill="auto"/>
                <w:lang w:val="en-US" w:eastAsia="zh-CN"/>
              </w:rPr>
            </w:pPr>
            <w:r>
              <w:rPr>
                <w:rFonts w:hint="eastAsia" w:cs="Times New Roman"/>
                <w:b w:val="0"/>
                <w:bCs w:val="0"/>
                <w:i w:val="0"/>
                <w:iCs w:val="0"/>
                <w:color w:val="auto"/>
                <w:sz w:val="24"/>
                <w:szCs w:val="24"/>
                <w:highlight w:val="none"/>
                <w:u w:val="none" w:color="auto"/>
                <w:shd w:val="clear" w:color="auto" w:fill="auto"/>
                <w:lang w:val="en-US" w:eastAsia="zh-CN"/>
              </w:rPr>
              <w:t>E、</w:t>
            </w:r>
            <w:r>
              <w:rPr>
                <w:rFonts w:hint="default" w:ascii="Times New Roman" w:hAnsi="Times New Roman" w:eastAsia="宋体" w:cs="Times New Roman"/>
                <w:b w:val="0"/>
                <w:bCs w:val="0"/>
                <w:i w:val="0"/>
                <w:iCs w:val="0"/>
                <w:color w:val="auto"/>
                <w:sz w:val="24"/>
                <w:szCs w:val="24"/>
                <w:highlight w:val="none"/>
                <w:u w:val="none" w:color="auto"/>
                <w:shd w:val="clear" w:color="auto" w:fill="auto"/>
                <w:lang w:val="en-US" w:eastAsia="zh-CN"/>
              </w:rPr>
              <w:t>包装</w:t>
            </w:r>
          </w:p>
          <w:p>
            <w:pPr>
              <w:pStyle w:val="97"/>
              <w:keepNext w:val="0"/>
              <w:keepLines w:val="0"/>
              <w:pageBreakBefore w:val="0"/>
              <w:widowControl w:val="0"/>
              <w:numPr>
                <w:ilvl w:val="0"/>
                <w:numId w:val="0"/>
              </w:numPr>
              <w:kinsoku/>
              <w:wordWrap/>
              <w:overflowPunct/>
              <w:topLinePunct w:val="0"/>
              <w:autoSpaceDE/>
              <w:autoSpaceDN/>
              <w:bidi w:val="0"/>
              <w:adjustRightInd w:val="0"/>
              <w:snapToGrid w:val="0"/>
              <w:ind w:leftChars="200"/>
              <w:textAlignment w:val="auto"/>
              <w:rPr>
                <w:rFonts w:hint="default" w:ascii="Times New Roman" w:hAnsi="Times New Roman" w:eastAsia="宋体" w:cs="Times New Roman"/>
                <w:b w:val="0"/>
                <w:bCs w:val="0"/>
                <w:i w:val="0"/>
                <w:iCs w:val="0"/>
                <w:color w:val="auto"/>
                <w:sz w:val="24"/>
                <w:szCs w:val="24"/>
                <w:highlight w:val="none"/>
                <w:u w:val="none" w:color="auto"/>
                <w:shd w:val="clear" w:color="auto" w:fill="auto"/>
                <w:lang w:val="en-US" w:eastAsia="zh-CN"/>
              </w:rPr>
            </w:pPr>
            <w:r>
              <w:rPr>
                <w:rFonts w:hint="default" w:ascii="Times New Roman" w:hAnsi="Times New Roman" w:eastAsia="宋体" w:cs="Times New Roman"/>
                <w:b w:val="0"/>
                <w:bCs w:val="0"/>
                <w:i w:val="0"/>
                <w:iCs w:val="0"/>
                <w:color w:val="auto"/>
                <w:sz w:val="24"/>
                <w:szCs w:val="24"/>
                <w:highlight w:val="none"/>
                <w:u w:val="none" w:color="auto"/>
                <w:shd w:val="clear" w:color="auto" w:fill="auto"/>
                <w:lang w:val="en-US" w:eastAsia="zh-CN"/>
              </w:rPr>
              <w:t>对检验合格的成品进行包装入库。</w:t>
            </w:r>
          </w:p>
          <w:p>
            <w:pPr>
              <w:pStyle w:val="97"/>
              <w:keepNext w:val="0"/>
              <w:keepLines w:val="0"/>
              <w:pageBreakBefore w:val="0"/>
              <w:widowControl w:val="0"/>
              <w:numPr>
                <w:ilvl w:val="0"/>
                <w:numId w:val="0"/>
              </w:numPr>
              <w:kinsoku/>
              <w:wordWrap/>
              <w:overflowPunct/>
              <w:topLinePunct w:val="0"/>
              <w:autoSpaceDE/>
              <w:autoSpaceDN/>
              <w:bidi w:val="0"/>
              <w:adjustRightInd w:val="0"/>
              <w:snapToGrid w:val="0"/>
              <w:ind w:left="630" w:leftChars="0"/>
              <w:textAlignment w:val="auto"/>
              <w:rPr>
                <w:rFonts w:hint="default" w:ascii="Times New Roman" w:hAnsi="Times New Roman" w:eastAsia="宋体" w:cs="Times New Roman"/>
                <w:b w:val="0"/>
                <w:bCs w:val="0"/>
                <w:i w:val="0"/>
                <w:iCs w:val="0"/>
                <w:color w:val="auto"/>
                <w:sz w:val="24"/>
                <w:szCs w:val="24"/>
                <w:highlight w:val="none"/>
                <w:u w:val="none" w:color="auto"/>
                <w:shd w:val="clear" w:color="auto" w:fill="auto"/>
                <w:lang w:val="en-US" w:eastAsia="zh-CN"/>
              </w:rPr>
            </w:pPr>
            <w:r>
              <w:rPr>
                <w:rFonts w:hint="eastAsia" w:cs="Times New Roman"/>
                <w:b w:val="0"/>
                <w:bCs w:val="0"/>
                <w:i w:val="0"/>
                <w:iCs w:val="0"/>
                <w:color w:val="auto"/>
                <w:sz w:val="24"/>
                <w:szCs w:val="24"/>
                <w:highlight w:val="none"/>
                <w:u w:val="none" w:color="auto"/>
                <w:shd w:val="clear" w:color="auto" w:fill="auto"/>
                <w:lang w:val="en-US" w:eastAsia="zh-CN"/>
              </w:rPr>
              <w:t>F、</w:t>
            </w:r>
            <w:r>
              <w:rPr>
                <w:rFonts w:hint="default" w:ascii="Times New Roman" w:hAnsi="Times New Roman" w:eastAsia="宋体" w:cs="Times New Roman"/>
                <w:b w:val="0"/>
                <w:bCs w:val="0"/>
                <w:i w:val="0"/>
                <w:iCs w:val="0"/>
                <w:color w:val="auto"/>
                <w:sz w:val="24"/>
                <w:szCs w:val="24"/>
                <w:highlight w:val="none"/>
                <w:u w:val="none" w:color="auto"/>
                <w:shd w:val="clear" w:color="auto" w:fill="auto"/>
                <w:lang w:val="en-US" w:eastAsia="zh-CN"/>
              </w:rPr>
              <w:t>模具清洗</w:t>
            </w:r>
          </w:p>
          <w:p>
            <w:pPr>
              <w:spacing w:line="360" w:lineRule="auto"/>
              <w:ind w:firstLine="480" w:firstLineChars="200"/>
              <w:rPr>
                <w:i w:val="0"/>
                <w:iCs w:val="0"/>
                <w:color w:val="auto"/>
                <w:kern w:val="0"/>
                <w:sz w:val="24"/>
                <w:szCs w:val="20"/>
                <w:highlight w:val="none"/>
                <w:u w:val="none" w:color="auto"/>
              </w:rPr>
            </w:pPr>
            <w:r>
              <w:rPr>
                <w:rFonts w:hint="default" w:ascii="Times New Roman" w:hAnsi="Times New Roman" w:eastAsia="宋体" w:cs="Times New Roman"/>
                <w:b w:val="0"/>
                <w:bCs w:val="0"/>
                <w:i w:val="0"/>
                <w:iCs w:val="0"/>
                <w:color w:val="auto"/>
                <w:sz w:val="24"/>
                <w:szCs w:val="24"/>
                <w:highlight w:val="none"/>
                <w:u w:val="none" w:color="auto"/>
                <w:shd w:val="clear" w:color="auto" w:fill="auto"/>
                <w:lang w:val="en-US" w:eastAsia="zh-CN"/>
              </w:rPr>
              <w:t>当模具完成生产任务后，应根据不同注塑采取不同方法仔细清除残余注塑，可用专业模具清洗剂清除模具内残余注塑及其他沉积物，然后风干。若有腐蚀性注塑引起的锈点，要使用研磨机研磨抛光，并喷上专业的防锈剂，然后将模具置于干燥、阴凉、无粉尘处储存。此工序将产生模具清洗废气（以NMHC计）、防锈剂喷涂废气（以NMHC计）及含有机溶剂的废抹布、</w:t>
            </w:r>
            <w:r>
              <w:rPr>
                <w:rFonts w:hint="eastAsia" w:cs="Times New Roman"/>
                <w:b w:val="0"/>
                <w:bCs w:val="0"/>
                <w:i w:val="0"/>
                <w:iCs w:val="0"/>
                <w:color w:val="auto"/>
                <w:sz w:val="24"/>
                <w:szCs w:val="24"/>
                <w:highlight w:val="none"/>
                <w:u w:val="none" w:color="auto"/>
                <w:shd w:val="clear" w:color="auto" w:fill="auto"/>
                <w:lang w:val="en-US" w:eastAsia="zh-CN"/>
              </w:rPr>
              <w:t>沾染原料的废包装品</w:t>
            </w:r>
            <w:r>
              <w:rPr>
                <w:i w:val="0"/>
                <w:iCs w:val="0"/>
                <w:color w:val="auto"/>
                <w:kern w:val="0"/>
                <w:sz w:val="24"/>
                <w:szCs w:val="20"/>
                <w:highlight w:val="none"/>
                <w:u w:val="none" w:color="auto"/>
              </w:rPr>
              <w:t>。</w:t>
            </w:r>
          </w:p>
          <w:p>
            <w:pPr>
              <w:pStyle w:val="21"/>
              <w:spacing w:line="360" w:lineRule="auto"/>
              <w:ind w:left="0" w:firstLine="482" w:firstLineChars="200"/>
              <w:rPr>
                <w:b/>
                <w:bCs/>
                <w:color w:val="auto"/>
                <w:sz w:val="24"/>
                <w:highlight w:val="none"/>
              </w:rPr>
            </w:pPr>
            <w:r>
              <w:rPr>
                <w:b/>
                <w:bCs/>
                <w:color w:val="auto"/>
                <w:sz w:val="24"/>
                <w:highlight w:val="none"/>
              </w:rPr>
              <w:t>2.产排污环节分析</w:t>
            </w:r>
          </w:p>
          <w:p>
            <w:pPr>
              <w:pStyle w:val="21"/>
              <w:spacing w:line="360" w:lineRule="auto"/>
              <w:ind w:left="0" w:firstLine="482" w:firstLineChars="200"/>
              <w:rPr>
                <w:b/>
                <w:bCs/>
                <w:color w:val="auto"/>
                <w:sz w:val="24"/>
                <w:highlight w:val="none"/>
              </w:rPr>
            </w:pPr>
            <w:r>
              <w:rPr>
                <w:b/>
                <w:bCs/>
                <w:color w:val="auto"/>
                <w:sz w:val="24"/>
                <w:highlight w:val="none"/>
              </w:rPr>
              <w:t>2.1施工期产排污环节分析</w:t>
            </w:r>
          </w:p>
          <w:p>
            <w:pPr>
              <w:pStyle w:val="21"/>
              <w:spacing w:line="360" w:lineRule="auto"/>
              <w:ind w:left="0" w:firstLine="480" w:firstLineChars="200"/>
              <w:rPr>
                <w:color w:val="auto"/>
                <w:sz w:val="24"/>
                <w:highlight w:val="none"/>
              </w:rPr>
            </w:pPr>
            <w:r>
              <w:rPr>
                <w:color w:val="auto"/>
                <w:sz w:val="24"/>
                <w:highlight w:val="none"/>
              </w:rPr>
              <w:t>施工期产生污染主要为</w:t>
            </w:r>
            <w:r>
              <w:rPr>
                <w:rFonts w:hint="eastAsia"/>
                <w:color w:val="auto"/>
                <w:sz w:val="24"/>
                <w:highlight w:val="none"/>
                <w:lang w:val="en-US" w:eastAsia="zh-CN"/>
              </w:rPr>
              <w:t>设备、材料等物料</w:t>
            </w:r>
            <w:r>
              <w:rPr>
                <w:rFonts w:hint="default"/>
                <w:color w:val="auto"/>
                <w:sz w:val="24"/>
                <w:highlight w:val="none"/>
              </w:rPr>
              <w:t>现场搬运</w:t>
            </w:r>
            <w:r>
              <w:rPr>
                <w:rFonts w:hint="eastAsia"/>
                <w:color w:val="auto"/>
                <w:sz w:val="24"/>
                <w:highlight w:val="none"/>
                <w:lang w:val="en-US" w:eastAsia="zh-CN"/>
              </w:rPr>
              <w:t>等过程中产生的</w:t>
            </w:r>
            <w:r>
              <w:rPr>
                <w:rFonts w:hint="default"/>
                <w:color w:val="auto"/>
                <w:sz w:val="24"/>
                <w:highlight w:val="none"/>
              </w:rPr>
              <w:t>扬尘、施工</w:t>
            </w:r>
            <w:r>
              <w:rPr>
                <w:rFonts w:hint="eastAsia"/>
                <w:color w:val="auto"/>
                <w:sz w:val="24"/>
                <w:highlight w:val="none"/>
                <w:lang w:eastAsia="zh-CN"/>
              </w:rPr>
              <w:t>建筑</w:t>
            </w:r>
            <w:r>
              <w:rPr>
                <w:rFonts w:hint="default"/>
                <w:color w:val="auto"/>
                <w:sz w:val="24"/>
                <w:highlight w:val="none"/>
              </w:rPr>
              <w:t>垃圾的清理及堆放扬尘、车来车往造成的路面扬尘</w:t>
            </w:r>
            <w:r>
              <w:rPr>
                <w:rFonts w:hint="eastAsia"/>
                <w:color w:val="auto"/>
                <w:sz w:val="24"/>
                <w:highlight w:val="none"/>
                <w:lang w:eastAsia="zh-CN"/>
              </w:rPr>
              <w:t>；</w:t>
            </w:r>
            <w:r>
              <w:rPr>
                <w:color w:val="auto"/>
                <w:sz w:val="24"/>
                <w:highlight w:val="none"/>
              </w:rPr>
              <w:t>设备安装过程产生的噪声、固废以及工作人员生活污水。</w:t>
            </w:r>
          </w:p>
          <w:p>
            <w:pPr>
              <w:pStyle w:val="21"/>
              <w:spacing w:line="360" w:lineRule="auto"/>
              <w:ind w:left="0" w:firstLine="482" w:firstLineChars="200"/>
              <w:rPr>
                <w:b/>
                <w:color w:val="auto"/>
                <w:sz w:val="24"/>
                <w:szCs w:val="20"/>
                <w:highlight w:val="none"/>
              </w:rPr>
            </w:pPr>
            <w:r>
              <w:rPr>
                <w:b/>
                <w:color w:val="auto"/>
                <w:sz w:val="24"/>
                <w:szCs w:val="20"/>
                <w:highlight w:val="none"/>
              </w:rPr>
              <w:t>2.2</w:t>
            </w:r>
            <w:r>
              <w:rPr>
                <w:rFonts w:hint="eastAsia"/>
                <w:b/>
                <w:color w:val="auto"/>
                <w:sz w:val="24"/>
                <w:szCs w:val="20"/>
                <w:highlight w:val="none"/>
                <w:lang w:val="en-US" w:eastAsia="zh-CN"/>
              </w:rPr>
              <w:t>运营期</w:t>
            </w:r>
            <w:r>
              <w:rPr>
                <w:b/>
                <w:color w:val="auto"/>
                <w:sz w:val="24"/>
                <w:szCs w:val="20"/>
                <w:highlight w:val="none"/>
              </w:rPr>
              <w:t>产排污环节分析</w:t>
            </w:r>
          </w:p>
          <w:p>
            <w:pPr>
              <w:pStyle w:val="21"/>
              <w:spacing w:line="360" w:lineRule="auto"/>
              <w:ind w:left="0" w:firstLine="480" w:firstLineChars="200"/>
              <w:rPr>
                <w:color w:val="auto"/>
                <w:kern w:val="0"/>
                <w:sz w:val="24"/>
                <w:highlight w:val="none"/>
              </w:rPr>
            </w:pPr>
            <w:r>
              <w:rPr>
                <w:color w:val="auto"/>
                <w:kern w:val="0"/>
                <w:sz w:val="24"/>
                <w:highlight w:val="none"/>
              </w:rPr>
              <w:t>本项目营运期产排污环节情况统计见下表：</w:t>
            </w:r>
          </w:p>
          <w:p>
            <w:pPr>
              <w:pStyle w:val="8"/>
              <w:bidi w:val="0"/>
              <w:rPr>
                <w:rFonts w:hint="default" w:ascii="Times New Roman" w:hAnsi="Times New Roman" w:eastAsia="宋体" w:cs="Times New Roman"/>
                <w:b/>
                <w:bCs w:val="0"/>
                <w:i w:val="0"/>
                <w:iCs w:val="0"/>
                <w:color w:val="auto"/>
                <w:highlight w:val="none"/>
                <w:u w:val="none"/>
                <w:lang w:val="zh-CN"/>
              </w:rPr>
            </w:pPr>
            <w:r>
              <w:rPr>
                <w:rFonts w:hint="default" w:ascii="Times New Roman" w:hAnsi="Times New Roman" w:eastAsia="宋体" w:cs="Times New Roman"/>
                <w:b/>
                <w:bCs w:val="0"/>
                <w:i w:val="0"/>
                <w:iCs w:val="0"/>
                <w:color w:val="auto"/>
                <w:highlight w:val="none"/>
                <w:u w:val="none"/>
                <w:lang w:val="zh-CN"/>
              </w:rPr>
              <w:t>表</w:t>
            </w:r>
            <w:r>
              <w:rPr>
                <w:rFonts w:hint="eastAsia" w:ascii="Times New Roman" w:hAnsi="Times New Roman" w:cs="Times New Roman"/>
                <w:b/>
                <w:bCs w:val="0"/>
                <w:i w:val="0"/>
                <w:iCs w:val="0"/>
                <w:color w:val="auto"/>
                <w:highlight w:val="none"/>
                <w:u w:val="none"/>
                <w:lang w:val="en-US" w:eastAsia="zh-CN"/>
              </w:rPr>
              <w:t>2-</w:t>
            </w:r>
            <w:r>
              <w:rPr>
                <w:rFonts w:hint="eastAsia" w:cs="Times New Roman"/>
                <w:b/>
                <w:bCs w:val="0"/>
                <w:i w:val="0"/>
                <w:iCs w:val="0"/>
                <w:color w:val="auto"/>
                <w:highlight w:val="none"/>
                <w:u w:val="none"/>
                <w:lang w:val="en-US" w:eastAsia="zh-CN"/>
              </w:rPr>
              <w:t>6</w:t>
            </w:r>
            <w:r>
              <w:rPr>
                <w:rFonts w:hint="default" w:ascii="Times New Roman" w:hAnsi="Times New Roman" w:eastAsia="宋体" w:cs="Times New Roman"/>
                <w:b/>
                <w:bCs w:val="0"/>
                <w:i w:val="0"/>
                <w:iCs w:val="0"/>
                <w:color w:val="auto"/>
                <w:highlight w:val="none"/>
                <w:u w:val="none"/>
              </w:rPr>
              <w:t xml:space="preserve">  </w:t>
            </w:r>
            <w:r>
              <w:rPr>
                <w:rFonts w:hint="default" w:ascii="Times New Roman" w:hAnsi="Times New Roman" w:eastAsia="宋体" w:cs="Times New Roman"/>
                <w:b/>
                <w:bCs w:val="0"/>
                <w:i w:val="0"/>
                <w:iCs w:val="0"/>
                <w:color w:val="auto"/>
                <w:highlight w:val="none"/>
                <w:u w:val="none"/>
                <w:lang w:val="zh-CN"/>
              </w:rPr>
              <w:t xml:space="preserve"> </w:t>
            </w:r>
            <w:r>
              <w:rPr>
                <w:rFonts w:hint="default" w:ascii="Times New Roman" w:hAnsi="Times New Roman" w:eastAsia="宋体" w:cs="Times New Roman"/>
                <w:b/>
                <w:bCs w:val="0"/>
                <w:i w:val="0"/>
                <w:iCs w:val="0"/>
                <w:color w:val="auto"/>
                <w:highlight w:val="none"/>
                <w:u w:val="none"/>
                <w:lang w:val="en-US" w:eastAsia="zh-CN"/>
              </w:rPr>
              <w:t>本项目</w:t>
            </w:r>
            <w:r>
              <w:rPr>
                <w:rFonts w:hint="default" w:ascii="Times New Roman" w:hAnsi="Times New Roman" w:eastAsia="宋体" w:cs="Times New Roman"/>
                <w:b/>
                <w:bCs w:val="0"/>
                <w:i w:val="0"/>
                <w:iCs w:val="0"/>
                <w:color w:val="auto"/>
                <w:highlight w:val="none"/>
                <w:u w:val="none"/>
                <w:lang w:val="zh-CN"/>
              </w:rPr>
              <w:t>运营期产污环节一览表</w:t>
            </w:r>
          </w:p>
          <w:tbl>
            <w:tblPr>
              <w:tblStyle w:val="30"/>
              <w:tblW w:w="819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05"/>
              <w:gridCol w:w="1987"/>
              <w:gridCol w:w="1376"/>
              <w:gridCol w:w="2601"/>
              <w:gridCol w:w="1003"/>
              <w:gridCol w:w="8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sz w:val="21"/>
                      <w:szCs w:val="21"/>
                      <w:highlight w:val="none"/>
                      <w:u w:val="none"/>
                      <w:shd w:val="clear" w:color="auto" w:fill="auto"/>
                    </w:rPr>
                  </w:pPr>
                  <w:r>
                    <w:rPr>
                      <w:rFonts w:hint="default" w:ascii="Times New Roman" w:hAnsi="Times New Roman" w:cs="Times New Roman"/>
                      <w:i w:val="0"/>
                      <w:iCs w:val="0"/>
                      <w:color w:val="auto"/>
                      <w:sz w:val="21"/>
                      <w:szCs w:val="21"/>
                      <w:highlight w:val="none"/>
                      <w:u w:val="none"/>
                      <w:shd w:val="clear" w:color="auto" w:fill="auto"/>
                    </w:rPr>
                    <w:t>项目</w:t>
                  </w:r>
                </w:p>
              </w:tc>
              <w:tc>
                <w:tcPr>
                  <w:tcW w:w="1987" w:type="dxa"/>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outlineLvl w:val="9"/>
                    <w:rPr>
                      <w:rFonts w:hint="default" w:ascii="Times New Roman" w:hAnsi="Times New Roman" w:eastAsia="宋体" w:cs="Times New Roman"/>
                      <w:b w:val="0"/>
                      <w:bCs/>
                      <w:i w:val="0"/>
                      <w:iCs w:val="0"/>
                      <w:color w:val="auto"/>
                      <w:sz w:val="21"/>
                      <w:szCs w:val="21"/>
                      <w:highlight w:val="none"/>
                      <w:u w:val="none"/>
                      <w:vertAlign w:val="baseline"/>
                      <w:lang w:val="en-US" w:eastAsia="zh-CN"/>
                    </w:rPr>
                  </w:pPr>
                  <w:r>
                    <w:rPr>
                      <w:rFonts w:hint="default" w:ascii="Times New Roman" w:hAnsi="Times New Roman" w:eastAsia="宋体" w:cs="Times New Roman"/>
                      <w:b w:val="0"/>
                      <w:bCs/>
                      <w:i w:val="0"/>
                      <w:iCs w:val="0"/>
                      <w:color w:val="auto"/>
                      <w:sz w:val="21"/>
                      <w:szCs w:val="21"/>
                      <w:highlight w:val="none"/>
                      <w:u w:val="none"/>
                      <w:vertAlign w:val="baseline"/>
                      <w:lang w:val="en-US" w:eastAsia="zh-CN"/>
                    </w:rPr>
                    <w:t>产污</w:t>
                  </w:r>
                </w:p>
                <w:p>
                  <w:pPr>
                    <w:keepNext w:val="0"/>
                    <w:keepLines w:val="0"/>
                    <w:pageBreakBefore w:val="0"/>
                    <w:kinsoku/>
                    <w:wordWrap/>
                    <w:overflowPunct/>
                    <w:topLinePunct w:val="0"/>
                    <w:bidi w:val="0"/>
                    <w:spacing w:line="240" w:lineRule="auto"/>
                    <w:jc w:val="center"/>
                    <w:textAlignment w:val="auto"/>
                    <w:outlineLvl w:val="9"/>
                    <w:rPr>
                      <w:rFonts w:hint="default" w:ascii="Times New Roman" w:hAnsi="Times New Roman" w:eastAsia="宋体" w:cs="Times New Roman"/>
                      <w:b w:val="0"/>
                      <w:bCs/>
                      <w:i w:val="0"/>
                      <w:iCs w:val="0"/>
                      <w:color w:val="auto"/>
                      <w:kern w:val="2"/>
                      <w:sz w:val="21"/>
                      <w:szCs w:val="21"/>
                      <w:highlight w:val="none"/>
                      <w:u w:val="none"/>
                      <w:vertAlign w:val="baseline"/>
                      <w:lang w:val="en-US" w:eastAsia="zh-CN" w:bidi="ar-SA"/>
                    </w:rPr>
                  </w:pPr>
                  <w:r>
                    <w:rPr>
                      <w:rFonts w:hint="default" w:ascii="Times New Roman" w:hAnsi="Times New Roman" w:eastAsia="宋体" w:cs="Times New Roman"/>
                      <w:b w:val="0"/>
                      <w:bCs/>
                      <w:i w:val="0"/>
                      <w:iCs w:val="0"/>
                      <w:color w:val="auto"/>
                      <w:sz w:val="21"/>
                      <w:szCs w:val="21"/>
                      <w:highlight w:val="none"/>
                      <w:u w:val="none"/>
                      <w:vertAlign w:val="baseline"/>
                      <w:lang w:val="en-US" w:eastAsia="zh-CN"/>
                    </w:rPr>
                    <w:t>工序</w:t>
                  </w:r>
                </w:p>
              </w:tc>
              <w:tc>
                <w:tcPr>
                  <w:tcW w:w="1376" w:type="dxa"/>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outlineLvl w:val="9"/>
                    <w:rPr>
                      <w:rFonts w:hint="default" w:ascii="Times New Roman" w:hAnsi="Times New Roman" w:eastAsia="宋体" w:cs="Times New Roman"/>
                      <w:b w:val="0"/>
                      <w:bCs/>
                      <w:i w:val="0"/>
                      <w:iCs w:val="0"/>
                      <w:color w:val="auto"/>
                      <w:kern w:val="2"/>
                      <w:sz w:val="21"/>
                      <w:szCs w:val="21"/>
                      <w:highlight w:val="none"/>
                      <w:u w:val="none"/>
                      <w:vertAlign w:val="baseline"/>
                      <w:lang w:val="en-US" w:eastAsia="zh-CN" w:bidi="ar-SA"/>
                    </w:rPr>
                  </w:pPr>
                  <w:r>
                    <w:rPr>
                      <w:rFonts w:hint="default" w:ascii="Times New Roman" w:hAnsi="Times New Roman" w:cs="Times New Roman"/>
                      <w:i w:val="0"/>
                      <w:iCs w:val="0"/>
                      <w:color w:val="auto"/>
                      <w:sz w:val="21"/>
                      <w:szCs w:val="21"/>
                      <w:highlight w:val="none"/>
                      <w:u w:val="none"/>
                      <w:shd w:val="clear" w:color="auto" w:fill="auto"/>
                    </w:rPr>
                    <w:t>产污环节</w:t>
                  </w:r>
                  <w:r>
                    <w:rPr>
                      <w:rFonts w:hint="default" w:ascii="Times New Roman" w:hAnsi="Times New Roman" w:cs="Times New Roman"/>
                      <w:i w:val="0"/>
                      <w:iCs w:val="0"/>
                      <w:color w:val="auto"/>
                      <w:sz w:val="21"/>
                      <w:szCs w:val="21"/>
                      <w:highlight w:val="none"/>
                      <w:u w:val="none"/>
                      <w:shd w:val="clear" w:color="auto" w:fill="auto"/>
                      <w:lang w:val="en-US" w:eastAsia="zh-CN"/>
                    </w:rPr>
                    <w:t>名称</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i w:val="0"/>
                      <w:iCs w:val="0"/>
                      <w:color w:val="auto"/>
                      <w:sz w:val="21"/>
                      <w:szCs w:val="21"/>
                      <w:highlight w:val="none"/>
                      <w:u w:val="none"/>
                      <w:shd w:val="clear" w:color="auto" w:fill="auto"/>
                      <w:lang w:val="en-US" w:eastAsia="zh-CN"/>
                    </w:rPr>
                  </w:pPr>
                  <w:r>
                    <w:rPr>
                      <w:rFonts w:hint="default" w:ascii="Times New Roman" w:hAnsi="Times New Roman" w:cs="Times New Roman"/>
                      <w:i w:val="0"/>
                      <w:iCs w:val="0"/>
                      <w:color w:val="auto"/>
                      <w:sz w:val="21"/>
                      <w:szCs w:val="21"/>
                      <w:highlight w:val="none"/>
                      <w:u w:val="none"/>
                      <w:shd w:val="clear" w:color="auto" w:fill="auto"/>
                      <w:lang w:val="en-US" w:eastAsia="zh-CN"/>
                    </w:rPr>
                    <w:t>污染物项目</w:t>
                  </w:r>
                </w:p>
              </w:tc>
              <w:tc>
                <w:tcPr>
                  <w:tcW w:w="10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i w:val="0"/>
                      <w:iCs w:val="0"/>
                      <w:color w:val="auto"/>
                      <w:sz w:val="21"/>
                      <w:szCs w:val="21"/>
                      <w:highlight w:val="none"/>
                      <w:u w:val="none"/>
                      <w:shd w:val="clear" w:color="auto" w:fill="auto"/>
                      <w:lang w:val="en-US" w:eastAsia="zh-CN"/>
                    </w:rPr>
                  </w:pPr>
                  <w:r>
                    <w:rPr>
                      <w:rFonts w:hint="default" w:ascii="Times New Roman" w:hAnsi="Times New Roman" w:cs="Times New Roman"/>
                      <w:i w:val="0"/>
                      <w:iCs w:val="0"/>
                      <w:color w:val="auto"/>
                      <w:sz w:val="21"/>
                      <w:szCs w:val="21"/>
                      <w:highlight w:val="none"/>
                      <w:u w:val="none"/>
                      <w:shd w:val="clear" w:color="auto" w:fill="auto"/>
                      <w:lang w:val="en-US" w:eastAsia="zh-CN"/>
                    </w:rPr>
                    <w:t>编号</w:t>
                  </w:r>
                </w:p>
              </w:tc>
              <w:tc>
                <w:tcPr>
                  <w:tcW w:w="8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sz w:val="21"/>
                      <w:szCs w:val="21"/>
                      <w:highlight w:val="none"/>
                      <w:u w:val="none"/>
                      <w:shd w:val="clear" w:color="auto" w:fill="auto"/>
                    </w:rPr>
                  </w:pPr>
                  <w:r>
                    <w:rPr>
                      <w:rFonts w:hint="default" w:ascii="Times New Roman" w:hAnsi="Times New Roman" w:cs="Times New Roman"/>
                      <w:i w:val="0"/>
                      <w:iCs w:val="0"/>
                      <w:color w:val="auto"/>
                      <w:sz w:val="21"/>
                      <w:szCs w:val="21"/>
                      <w:highlight w:val="none"/>
                      <w:u w:val="none"/>
                      <w:shd w:val="clear" w:color="auto" w:fill="auto"/>
                    </w:rPr>
                    <w:t>排放规律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sz w:val="21"/>
                      <w:szCs w:val="21"/>
                      <w:highlight w:val="none"/>
                      <w:u w:val="none"/>
                      <w:shd w:val="clear" w:color="auto" w:fill="auto"/>
                    </w:rPr>
                  </w:pPr>
                </w:p>
              </w:tc>
              <w:tc>
                <w:tcPr>
                  <w:tcW w:w="7793"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sz w:val="21"/>
                      <w:szCs w:val="21"/>
                      <w:highlight w:val="none"/>
                      <w:u w:val="none"/>
                      <w:shd w:val="clear" w:color="auto" w:fill="auto"/>
                      <w:lang w:val="en-US" w:eastAsia="zh-CN"/>
                    </w:rPr>
                  </w:pPr>
                  <w:r>
                    <w:rPr>
                      <w:rFonts w:hint="default" w:ascii="Times New Roman" w:hAnsi="Times New Roman" w:cs="Times New Roman"/>
                      <w:i w:val="0"/>
                      <w:iCs w:val="0"/>
                      <w:color w:val="auto"/>
                      <w:sz w:val="21"/>
                      <w:szCs w:val="21"/>
                      <w:highlight w:val="none"/>
                      <w:u w:val="none"/>
                      <w:shd w:val="clear" w:color="auto" w:fill="auto"/>
                      <w:lang w:val="en-US" w:eastAsia="zh-CN"/>
                    </w:rPr>
                    <w:t>运营期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0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sz w:val="21"/>
                      <w:szCs w:val="21"/>
                      <w:highlight w:val="none"/>
                      <w:u w:val="none"/>
                      <w:shd w:val="clear" w:color="auto" w:fill="auto"/>
                    </w:rPr>
                  </w:pPr>
                  <w:r>
                    <w:rPr>
                      <w:rFonts w:hint="default" w:ascii="Times New Roman" w:hAnsi="Times New Roman" w:cs="Times New Roman"/>
                      <w:i w:val="0"/>
                      <w:iCs w:val="0"/>
                      <w:color w:val="auto"/>
                      <w:sz w:val="21"/>
                      <w:szCs w:val="21"/>
                      <w:highlight w:val="none"/>
                      <w:u w:val="none"/>
                      <w:shd w:val="clear" w:color="auto" w:fill="auto"/>
                    </w:rPr>
                    <w:t>废气</w:t>
                  </w:r>
                </w:p>
              </w:tc>
              <w:tc>
                <w:tcPr>
                  <w:tcW w:w="1987" w:type="dxa"/>
                  <w:vMerge w:val="restart"/>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outlineLvl w:val="9"/>
                    <w:rPr>
                      <w:rFonts w:hint="default" w:ascii="Times New Roman" w:hAnsi="Times New Roman" w:eastAsia="宋体" w:cs="Times New Roman"/>
                      <w:b w:val="0"/>
                      <w:bCs/>
                      <w:i w:val="0"/>
                      <w:iCs w:val="0"/>
                      <w:color w:val="auto"/>
                      <w:kern w:val="2"/>
                      <w:sz w:val="21"/>
                      <w:szCs w:val="21"/>
                      <w:highlight w:val="none"/>
                      <w:u w:val="none"/>
                      <w:vertAlign w:val="baseline"/>
                      <w:lang w:val="en-US" w:eastAsia="zh-CN" w:bidi="ar-SA"/>
                    </w:rPr>
                  </w:pPr>
                  <w:r>
                    <w:rPr>
                      <w:rFonts w:hint="default" w:ascii="Times New Roman" w:hAnsi="Times New Roman" w:eastAsia="宋体" w:cs="Times New Roman"/>
                      <w:b w:val="0"/>
                      <w:bCs/>
                      <w:i w:val="0"/>
                      <w:iCs w:val="0"/>
                      <w:color w:val="auto"/>
                      <w:sz w:val="21"/>
                      <w:szCs w:val="21"/>
                      <w:highlight w:val="none"/>
                      <w:u w:val="none"/>
                      <w:vertAlign w:val="baseline"/>
                      <w:lang w:val="en-US" w:eastAsia="zh-CN"/>
                    </w:rPr>
                    <w:t>树脂隔音材料</w:t>
                  </w:r>
                  <w:r>
                    <w:rPr>
                      <w:rFonts w:hint="eastAsia" w:ascii="Times New Roman" w:hAnsi="Times New Roman" w:eastAsia="宋体" w:cs="Times New Roman"/>
                      <w:b w:val="0"/>
                      <w:bCs/>
                      <w:i w:val="0"/>
                      <w:iCs w:val="0"/>
                      <w:color w:val="auto"/>
                      <w:sz w:val="21"/>
                      <w:szCs w:val="21"/>
                      <w:highlight w:val="none"/>
                      <w:u w:val="none"/>
                      <w:vertAlign w:val="baseline"/>
                      <w:lang w:val="en-US" w:eastAsia="zh-CN"/>
                    </w:rPr>
                    <w:t>生产工序</w:t>
                  </w:r>
                </w:p>
              </w:tc>
              <w:tc>
                <w:tcPr>
                  <w:tcW w:w="13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i w:val="0"/>
                      <w:iCs w:val="0"/>
                      <w:color w:val="auto"/>
                      <w:kern w:val="2"/>
                      <w:sz w:val="21"/>
                      <w:szCs w:val="21"/>
                      <w:highlight w:val="none"/>
                      <w:u w:val="none" w:color="auto"/>
                      <w:shd w:val="clear" w:color="auto" w:fill="auto"/>
                      <w:lang w:val="en-US" w:eastAsia="zh-CN" w:bidi="ar-SA"/>
                    </w:rPr>
                  </w:pPr>
                  <w:r>
                    <w:rPr>
                      <w:rFonts w:hint="default" w:ascii="Times New Roman" w:hAnsi="Times New Roman" w:cs="Times New Roman"/>
                      <w:i w:val="0"/>
                      <w:iCs w:val="0"/>
                      <w:color w:val="auto"/>
                      <w:sz w:val="21"/>
                      <w:szCs w:val="21"/>
                      <w:highlight w:val="none"/>
                      <w:u w:val="none" w:color="auto"/>
                      <w:shd w:val="clear" w:color="auto" w:fill="auto"/>
                      <w:lang w:val="en-US" w:eastAsia="zh-CN"/>
                    </w:rPr>
                    <w:t>注塑</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i w:val="0"/>
                      <w:iCs w:val="0"/>
                      <w:color w:val="auto"/>
                      <w:kern w:val="2"/>
                      <w:sz w:val="21"/>
                      <w:szCs w:val="21"/>
                      <w:highlight w:val="none"/>
                      <w:u w:val="none" w:color="auto"/>
                      <w:shd w:val="clear" w:color="auto" w:fill="auto"/>
                      <w:lang w:val="en-US" w:eastAsia="zh-CN" w:bidi="ar-SA"/>
                    </w:rPr>
                  </w:pPr>
                  <w:r>
                    <w:rPr>
                      <w:rFonts w:hint="default" w:ascii="Times New Roman" w:hAnsi="Times New Roman" w:cs="Times New Roman"/>
                      <w:i w:val="0"/>
                      <w:iCs w:val="0"/>
                      <w:color w:val="auto"/>
                      <w:sz w:val="21"/>
                      <w:szCs w:val="21"/>
                      <w:highlight w:val="none"/>
                      <w:u w:val="none" w:color="auto"/>
                      <w:shd w:val="clear" w:color="auto" w:fill="auto"/>
                      <w:lang w:val="en-US" w:eastAsia="zh-CN"/>
                    </w:rPr>
                    <w:t>NMHC</w:t>
                  </w:r>
                </w:p>
              </w:tc>
              <w:tc>
                <w:tcPr>
                  <w:tcW w:w="10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sz w:val="21"/>
                      <w:szCs w:val="21"/>
                      <w:highlight w:val="none"/>
                      <w:u w:val="none"/>
                      <w:shd w:val="clear" w:color="auto" w:fill="auto"/>
                      <w:lang w:val="en-US" w:eastAsia="zh-CN"/>
                    </w:rPr>
                  </w:pPr>
                  <w:r>
                    <w:rPr>
                      <w:rFonts w:hint="default" w:ascii="Times New Roman" w:hAnsi="Times New Roman" w:cs="Times New Roman"/>
                      <w:i w:val="0"/>
                      <w:iCs w:val="0"/>
                      <w:color w:val="auto"/>
                      <w:sz w:val="21"/>
                      <w:szCs w:val="21"/>
                      <w:highlight w:val="none"/>
                      <w:u w:val="none"/>
                      <w:shd w:val="clear" w:color="auto" w:fill="auto"/>
                      <w:lang w:val="en-US" w:eastAsia="zh-CN"/>
                    </w:rPr>
                    <w:t>G</w:t>
                  </w:r>
                  <w:r>
                    <w:rPr>
                      <w:rFonts w:hint="eastAsia" w:ascii="Times New Roman" w:hAnsi="Times New Roman" w:cs="Times New Roman"/>
                      <w:i w:val="0"/>
                      <w:iCs w:val="0"/>
                      <w:color w:val="auto"/>
                      <w:sz w:val="21"/>
                      <w:szCs w:val="21"/>
                      <w:highlight w:val="none"/>
                      <w:u w:val="none"/>
                      <w:shd w:val="clear" w:color="auto" w:fill="auto"/>
                      <w:lang w:val="en-US" w:eastAsia="zh-CN"/>
                    </w:rPr>
                    <w:t>1</w:t>
                  </w:r>
                </w:p>
              </w:tc>
              <w:tc>
                <w:tcPr>
                  <w:tcW w:w="8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sz w:val="21"/>
                      <w:szCs w:val="21"/>
                      <w:highlight w:val="none"/>
                      <w:u w:val="none"/>
                      <w:shd w:val="clear" w:color="auto" w:fill="auto"/>
                      <w:lang w:val="en-US" w:eastAsia="zh-CN"/>
                    </w:rPr>
                  </w:pPr>
                  <w:r>
                    <w:rPr>
                      <w:rFonts w:hint="default" w:ascii="Times New Roman" w:hAnsi="Times New Roman" w:cs="Times New Roman"/>
                      <w:i w:val="0"/>
                      <w:iCs w:val="0"/>
                      <w:color w:val="auto"/>
                      <w:sz w:val="21"/>
                      <w:szCs w:val="21"/>
                      <w:highlight w:val="none"/>
                      <w:u w:val="none"/>
                      <w:shd w:val="clear" w:color="auto" w:fill="auto"/>
                      <w:lang w:val="en-US" w:eastAsia="zh-CN"/>
                    </w:rPr>
                    <w:t>间断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sz w:val="21"/>
                      <w:szCs w:val="21"/>
                      <w:highlight w:val="none"/>
                      <w:u w:val="none"/>
                      <w:shd w:val="clear" w:color="auto" w:fill="auto"/>
                    </w:rPr>
                  </w:pPr>
                </w:p>
              </w:tc>
              <w:tc>
                <w:tcPr>
                  <w:tcW w:w="1987" w:type="dxa"/>
                  <w:vMerge w:val="continue"/>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outlineLvl w:val="9"/>
                    <w:rPr>
                      <w:rFonts w:hint="eastAsia" w:eastAsia="宋体"/>
                      <w:color w:val="auto"/>
                      <w:kern w:val="2"/>
                      <w:sz w:val="21"/>
                      <w:szCs w:val="21"/>
                      <w:highlight w:val="none"/>
                      <w:lang w:val="en-US" w:eastAsia="zh-CN" w:bidi="ar-SA"/>
                    </w:rPr>
                  </w:pPr>
                </w:p>
              </w:tc>
              <w:tc>
                <w:tcPr>
                  <w:tcW w:w="13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i w:val="0"/>
                      <w:iCs w:val="0"/>
                      <w:color w:val="auto"/>
                      <w:kern w:val="2"/>
                      <w:sz w:val="21"/>
                      <w:szCs w:val="21"/>
                      <w:highlight w:val="none"/>
                      <w:u w:val="none" w:color="auto"/>
                      <w:shd w:val="clear" w:color="auto" w:fill="auto"/>
                      <w:lang w:val="en-US" w:eastAsia="zh-CN" w:bidi="ar-SA"/>
                    </w:rPr>
                  </w:pPr>
                  <w:r>
                    <w:rPr>
                      <w:rFonts w:hint="default" w:ascii="Times New Roman" w:hAnsi="Times New Roman" w:cs="Times New Roman"/>
                      <w:i w:val="0"/>
                      <w:iCs w:val="0"/>
                      <w:color w:val="auto"/>
                      <w:sz w:val="21"/>
                      <w:szCs w:val="21"/>
                      <w:highlight w:val="none"/>
                      <w:u w:val="none" w:color="auto"/>
                      <w:shd w:val="clear" w:color="auto" w:fill="auto"/>
                      <w:lang w:val="en-US" w:eastAsia="zh-CN"/>
                    </w:rPr>
                    <w:t>破碎</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i w:val="0"/>
                      <w:iCs w:val="0"/>
                      <w:color w:val="auto"/>
                      <w:kern w:val="2"/>
                      <w:sz w:val="21"/>
                      <w:szCs w:val="21"/>
                      <w:highlight w:val="none"/>
                      <w:u w:val="none" w:color="auto"/>
                      <w:shd w:val="clear" w:color="auto" w:fill="auto"/>
                      <w:lang w:val="en-US" w:eastAsia="zh-CN" w:bidi="ar-SA"/>
                    </w:rPr>
                  </w:pPr>
                  <w:r>
                    <w:rPr>
                      <w:rFonts w:hint="default" w:ascii="Times New Roman" w:hAnsi="Times New Roman" w:cs="Times New Roman"/>
                      <w:i w:val="0"/>
                      <w:iCs w:val="0"/>
                      <w:color w:val="auto"/>
                      <w:sz w:val="21"/>
                      <w:szCs w:val="21"/>
                      <w:highlight w:val="none"/>
                      <w:u w:val="none" w:color="auto"/>
                      <w:shd w:val="clear" w:color="auto" w:fill="auto"/>
                      <w:lang w:val="en-US" w:eastAsia="zh-CN"/>
                    </w:rPr>
                    <w:t>颗粒物</w:t>
                  </w:r>
                </w:p>
              </w:tc>
              <w:tc>
                <w:tcPr>
                  <w:tcW w:w="10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sz w:val="21"/>
                      <w:szCs w:val="21"/>
                      <w:highlight w:val="none"/>
                      <w:u w:val="none"/>
                      <w:shd w:val="clear" w:color="auto" w:fill="auto"/>
                      <w:lang w:val="en-US" w:eastAsia="zh-CN"/>
                    </w:rPr>
                  </w:pPr>
                  <w:r>
                    <w:rPr>
                      <w:rFonts w:hint="default" w:ascii="Times New Roman" w:hAnsi="Times New Roman" w:cs="Times New Roman"/>
                      <w:i w:val="0"/>
                      <w:iCs w:val="0"/>
                      <w:color w:val="auto"/>
                      <w:sz w:val="21"/>
                      <w:szCs w:val="21"/>
                      <w:highlight w:val="none"/>
                      <w:u w:val="none"/>
                      <w:shd w:val="clear" w:color="auto" w:fill="auto"/>
                      <w:lang w:val="en-US" w:eastAsia="zh-CN"/>
                    </w:rPr>
                    <w:t>G</w:t>
                  </w:r>
                  <w:r>
                    <w:rPr>
                      <w:rFonts w:hint="eastAsia" w:ascii="Times New Roman" w:hAnsi="Times New Roman" w:cs="Times New Roman"/>
                      <w:i w:val="0"/>
                      <w:iCs w:val="0"/>
                      <w:color w:val="auto"/>
                      <w:sz w:val="21"/>
                      <w:szCs w:val="21"/>
                      <w:highlight w:val="none"/>
                      <w:u w:val="none"/>
                      <w:shd w:val="clear" w:color="auto" w:fill="auto"/>
                      <w:lang w:val="en-US" w:eastAsia="zh-CN"/>
                    </w:rPr>
                    <w:t>2</w:t>
                  </w:r>
                </w:p>
              </w:tc>
              <w:tc>
                <w:tcPr>
                  <w:tcW w:w="8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kern w:val="2"/>
                      <w:sz w:val="21"/>
                      <w:szCs w:val="21"/>
                      <w:highlight w:val="none"/>
                      <w:u w:val="none"/>
                      <w:shd w:val="clear" w:color="auto" w:fill="auto"/>
                      <w:lang w:val="en-US" w:eastAsia="zh-CN" w:bidi="ar-SA"/>
                    </w:rPr>
                  </w:pPr>
                  <w:r>
                    <w:rPr>
                      <w:rFonts w:hint="default" w:ascii="Times New Roman" w:hAnsi="Times New Roman" w:cs="Times New Roman"/>
                      <w:i w:val="0"/>
                      <w:iCs w:val="0"/>
                      <w:color w:val="auto"/>
                      <w:sz w:val="21"/>
                      <w:szCs w:val="21"/>
                      <w:highlight w:val="none"/>
                      <w:u w:val="none"/>
                      <w:shd w:val="clear" w:color="auto" w:fill="auto"/>
                      <w:lang w:val="en-US" w:eastAsia="zh-CN"/>
                    </w:rPr>
                    <w:t>间断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sz w:val="21"/>
                      <w:szCs w:val="21"/>
                      <w:highlight w:val="none"/>
                      <w:u w:val="none"/>
                      <w:shd w:val="clear" w:color="auto" w:fill="auto"/>
                    </w:rPr>
                  </w:pPr>
                </w:p>
              </w:tc>
              <w:tc>
                <w:tcPr>
                  <w:tcW w:w="1987" w:type="dxa"/>
                  <w:vMerge w:val="continue"/>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outlineLvl w:val="9"/>
                    <w:rPr>
                      <w:rFonts w:hint="eastAsia" w:ascii="Times New Roman" w:hAnsi="Times New Roman" w:eastAsia="宋体" w:cs="Times New Roman"/>
                      <w:b w:val="0"/>
                      <w:bCs/>
                      <w:i w:val="0"/>
                      <w:iCs w:val="0"/>
                      <w:color w:val="auto"/>
                      <w:kern w:val="2"/>
                      <w:sz w:val="21"/>
                      <w:szCs w:val="21"/>
                      <w:highlight w:val="none"/>
                      <w:u w:val="none"/>
                      <w:vertAlign w:val="baseline"/>
                      <w:lang w:val="en-US" w:eastAsia="zh-CN" w:bidi="ar-SA"/>
                    </w:rPr>
                  </w:pPr>
                </w:p>
              </w:tc>
              <w:tc>
                <w:tcPr>
                  <w:tcW w:w="13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i w:val="0"/>
                      <w:iCs w:val="0"/>
                      <w:color w:val="auto"/>
                      <w:kern w:val="2"/>
                      <w:sz w:val="21"/>
                      <w:szCs w:val="21"/>
                      <w:highlight w:val="none"/>
                      <w:u w:val="none" w:color="auto"/>
                      <w:shd w:val="clear" w:color="auto" w:fill="auto"/>
                      <w:lang w:val="en-US" w:eastAsia="zh-CN" w:bidi="ar-SA"/>
                    </w:rPr>
                  </w:pPr>
                  <w:r>
                    <w:rPr>
                      <w:rFonts w:hint="default" w:ascii="Times New Roman" w:hAnsi="Times New Roman" w:cs="Times New Roman"/>
                      <w:i w:val="0"/>
                      <w:iCs w:val="0"/>
                      <w:color w:val="auto"/>
                      <w:sz w:val="21"/>
                      <w:szCs w:val="21"/>
                      <w:highlight w:val="none"/>
                      <w:u w:val="none" w:color="auto"/>
                      <w:shd w:val="clear" w:color="auto" w:fill="auto"/>
                      <w:lang w:val="en-US" w:eastAsia="zh-CN"/>
                    </w:rPr>
                    <w:t>模具清洗</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i w:val="0"/>
                      <w:iCs w:val="0"/>
                      <w:color w:val="auto"/>
                      <w:kern w:val="2"/>
                      <w:sz w:val="21"/>
                      <w:szCs w:val="21"/>
                      <w:highlight w:val="none"/>
                      <w:u w:val="none" w:color="auto"/>
                      <w:shd w:val="clear" w:color="auto" w:fill="auto"/>
                      <w:lang w:val="en-US" w:eastAsia="zh-CN" w:bidi="ar-SA"/>
                    </w:rPr>
                  </w:pPr>
                  <w:r>
                    <w:rPr>
                      <w:rFonts w:hint="default" w:ascii="Times New Roman" w:hAnsi="Times New Roman" w:cs="Times New Roman"/>
                      <w:i w:val="0"/>
                      <w:iCs w:val="0"/>
                      <w:color w:val="auto"/>
                      <w:sz w:val="21"/>
                      <w:szCs w:val="21"/>
                      <w:highlight w:val="none"/>
                      <w:u w:val="none" w:color="auto"/>
                      <w:shd w:val="clear" w:color="auto" w:fill="auto"/>
                      <w:lang w:val="en-US" w:eastAsia="zh-CN"/>
                    </w:rPr>
                    <w:t>NMHC</w:t>
                  </w:r>
                </w:p>
              </w:tc>
              <w:tc>
                <w:tcPr>
                  <w:tcW w:w="10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sz w:val="21"/>
                      <w:szCs w:val="21"/>
                      <w:highlight w:val="none"/>
                      <w:u w:val="none"/>
                      <w:shd w:val="clear" w:color="auto" w:fill="auto"/>
                      <w:lang w:val="en-US" w:eastAsia="zh-CN"/>
                    </w:rPr>
                  </w:pPr>
                  <w:r>
                    <w:rPr>
                      <w:rFonts w:hint="default" w:ascii="Times New Roman" w:hAnsi="Times New Roman" w:cs="Times New Roman"/>
                      <w:i w:val="0"/>
                      <w:iCs w:val="0"/>
                      <w:color w:val="auto"/>
                      <w:sz w:val="21"/>
                      <w:szCs w:val="21"/>
                      <w:highlight w:val="none"/>
                      <w:u w:val="none"/>
                      <w:shd w:val="clear" w:color="auto" w:fill="auto"/>
                      <w:lang w:val="en-US" w:eastAsia="zh-CN"/>
                    </w:rPr>
                    <w:t>G</w:t>
                  </w:r>
                  <w:r>
                    <w:rPr>
                      <w:rFonts w:hint="eastAsia" w:ascii="Times New Roman" w:hAnsi="Times New Roman" w:cs="Times New Roman"/>
                      <w:i w:val="0"/>
                      <w:iCs w:val="0"/>
                      <w:color w:val="auto"/>
                      <w:sz w:val="21"/>
                      <w:szCs w:val="21"/>
                      <w:highlight w:val="none"/>
                      <w:u w:val="none"/>
                      <w:shd w:val="clear" w:color="auto" w:fill="auto"/>
                      <w:lang w:val="en-US" w:eastAsia="zh-CN"/>
                    </w:rPr>
                    <w:t>3</w:t>
                  </w:r>
                </w:p>
              </w:tc>
              <w:tc>
                <w:tcPr>
                  <w:tcW w:w="8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kern w:val="2"/>
                      <w:sz w:val="21"/>
                      <w:szCs w:val="21"/>
                      <w:highlight w:val="none"/>
                      <w:u w:val="none"/>
                      <w:shd w:val="clear" w:color="auto" w:fill="auto"/>
                      <w:lang w:val="en-US" w:eastAsia="zh-CN" w:bidi="ar-SA"/>
                    </w:rPr>
                  </w:pPr>
                  <w:r>
                    <w:rPr>
                      <w:rFonts w:hint="default" w:ascii="Times New Roman" w:hAnsi="Times New Roman" w:cs="Times New Roman"/>
                      <w:i w:val="0"/>
                      <w:iCs w:val="0"/>
                      <w:color w:val="auto"/>
                      <w:sz w:val="21"/>
                      <w:szCs w:val="21"/>
                      <w:highlight w:val="none"/>
                      <w:u w:val="none"/>
                      <w:shd w:val="clear" w:color="auto" w:fill="auto"/>
                      <w:lang w:val="en-US" w:eastAsia="zh-CN"/>
                    </w:rPr>
                    <w:t>间断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sz w:val="21"/>
                      <w:szCs w:val="21"/>
                      <w:highlight w:val="none"/>
                      <w:u w:val="none"/>
                      <w:shd w:val="clear" w:color="auto" w:fill="auto"/>
                    </w:rPr>
                  </w:pPr>
                </w:p>
              </w:tc>
              <w:tc>
                <w:tcPr>
                  <w:tcW w:w="1987" w:type="dxa"/>
                  <w:vMerge w:val="continue"/>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outlineLvl w:val="9"/>
                    <w:rPr>
                      <w:rFonts w:hint="eastAsia" w:ascii="Times New Roman" w:hAnsi="Times New Roman" w:eastAsia="宋体" w:cs="Times New Roman"/>
                      <w:b w:val="0"/>
                      <w:bCs/>
                      <w:i w:val="0"/>
                      <w:iCs w:val="0"/>
                      <w:color w:val="auto"/>
                      <w:kern w:val="2"/>
                      <w:sz w:val="21"/>
                      <w:szCs w:val="21"/>
                      <w:highlight w:val="none"/>
                      <w:u w:val="none"/>
                      <w:vertAlign w:val="baseline"/>
                      <w:lang w:val="en-US" w:eastAsia="zh-CN" w:bidi="ar-SA"/>
                    </w:rPr>
                  </w:pPr>
                </w:p>
              </w:tc>
              <w:tc>
                <w:tcPr>
                  <w:tcW w:w="13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i w:val="0"/>
                      <w:iCs w:val="0"/>
                      <w:color w:val="auto"/>
                      <w:kern w:val="2"/>
                      <w:sz w:val="21"/>
                      <w:szCs w:val="21"/>
                      <w:highlight w:val="none"/>
                      <w:u w:val="none" w:color="auto"/>
                      <w:shd w:val="clear" w:color="auto" w:fill="auto"/>
                      <w:lang w:val="en-US" w:eastAsia="zh-CN" w:bidi="ar-SA"/>
                    </w:rPr>
                  </w:pPr>
                  <w:r>
                    <w:rPr>
                      <w:rFonts w:hint="default" w:ascii="Times New Roman" w:hAnsi="Times New Roman" w:cs="Times New Roman"/>
                      <w:i w:val="0"/>
                      <w:iCs w:val="0"/>
                      <w:color w:val="auto"/>
                      <w:sz w:val="21"/>
                      <w:szCs w:val="21"/>
                      <w:highlight w:val="none"/>
                      <w:u w:val="none" w:color="auto"/>
                      <w:shd w:val="clear" w:color="auto" w:fill="auto"/>
                      <w:lang w:val="en-US" w:eastAsia="zh-CN"/>
                    </w:rPr>
                    <w:t>模具防锈</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i w:val="0"/>
                      <w:iCs w:val="0"/>
                      <w:color w:val="auto"/>
                      <w:kern w:val="2"/>
                      <w:sz w:val="21"/>
                      <w:szCs w:val="21"/>
                      <w:highlight w:val="none"/>
                      <w:u w:val="none" w:color="auto"/>
                      <w:shd w:val="clear" w:color="auto" w:fill="auto"/>
                      <w:lang w:val="en-US" w:eastAsia="zh-CN" w:bidi="ar-SA"/>
                    </w:rPr>
                  </w:pPr>
                  <w:r>
                    <w:rPr>
                      <w:rFonts w:hint="default" w:ascii="Times New Roman" w:hAnsi="Times New Roman" w:cs="Times New Roman"/>
                      <w:i w:val="0"/>
                      <w:iCs w:val="0"/>
                      <w:color w:val="auto"/>
                      <w:sz w:val="21"/>
                      <w:szCs w:val="21"/>
                      <w:highlight w:val="none"/>
                      <w:u w:val="none" w:color="auto"/>
                      <w:shd w:val="clear" w:color="auto" w:fill="auto"/>
                      <w:lang w:val="en-US" w:eastAsia="zh-CN"/>
                    </w:rPr>
                    <w:t>NMHC</w:t>
                  </w:r>
                </w:p>
              </w:tc>
              <w:tc>
                <w:tcPr>
                  <w:tcW w:w="10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sz w:val="21"/>
                      <w:szCs w:val="21"/>
                      <w:highlight w:val="none"/>
                      <w:u w:val="none"/>
                      <w:shd w:val="clear" w:color="auto" w:fill="auto"/>
                      <w:lang w:val="en-US" w:eastAsia="zh-CN"/>
                    </w:rPr>
                  </w:pPr>
                  <w:r>
                    <w:rPr>
                      <w:rFonts w:hint="default" w:ascii="Times New Roman" w:hAnsi="Times New Roman" w:cs="Times New Roman"/>
                      <w:i w:val="0"/>
                      <w:iCs w:val="0"/>
                      <w:color w:val="auto"/>
                      <w:sz w:val="21"/>
                      <w:szCs w:val="21"/>
                      <w:highlight w:val="none"/>
                      <w:u w:val="none"/>
                      <w:shd w:val="clear" w:color="auto" w:fill="auto"/>
                      <w:lang w:val="en-US" w:eastAsia="zh-CN"/>
                    </w:rPr>
                    <w:t>G</w:t>
                  </w:r>
                  <w:r>
                    <w:rPr>
                      <w:rFonts w:hint="eastAsia" w:cs="Times New Roman"/>
                      <w:i w:val="0"/>
                      <w:iCs w:val="0"/>
                      <w:color w:val="auto"/>
                      <w:sz w:val="21"/>
                      <w:szCs w:val="21"/>
                      <w:highlight w:val="none"/>
                      <w:u w:val="none"/>
                      <w:shd w:val="clear" w:color="auto" w:fill="auto"/>
                      <w:lang w:val="en-US" w:eastAsia="zh-CN"/>
                    </w:rPr>
                    <w:t>4</w:t>
                  </w:r>
                </w:p>
              </w:tc>
              <w:tc>
                <w:tcPr>
                  <w:tcW w:w="8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kern w:val="2"/>
                      <w:sz w:val="21"/>
                      <w:szCs w:val="21"/>
                      <w:highlight w:val="none"/>
                      <w:u w:val="none"/>
                      <w:shd w:val="clear" w:color="auto" w:fill="auto"/>
                      <w:lang w:val="en-US" w:eastAsia="zh-CN" w:bidi="ar-SA"/>
                    </w:rPr>
                  </w:pPr>
                  <w:r>
                    <w:rPr>
                      <w:rFonts w:hint="default" w:ascii="Times New Roman" w:hAnsi="Times New Roman" w:cs="Times New Roman"/>
                      <w:i w:val="0"/>
                      <w:iCs w:val="0"/>
                      <w:color w:val="auto"/>
                      <w:sz w:val="21"/>
                      <w:szCs w:val="21"/>
                      <w:highlight w:val="none"/>
                      <w:u w:val="none"/>
                      <w:shd w:val="clear" w:color="auto" w:fill="auto"/>
                      <w:lang w:val="en-US" w:eastAsia="zh-CN"/>
                    </w:rPr>
                    <w:t>间断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05" w:type="dxa"/>
                  <w:vMerge w:val="restart"/>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outlineLvl w:val="9"/>
                    <w:rPr>
                      <w:rFonts w:hint="default" w:ascii="Times New Roman" w:hAnsi="Times New Roman" w:eastAsia="宋体" w:cs="Times New Roman"/>
                      <w:b w:val="0"/>
                      <w:bCs/>
                      <w:i w:val="0"/>
                      <w:iCs w:val="0"/>
                      <w:color w:val="auto"/>
                      <w:kern w:val="2"/>
                      <w:sz w:val="21"/>
                      <w:szCs w:val="21"/>
                      <w:highlight w:val="none"/>
                      <w:u w:val="none"/>
                      <w:vertAlign w:val="baseline"/>
                      <w:lang w:val="en-US" w:eastAsia="zh-CN" w:bidi="ar-SA"/>
                    </w:rPr>
                  </w:pPr>
                  <w:r>
                    <w:rPr>
                      <w:rFonts w:hint="eastAsia" w:ascii="Times New Roman" w:hAnsi="Times New Roman" w:eastAsia="宋体" w:cs="Times New Roman"/>
                      <w:b w:val="0"/>
                      <w:bCs/>
                      <w:i w:val="0"/>
                      <w:iCs w:val="0"/>
                      <w:color w:val="auto"/>
                      <w:kern w:val="2"/>
                      <w:sz w:val="21"/>
                      <w:szCs w:val="21"/>
                      <w:highlight w:val="none"/>
                      <w:u w:val="none"/>
                      <w:vertAlign w:val="baseline"/>
                      <w:lang w:val="en-US" w:eastAsia="zh-CN" w:bidi="ar-SA"/>
                    </w:rPr>
                    <w:t>废水</w:t>
                  </w:r>
                </w:p>
              </w:tc>
              <w:tc>
                <w:tcPr>
                  <w:tcW w:w="1987" w:type="dxa"/>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outlineLvl w:val="9"/>
                    <w:rPr>
                      <w:rFonts w:hint="default" w:ascii="Times New Roman" w:hAnsi="Times New Roman" w:eastAsia="宋体" w:cs="Times New Roman"/>
                      <w:b w:val="0"/>
                      <w:bCs/>
                      <w:i w:val="0"/>
                      <w:iCs w:val="0"/>
                      <w:color w:val="auto"/>
                      <w:kern w:val="2"/>
                      <w:sz w:val="21"/>
                      <w:szCs w:val="21"/>
                      <w:highlight w:val="none"/>
                      <w:u w:val="none"/>
                      <w:vertAlign w:val="baseline"/>
                      <w:lang w:val="en-US" w:eastAsia="zh-CN" w:bidi="ar-SA"/>
                    </w:rPr>
                  </w:pPr>
                  <w:r>
                    <w:rPr>
                      <w:rFonts w:hint="default" w:ascii="Times New Roman" w:hAnsi="Times New Roman" w:eastAsia="宋体" w:cs="Times New Roman"/>
                      <w:b w:val="0"/>
                      <w:bCs/>
                      <w:i w:val="0"/>
                      <w:iCs w:val="0"/>
                      <w:color w:val="auto"/>
                      <w:kern w:val="2"/>
                      <w:sz w:val="21"/>
                      <w:szCs w:val="21"/>
                      <w:highlight w:val="none"/>
                      <w:u w:val="none"/>
                      <w:vertAlign w:val="baseline"/>
                      <w:lang w:val="en-US" w:eastAsia="zh-CN" w:bidi="ar-SA"/>
                    </w:rPr>
                    <w:t>员工生活</w:t>
                  </w:r>
                </w:p>
              </w:tc>
              <w:tc>
                <w:tcPr>
                  <w:tcW w:w="1376" w:type="dxa"/>
                  <w:tcBorders>
                    <w:tl2br w:val="nil"/>
                    <w:tr2bl w:val="nil"/>
                  </w:tcBorders>
                  <w:noWrap w:val="0"/>
                  <w:vAlign w:val="center"/>
                </w:tcPr>
                <w:p>
                  <w:pPr>
                    <w:pStyle w:val="63"/>
                    <w:adjustRightInd/>
                    <w:jc w:val="center"/>
                    <w:rPr>
                      <w:rFonts w:hint="default" w:ascii="Times New Roman" w:hAnsi="Times New Roman" w:eastAsia="宋体" w:cs="Times New Roman"/>
                      <w:b w:val="0"/>
                      <w:bCs/>
                      <w:i w:val="0"/>
                      <w:iCs w:val="0"/>
                      <w:color w:val="auto"/>
                      <w:kern w:val="2"/>
                      <w:sz w:val="21"/>
                      <w:szCs w:val="21"/>
                      <w:highlight w:val="none"/>
                      <w:u w:val="none"/>
                      <w:vertAlign w:val="baseline"/>
                      <w:lang w:val="en-US" w:eastAsia="zh-CN" w:bidi="ar-SA"/>
                    </w:rPr>
                  </w:pPr>
                  <w:r>
                    <w:rPr>
                      <w:color w:val="auto"/>
                      <w:sz w:val="21"/>
                      <w:szCs w:val="21"/>
                      <w:highlight w:val="none"/>
                    </w:rPr>
                    <w:t>生活污水</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kern w:val="2"/>
                      <w:sz w:val="21"/>
                      <w:szCs w:val="21"/>
                      <w:highlight w:val="none"/>
                      <w:u w:val="none"/>
                      <w:shd w:val="clear" w:color="auto" w:fill="auto"/>
                      <w:lang w:val="en-US" w:eastAsia="zh-CN" w:bidi="ar-SA"/>
                    </w:rPr>
                  </w:pPr>
                  <w:r>
                    <w:rPr>
                      <w:rFonts w:hint="default" w:ascii="Times New Roman" w:hAnsi="Times New Roman" w:cs="Times New Roman"/>
                      <w:i w:val="0"/>
                      <w:iCs w:val="0"/>
                      <w:color w:val="auto"/>
                      <w:sz w:val="21"/>
                      <w:szCs w:val="21"/>
                      <w:highlight w:val="none"/>
                      <w:u w:val="none"/>
                      <w:shd w:val="clear" w:color="auto" w:fill="auto"/>
                      <w:lang w:val="en-US" w:eastAsia="zh-CN"/>
                    </w:rPr>
                    <w:t>COD、</w:t>
                  </w:r>
                  <w:r>
                    <w:rPr>
                      <w:rFonts w:hint="eastAsia" w:cs="Times New Roman"/>
                      <w:i w:val="0"/>
                      <w:iCs w:val="0"/>
                      <w:color w:val="auto"/>
                      <w:sz w:val="21"/>
                      <w:szCs w:val="21"/>
                      <w:highlight w:val="none"/>
                      <w:u w:val="none"/>
                      <w:shd w:val="clear" w:color="auto" w:fill="auto"/>
                      <w:lang w:val="en-US" w:eastAsia="zh-CN"/>
                    </w:rPr>
                    <w:t>氨氮</w:t>
                  </w:r>
                  <w:r>
                    <w:rPr>
                      <w:rFonts w:hint="default" w:ascii="Times New Roman" w:hAnsi="Times New Roman" w:cs="Times New Roman"/>
                      <w:i w:val="0"/>
                      <w:iCs w:val="0"/>
                      <w:color w:val="auto"/>
                      <w:sz w:val="21"/>
                      <w:szCs w:val="21"/>
                      <w:highlight w:val="none"/>
                      <w:u w:val="none"/>
                      <w:shd w:val="clear" w:color="auto" w:fill="auto"/>
                      <w:lang w:val="en-US" w:eastAsia="zh-CN"/>
                    </w:rPr>
                    <w:t>、SS、BOD</w:t>
                  </w:r>
                  <w:r>
                    <w:rPr>
                      <w:rFonts w:hint="default" w:ascii="Times New Roman" w:hAnsi="Times New Roman" w:cs="Times New Roman"/>
                      <w:i w:val="0"/>
                      <w:iCs w:val="0"/>
                      <w:color w:val="auto"/>
                      <w:sz w:val="21"/>
                      <w:szCs w:val="21"/>
                      <w:highlight w:val="none"/>
                      <w:u w:val="none"/>
                      <w:shd w:val="clear" w:color="auto" w:fill="auto"/>
                      <w:vertAlign w:val="subscript"/>
                      <w:lang w:val="en-US" w:eastAsia="zh-CN"/>
                    </w:rPr>
                    <w:t>5</w:t>
                  </w:r>
                </w:p>
              </w:tc>
              <w:tc>
                <w:tcPr>
                  <w:tcW w:w="10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sz w:val="21"/>
                      <w:szCs w:val="21"/>
                      <w:highlight w:val="none"/>
                      <w:u w:val="none"/>
                      <w:shd w:val="clear" w:color="auto" w:fill="auto"/>
                      <w:lang w:val="en-US" w:eastAsia="zh-CN"/>
                    </w:rPr>
                  </w:pPr>
                  <w:r>
                    <w:rPr>
                      <w:rFonts w:hint="default" w:ascii="Times New Roman" w:hAnsi="Times New Roman" w:cs="Times New Roman"/>
                      <w:i w:val="0"/>
                      <w:iCs w:val="0"/>
                      <w:color w:val="auto"/>
                      <w:sz w:val="21"/>
                      <w:szCs w:val="21"/>
                      <w:highlight w:val="none"/>
                      <w:u w:val="none"/>
                      <w:shd w:val="clear" w:color="auto" w:fill="auto"/>
                      <w:lang w:val="en-US" w:eastAsia="zh-CN"/>
                    </w:rPr>
                    <w:t>W</w:t>
                  </w:r>
                  <w:r>
                    <w:rPr>
                      <w:rFonts w:hint="eastAsia" w:ascii="Times New Roman" w:hAnsi="Times New Roman" w:cs="Times New Roman"/>
                      <w:i w:val="0"/>
                      <w:iCs w:val="0"/>
                      <w:color w:val="auto"/>
                      <w:sz w:val="21"/>
                      <w:szCs w:val="21"/>
                      <w:highlight w:val="none"/>
                      <w:u w:val="none"/>
                      <w:shd w:val="clear" w:color="auto" w:fill="auto"/>
                      <w:lang w:val="en-US" w:eastAsia="zh-CN"/>
                    </w:rPr>
                    <w:t>1</w:t>
                  </w:r>
                </w:p>
              </w:tc>
              <w:tc>
                <w:tcPr>
                  <w:tcW w:w="8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kern w:val="2"/>
                      <w:sz w:val="21"/>
                      <w:szCs w:val="21"/>
                      <w:highlight w:val="none"/>
                      <w:u w:val="none"/>
                      <w:shd w:val="clear" w:color="auto" w:fill="auto"/>
                      <w:lang w:val="en-US" w:eastAsia="zh-CN" w:bidi="ar-SA"/>
                    </w:rPr>
                  </w:pPr>
                  <w:r>
                    <w:rPr>
                      <w:rFonts w:hint="default" w:ascii="Times New Roman" w:hAnsi="Times New Roman" w:cs="Times New Roman"/>
                      <w:i w:val="0"/>
                      <w:iCs w:val="0"/>
                      <w:color w:val="auto"/>
                      <w:sz w:val="21"/>
                      <w:szCs w:val="21"/>
                      <w:highlight w:val="none"/>
                      <w:u w:val="none"/>
                      <w:shd w:val="clear" w:color="auto" w:fill="auto"/>
                      <w:lang w:val="en-US" w:eastAsia="zh-CN"/>
                    </w:rPr>
                    <w:t>间断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05" w:type="dxa"/>
                  <w:vMerge w:val="continue"/>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outlineLvl w:val="9"/>
                    <w:rPr>
                      <w:rFonts w:hint="default" w:ascii="Times New Roman" w:hAnsi="Times New Roman" w:eastAsia="宋体" w:cs="Times New Roman"/>
                      <w:b w:val="0"/>
                      <w:bCs/>
                      <w:i w:val="0"/>
                      <w:iCs w:val="0"/>
                      <w:color w:val="auto"/>
                      <w:kern w:val="2"/>
                      <w:sz w:val="21"/>
                      <w:szCs w:val="21"/>
                      <w:highlight w:val="none"/>
                      <w:u w:val="none"/>
                      <w:vertAlign w:val="baseline"/>
                      <w:lang w:val="en-US" w:eastAsia="zh-CN" w:bidi="ar-SA"/>
                    </w:rPr>
                  </w:pPr>
                </w:p>
              </w:tc>
              <w:tc>
                <w:tcPr>
                  <w:tcW w:w="1987" w:type="dxa"/>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outlineLvl w:val="9"/>
                    <w:rPr>
                      <w:rFonts w:hint="default" w:ascii="Times New Roman" w:hAnsi="Times New Roman" w:eastAsia="宋体" w:cs="Times New Roman"/>
                      <w:b w:val="0"/>
                      <w:bCs/>
                      <w:i w:val="0"/>
                      <w:iCs w:val="0"/>
                      <w:color w:val="auto"/>
                      <w:kern w:val="2"/>
                      <w:sz w:val="21"/>
                      <w:szCs w:val="21"/>
                      <w:highlight w:val="none"/>
                      <w:u w:val="none"/>
                      <w:vertAlign w:val="baseline"/>
                      <w:lang w:val="en-US" w:eastAsia="zh-CN" w:bidi="ar-SA"/>
                    </w:rPr>
                  </w:pPr>
                  <w:r>
                    <w:rPr>
                      <w:rFonts w:hint="eastAsia" w:ascii="Times New Roman" w:hAnsi="Times New Roman" w:eastAsia="宋体" w:cs="Times New Roman"/>
                      <w:b w:val="0"/>
                      <w:bCs/>
                      <w:i w:val="0"/>
                      <w:iCs w:val="0"/>
                      <w:color w:val="auto"/>
                      <w:kern w:val="2"/>
                      <w:sz w:val="21"/>
                      <w:szCs w:val="21"/>
                      <w:highlight w:val="none"/>
                      <w:u w:val="none"/>
                      <w:vertAlign w:val="baseline"/>
                      <w:lang w:val="en-US" w:eastAsia="zh-CN" w:bidi="ar-SA"/>
                    </w:rPr>
                    <w:t>生产单元</w:t>
                  </w:r>
                </w:p>
                <w:p>
                  <w:pPr>
                    <w:keepNext w:val="0"/>
                    <w:keepLines w:val="0"/>
                    <w:pageBreakBefore w:val="0"/>
                    <w:kinsoku/>
                    <w:wordWrap/>
                    <w:overflowPunct/>
                    <w:topLinePunct w:val="0"/>
                    <w:bidi w:val="0"/>
                    <w:spacing w:line="240" w:lineRule="auto"/>
                    <w:jc w:val="center"/>
                    <w:textAlignment w:val="auto"/>
                    <w:outlineLvl w:val="9"/>
                    <w:rPr>
                      <w:rFonts w:hint="eastAsia" w:ascii="Times New Roman" w:hAnsi="Times New Roman" w:eastAsia="宋体" w:cs="Times New Roman"/>
                      <w:b w:val="0"/>
                      <w:bCs/>
                      <w:i w:val="0"/>
                      <w:iCs w:val="0"/>
                      <w:color w:val="auto"/>
                      <w:kern w:val="2"/>
                      <w:sz w:val="21"/>
                      <w:szCs w:val="21"/>
                      <w:highlight w:val="none"/>
                      <w:u w:val="none"/>
                      <w:vertAlign w:val="baseline"/>
                      <w:lang w:val="en-US" w:eastAsia="zh-CN" w:bidi="ar-SA"/>
                    </w:rPr>
                  </w:pPr>
                  <w:r>
                    <w:rPr>
                      <w:rFonts w:hint="eastAsia" w:ascii="Times New Roman" w:hAnsi="Times New Roman" w:eastAsia="宋体" w:cs="Times New Roman"/>
                      <w:b w:val="0"/>
                      <w:bCs/>
                      <w:i w:val="0"/>
                      <w:iCs w:val="0"/>
                      <w:color w:val="auto"/>
                      <w:kern w:val="2"/>
                      <w:sz w:val="21"/>
                      <w:szCs w:val="21"/>
                      <w:highlight w:val="none"/>
                      <w:u w:val="none"/>
                      <w:vertAlign w:val="baseline"/>
                      <w:lang w:val="en-US" w:eastAsia="zh-CN" w:bidi="ar-SA"/>
                    </w:rPr>
                    <w:t>冷却循环系统</w:t>
                  </w:r>
                </w:p>
              </w:tc>
              <w:tc>
                <w:tcPr>
                  <w:tcW w:w="1376" w:type="dxa"/>
                  <w:tcBorders>
                    <w:tl2br w:val="nil"/>
                    <w:tr2bl w:val="nil"/>
                  </w:tcBorders>
                  <w:noWrap w:val="0"/>
                  <w:vAlign w:val="center"/>
                </w:tcPr>
                <w:p>
                  <w:pPr>
                    <w:pStyle w:val="63"/>
                    <w:adjustRightInd/>
                    <w:jc w:val="center"/>
                    <w:rPr>
                      <w:rFonts w:hint="default" w:ascii="Times New Roman" w:hAnsi="Times New Roman" w:eastAsia="宋体" w:cs="Times New Roman"/>
                      <w:b w:val="0"/>
                      <w:bCs/>
                      <w:i w:val="0"/>
                      <w:iCs w:val="0"/>
                      <w:color w:val="auto"/>
                      <w:sz w:val="21"/>
                      <w:szCs w:val="21"/>
                      <w:highlight w:val="none"/>
                      <w:u w:val="none"/>
                      <w:vertAlign w:val="baseline"/>
                      <w:lang w:val="en-US" w:eastAsia="zh-CN"/>
                    </w:rPr>
                  </w:pPr>
                  <w:r>
                    <w:rPr>
                      <w:color w:val="auto"/>
                      <w:sz w:val="21"/>
                      <w:szCs w:val="21"/>
                      <w:highlight w:val="none"/>
                    </w:rPr>
                    <w:t>循环冷却水排水</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sz w:val="21"/>
                      <w:szCs w:val="21"/>
                      <w:highlight w:val="none"/>
                      <w:u w:val="none"/>
                      <w:shd w:val="clear" w:color="auto" w:fill="auto"/>
                      <w:lang w:val="en-US" w:eastAsia="zh-CN"/>
                    </w:rPr>
                  </w:pPr>
                  <w:r>
                    <w:rPr>
                      <w:rFonts w:hint="default" w:ascii="Times New Roman" w:hAnsi="Times New Roman" w:cs="Times New Roman"/>
                      <w:i w:val="0"/>
                      <w:iCs w:val="0"/>
                      <w:color w:val="auto"/>
                      <w:sz w:val="21"/>
                      <w:szCs w:val="21"/>
                      <w:highlight w:val="none"/>
                      <w:u w:val="none"/>
                      <w:shd w:val="clear" w:color="auto" w:fill="auto"/>
                      <w:lang w:val="en-US" w:eastAsia="zh-CN"/>
                    </w:rPr>
                    <w:t>COD、SS</w:t>
                  </w:r>
                </w:p>
              </w:tc>
              <w:tc>
                <w:tcPr>
                  <w:tcW w:w="10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kern w:val="2"/>
                      <w:sz w:val="21"/>
                      <w:szCs w:val="21"/>
                      <w:highlight w:val="none"/>
                      <w:u w:val="none"/>
                      <w:shd w:val="clear" w:color="auto" w:fill="auto"/>
                      <w:lang w:val="en-US" w:eastAsia="zh-CN" w:bidi="ar-SA"/>
                    </w:rPr>
                  </w:pPr>
                  <w:r>
                    <w:rPr>
                      <w:rFonts w:hint="default" w:ascii="Times New Roman" w:hAnsi="Times New Roman" w:cs="Times New Roman"/>
                      <w:i w:val="0"/>
                      <w:iCs w:val="0"/>
                      <w:color w:val="auto"/>
                      <w:sz w:val="21"/>
                      <w:szCs w:val="21"/>
                      <w:highlight w:val="none"/>
                      <w:u w:val="none"/>
                      <w:shd w:val="clear" w:color="auto" w:fill="auto"/>
                      <w:lang w:val="en-US" w:eastAsia="zh-CN"/>
                    </w:rPr>
                    <w:t>W</w:t>
                  </w:r>
                  <w:r>
                    <w:rPr>
                      <w:rFonts w:hint="eastAsia" w:ascii="Times New Roman" w:hAnsi="Times New Roman" w:cs="Times New Roman"/>
                      <w:i w:val="0"/>
                      <w:iCs w:val="0"/>
                      <w:color w:val="auto"/>
                      <w:sz w:val="21"/>
                      <w:szCs w:val="21"/>
                      <w:highlight w:val="none"/>
                      <w:u w:val="none"/>
                      <w:shd w:val="clear" w:color="auto" w:fill="auto"/>
                      <w:lang w:val="en-US" w:eastAsia="zh-CN"/>
                    </w:rPr>
                    <w:t>2</w:t>
                  </w:r>
                </w:p>
              </w:tc>
              <w:tc>
                <w:tcPr>
                  <w:tcW w:w="8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kern w:val="2"/>
                      <w:sz w:val="21"/>
                      <w:szCs w:val="21"/>
                      <w:highlight w:val="none"/>
                      <w:u w:val="none"/>
                      <w:shd w:val="clear" w:color="auto" w:fill="auto"/>
                      <w:lang w:val="en-US" w:eastAsia="zh-CN" w:bidi="ar-SA"/>
                    </w:rPr>
                  </w:pPr>
                  <w:r>
                    <w:rPr>
                      <w:rFonts w:hint="default" w:ascii="Times New Roman" w:hAnsi="Times New Roman" w:cs="Times New Roman"/>
                      <w:i w:val="0"/>
                      <w:iCs w:val="0"/>
                      <w:color w:val="auto"/>
                      <w:sz w:val="21"/>
                      <w:szCs w:val="21"/>
                      <w:highlight w:val="none"/>
                      <w:u w:val="none"/>
                      <w:shd w:val="clear" w:color="auto" w:fill="auto"/>
                      <w:lang w:val="en-US" w:eastAsia="zh-CN"/>
                    </w:rPr>
                    <w:t>间断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05" w:type="dxa"/>
                  <w:vMerge w:val="restart"/>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outlineLvl w:val="9"/>
                    <w:rPr>
                      <w:rFonts w:hint="default" w:ascii="Times New Roman" w:hAnsi="Times New Roman" w:eastAsia="宋体" w:cs="Times New Roman"/>
                      <w:b w:val="0"/>
                      <w:bCs/>
                      <w:i w:val="0"/>
                      <w:iCs w:val="0"/>
                      <w:color w:val="auto"/>
                      <w:kern w:val="2"/>
                      <w:sz w:val="21"/>
                      <w:szCs w:val="21"/>
                      <w:highlight w:val="none"/>
                      <w:u w:val="none"/>
                      <w:vertAlign w:val="baseline"/>
                      <w:lang w:val="en-US" w:eastAsia="zh-CN" w:bidi="ar-SA"/>
                    </w:rPr>
                  </w:pPr>
                  <w:r>
                    <w:rPr>
                      <w:rFonts w:hint="eastAsia" w:cs="Times New Roman"/>
                      <w:b w:val="0"/>
                      <w:bCs/>
                      <w:i w:val="0"/>
                      <w:iCs w:val="0"/>
                      <w:color w:val="auto"/>
                      <w:kern w:val="2"/>
                      <w:sz w:val="21"/>
                      <w:szCs w:val="21"/>
                      <w:highlight w:val="none"/>
                      <w:u w:val="none"/>
                      <w:vertAlign w:val="baseline"/>
                      <w:lang w:val="en-US" w:eastAsia="zh-CN" w:bidi="ar-SA"/>
                    </w:rPr>
                    <w:t>噪声</w:t>
                  </w:r>
                </w:p>
              </w:tc>
              <w:tc>
                <w:tcPr>
                  <w:tcW w:w="1987" w:type="dxa"/>
                  <w:vMerge w:val="restart"/>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outlineLvl w:val="9"/>
                    <w:rPr>
                      <w:rFonts w:hint="eastAsia" w:ascii="Times New Roman" w:hAnsi="Times New Roman" w:eastAsia="宋体" w:cs="Times New Roman"/>
                      <w:b w:val="0"/>
                      <w:bCs/>
                      <w:i w:val="0"/>
                      <w:iCs w:val="0"/>
                      <w:color w:val="auto"/>
                      <w:kern w:val="2"/>
                      <w:sz w:val="21"/>
                      <w:szCs w:val="21"/>
                      <w:highlight w:val="none"/>
                      <w:u w:val="none"/>
                      <w:vertAlign w:val="baseline"/>
                      <w:lang w:val="en-US" w:eastAsia="zh-CN" w:bidi="ar-SA"/>
                    </w:rPr>
                  </w:pPr>
                  <w:r>
                    <w:rPr>
                      <w:rFonts w:hint="default" w:ascii="Times New Roman" w:hAnsi="Times New Roman" w:eastAsia="宋体" w:cs="Times New Roman"/>
                      <w:b w:val="0"/>
                      <w:bCs/>
                      <w:i w:val="0"/>
                      <w:iCs w:val="0"/>
                      <w:color w:val="auto"/>
                      <w:sz w:val="21"/>
                      <w:szCs w:val="21"/>
                      <w:highlight w:val="none"/>
                      <w:u w:val="none"/>
                      <w:vertAlign w:val="baseline"/>
                      <w:lang w:val="en-US" w:eastAsia="zh-CN"/>
                    </w:rPr>
                    <w:t>树脂隔音材料</w:t>
                  </w:r>
                  <w:r>
                    <w:rPr>
                      <w:rFonts w:hint="eastAsia" w:ascii="Times New Roman" w:hAnsi="Times New Roman" w:eastAsia="宋体" w:cs="Times New Roman"/>
                      <w:b w:val="0"/>
                      <w:bCs/>
                      <w:i w:val="0"/>
                      <w:iCs w:val="0"/>
                      <w:color w:val="auto"/>
                      <w:sz w:val="21"/>
                      <w:szCs w:val="21"/>
                      <w:highlight w:val="none"/>
                      <w:u w:val="none"/>
                      <w:vertAlign w:val="baseline"/>
                      <w:lang w:val="en-US" w:eastAsia="zh-CN"/>
                    </w:rPr>
                    <w:t>生产工序</w:t>
                  </w:r>
                </w:p>
              </w:tc>
              <w:tc>
                <w:tcPr>
                  <w:tcW w:w="1376" w:type="dxa"/>
                  <w:tcBorders>
                    <w:tl2br w:val="nil"/>
                    <w:tr2bl w:val="nil"/>
                  </w:tcBorders>
                  <w:noWrap w:val="0"/>
                  <w:vAlign w:val="center"/>
                </w:tcPr>
                <w:p>
                  <w:pPr>
                    <w:pStyle w:val="63"/>
                    <w:adjustRightInd/>
                    <w:jc w:val="center"/>
                    <w:rPr>
                      <w:rFonts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i w:val="0"/>
                      <w:iCs w:val="0"/>
                      <w:color w:val="auto"/>
                      <w:sz w:val="21"/>
                      <w:szCs w:val="21"/>
                      <w:highlight w:val="none"/>
                      <w:u w:val="none" w:color="auto"/>
                      <w:shd w:val="clear" w:color="auto" w:fill="auto"/>
                      <w:lang w:val="en-US" w:eastAsia="zh-CN"/>
                    </w:rPr>
                    <w:t>注塑</w:t>
                  </w:r>
                </w:p>
              </w:tc>
              <w:tc>
                <w:tcPr>
                  <w:tcW w:w="2601" w:type="dxa"/>
                  <w:tcBorders>
                    <w:tl2br w:val="nil"/>
                    <w:tr2bl w:val="nil"/>
                  </w:tcBorders>
                  <w:noWrap w:val="0"/>
                  <w:vAlign w:val="center"/>
                </w:tcPr>
                <w:p>
                  <w:pPr>
                    <w:pStyle w:val="63"/>
                    <w:adjustRightInd/>
                    <w:jc w:val="center"/>
                    <w:rPr>
                      <w:rFonts w:hint="default" w:ascii="Times New Roman" w:hAnsi="Times New Roman" w:eastAsia="宋体" w:cs="Times New Roman"/>
                      <w:color w:val="auto"/>
                      <w:kern w:val="2"/>
                      <w:sz w:val="21"/>
                      <w:szCs w:val="21"/>
                      <w:highlight w:val="none"/>
                      <w:lang w:val="en-US" w:eastAsia="zh-CN" w:bidi="ar-SA"/>
                    </w:rPr>
                  </w:pPr>
                  <w:r>
                    <w:rPr>
                      <w:color w:val="auto"/>
                      <w:sz w:val="21"/>
                      <w:szCs w:val="21"/>
                      <w:highlight w:val="none"/>
                    </w:rPr>
                    <w:t>Leq</w:t>
                  </w:r>
                </w:p>
              </w:tc>
              <w:tc>
                <w:tcPr>
                  <w:tcW w:w="1003" w:type="dxa"/>
                  <w:tcBorders>
                    <w:tl2br w:val="nil"/>
                    <w:tr2bl w:val="nil"/>
                  </w:tcBorders>
                  <w:noWrap w:val="0"/>
                  <w:vAlign w:val="center"/>
                </w:tcPr>
                <w:p>
                  <w:pPr>
                    <w:pStyle w:val="63"/>
                    <w:adjustRightInd/>
                    <w:jc w:val="center"/>
                    <w:rPr>
                      <w:rFonts w:hint="default" w:ascii="Times New Roman" w:hAnsi="Times New Roman" w:eastAsia="宋体" w:cs="Times New Roman"/>
                      <w:color w:val="auto"/>
                      <w:kern w:val="2"/>
                      <w:sz w:val="21"/>
                      <w:szCs w:val="21"/>
                      <w:highlight w:val="none"/>
                      <w:lang w:val="en-US" w:eastAsia="zh-CN" w:bidi="ar-SA"/>
                    </w:rPr>
                  </w:pPr>
                  <w:r>
                    <w:rPr>
                      <w:color w:val="auto"/>
                      <w:sz w:val="21"/>
                      <w:szCs w:val="21"/>
                      <w:highlight w:val="none"/>
                    </w:rPr>
                    <w:t>N1</w:t>
                  </w:r>
                </w:p>
              </w:tc>
              <w:tc>
                <w:tcPr>
                  <w:tcW w:w="8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i w:val="0"/>
                      <w:iCs w:val="0"/>
                      <w:color w:val="auto"/>
                      <w:kern w:val="2"/>
                      <w:sz w:val="21"/>
                      <w:szCs w:val="21"/>
                      <w:highlight w:val="none"/>
                      <w:u w:val="none"/>
                      <w:shd w:val="clear" w:color="auto" w:fill="auto"/>
                      <w:lang w:val="en-US" w:eastAsia="zh-CN" w:bidi="ar-SA"/>
                    </w:rPr>
                  </w:pPr>
                  <w:r>
                    <w:rPr>
                      <w:rFonts w:hint="default" w:ascii="Times New Roman" w:hAnsi="Times New Roman" w:cs="Times New Roman"/>
                      <w:i w:val="0"/>
                      <w:iCs w:val="0"/>
                      <w:color w:val="auto"/>
                      <w:sz w:val="21"/>
                      <w:szCs w:val="21"/>
                      <w:highlight w:val="none"/>
                      <w:u w:val="none"/>
                      <w:shd w:val="clear" w:color="auto" w:fill="auto"/>
                      <w:lang w:val="en-US" w:eastAsia="zh-CN"/>
                    </w:rPr>
                    <w:t>间断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05" w:type="dxa"/>
                  <w:vMerge w:val="continue"/>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outlineLvl w:val="9"/>
                    <w:rPr>
                      <w:rFonts w:hint="eastAsia" w:cs="Times New Roman"/>
                      <w:b w:val="0"/>
                      <w:bCs/>
                      <w:i w:val="0"/>
                      <w:iCs w:val="0"/>
                      <w:color w:val="auto"/>
                      <w:kern w:val="2"/>
                      <w:sz w:val="21"/>
                      <w:szCs w:val="21"/>
                      <w:highlight w:val="none"/>
                      <w:u w:val="none"/>
                      <w:vertAlign w:val="baseline"/>
                      <w:lang w:val="en-US" w:eastAsia="zh-CN" w:bidi="ar-SA"/>
                    </w:rPr>
                  </w:pPr>
                </w:p>
              </w:tc>
              <w:tc>
                <w:tcPr>
                  <w:tcW w:w="1987" w:type="dxa"/>
                  <w:vMerge w:val="continue"/>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outlineLvl w:val="9"/>
                    <w:rPr>
                      <w:rFonts w:hint="eastAsia" w:ascii="Times New Roman" w:hAnsi="Times New Roman" w:eastAsia="宋体" w:cs="Times New Roman"/>
                      <w:b w:val="0"/>
                      <w:bCs/>
                      <w:i w:val="0"/>
                      <w:iCs w:val="0"/>
                      <w:color w:val="auto"/>
                      <w:kern w:val="2"/>
                      <w:sz w:val="21"/>
                      <w:szCs w:val="21"/>
                      <w:highlight w:val="none"/>
                      <w:u w:val="none"/>
                      <w:vertAlign w:val="baseline"/>
                      <w:lang w:val="en-US" w:eastAsia="zh-CN" w:bidi="ar-SA"/>
                    </w:rPr>
                  </w:pPr>
                </w:p>
              </w:tc>
              <w:tc>
                <w:tcPr>
                  <w:tcW w:w="1376" w:type="dxa"/>
                  <w:tcBorders>
                    <w:tl2br w:val="nil"/>
                    <w:tr2bl w:val="nil"/>
                  </w:tcBorders>
                  <w:noWrap w:val="0"/>
                  <w:vAlign w:val="center"/>
                </w:tcPr>
                <w:p>
                  <w:pPr>
                    <w:pStyle w:val="63"/>
                    <w:adjustRightInd/>
                    <w:jc w:val="center"/>
                    <w:rPr>
                      <w:rFonts w:hint="default"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循环冷却塔</w:t>
                  </w:r>
                </w:p>
              </w:tc>
              <w:tc>
                <w:tcPr>
                  <w:tcW w:w="2601" w:type="dxa"/>
                  <w:tcBorders>
                    <w:tl2br w:val="nil"/>
                    <w:tr2bl w:val="nil"/>
                  </w:tcBorders>
                  <w:noWrap w:val="0"/>
                  <w:vAlign w:val="center"/>
                </w:tcPr>
                <w:p>
                  <w:pPr>
                    <w:pStyle w:val="63"/>
                    <w:adjustRightInd/>
                    <w:jc w:val="center"/>
                    <w:rPr>
                      <w:rFonts w:hint="default" w:ascii="Times New Roman" w:hAnsi="Times New Roman" w:eastAsia="宋体" w:cs="Times New Roman"/>
                      <w:color w:val="auto"/>
                      <w:kern w:val="2"/>
                      <w:sz w:val="21"/>
                      <w:szCs w:val="21"/>
                      <w:highlight w:val="none"/>
                      <w:lang w:val="en-US" w:eastAsia="zh-CN" w:bidi="ar-SA"/>
                    </w:rPr>
                  </w:pPr>
                  <w:r>
                    <w:rPr>
                      <w:color w:val="auto"/>
                      <w:sz w:val="21"/>
                      <w:szCs w:val="21"/>
                      <w:highlight w:val="none"/>
                    </w:rPr>
                    <w:t>Leq</w:t>
                  </w:r>
                </w:p>
              </w:tc>
              <w:tc>
                <w:tcPr>
                  <w:tcW w:w="1003" w:type="dxa"/>
                  <w:tcBorders>
                    <w:tl2br w:val="nil"/>
                    <w:tr2bl w:val="nil"/>
                  </w:tcBorders>
                  <w:noWrap w:val="0"/>
                  <w:vAlign w:val="center"/>
                </w:tcPr>
                <w:p>
                  <w:pPr>
                    <w:pStyle w:val="63"/>
                    <w:adjustRightInd/>
                    <w:jc w:val="center"/>
                    <w:rPr>
                      <w:rFonts w:hint="default" w:ascii="Times New Roman" w:hAnsi="Times New Roman" w:eastAsia="宋体" w:cs="Times New Roman"/>
                      <w:color w:val="auto"/>
                      <w:kern w:val="2"/>
                      <w:sz w:val="21"/>
                      <w:szCs w:val="21"/>
                      <w:highlight w:val="none"/>
                      <w:lang w:val="en-US" w:eastAsia="zh-CN" w:bidi="ar-SA"/>
                    </w:rPr>
                  </w:pPr>
                  <w:r>
                    <w:rPr>
                      <w:color w:val="auto"/>
                      <w:sz w:val="21"/>
                      <w:szCs w:val="21"/>
                      <w:highlight w:val="none"/>
                    </w:rPr>
                    <w:t>N2</w:t>
                  </w:r>
                </w:p>
              </w:tc>
              <w:tc>
                <w:tcPr>
                  <w:tcW w:w="8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i w:val="0"/>
                      <w:iCs w:val="0"/>
                      <w:color w:val="auto"/>
                      <w:kern w:val="2"/>
                      <w:sz w:val="21"/>
                      <w:szCs w:val="21"/>
                      <w:highlight w:val="none"/>
                      <w:u w:val="none"/>
                      <w:shd w:val="clear" w:color="auto" w:fill="auto"/>
                      <w:lang w:val="en-US" w:eastAsia="zh-CN" w:bidi="ar-SA"/>
                    </w:rPr>
                  </w:pPr>
                  <w:r>
                    <w:rPr>
                      <w:rFonts w:hint="default" w:ascii="Times New Roman" w:hAnsi="Times New Roman" w:cs="Times New Roman"/>
                      <w:i w:val="0"/>
                      <w:iCs w:val="0"/>
                      <w:color w:val="auto"/>
                      <w:sz w:val="21"/>
                      <w:szCs w:val="21"/>
                      <w:highlight w:val="none"/>
                      <w:u w:val="none"/>
                      <w:shd w:val="clear" w:color="auto" w:fill="auto"/>
                      <w:lang w:val="en-US" w:eastAsia="zh-CN"/>
                    </w:rPr>
                    <w:t>间断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05" w:type="dxa"/>
                  <w:vMerge w:val="continue"/>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outlineLvl w:val="9"/>
                    <w:rPr>
                      <w:rFonts w:hint="eastAsia" w:cs="Times New Roman"/>
                      <w:b w:val="0"/>
                      <w:bCs/>
                      <w:i w:val="0"/>
                      <w:iCs w:val="0"/>
                      <w:color w:val="auto"/>
                      <w:kern w:val="2"/>
                      <w:sz w:val="21"/>
                      <w:szCs w:val="21"/>
                      <w:highlight w:val="none"/>
                      <w:u w:val="none"/>
                      <w:vertAlign w:val="baseline"/>
                      <w:lang w:val="en-US" w:eastAsia="zh-CN" w:bidi="ar-SA"/>
                    </w:rPr>
                  </w:pPr>
                </w:p>
              </w:tc>
              <w:tc>
                <w:tcPr>
                  <w:tcW w:w="1987" w:type="dxa"/>
                  <w:vMerge w:val="continue"/>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outlineLvl w:val="9"/>
                    <w:rPr>
                      <w:rFonts w:hint="eastAsia" w:ascii="Times New Roman" w:hAnsi="Times New Roman" w:eastAsia="宋体" w:cs="Times New Roman"/>
                      <w:b w:val="0"/>
                      <w:bCs/>
                      <w:i w:val="0"/>
                      <w:iCs w:val="0"/>
                      <w:color w:val="auto"/>
                      <w:kern w:val="2"/>
                      <w:sz w:val="21"/>
                      <w:szCs w:val="21"/>
                      <w:highlight w:val="none"/>
                      <w:u w:val="none"/>
                      <w:vertAlign w:val="baseline"/>
                      <w:lang w:val="en-US" w:eastAsia="zh-CN" w:bidi="ar-SA"/>
                    </w:rPr>
                  </w:pPr>
                </w:p>
              </w:tc>
              <w:tc>
                <w:tcPr>
                  <w:tcW w:w="1376" w:type="dxa"/>
                  <w:tcBorders>
                    <w:tl2br w:val="nil"/>
                    <w:tr2bl w:val="nil"/>
                  </w:tcBorders>
                  <w:noWrap w:val="0"/>
                  <w:vAlign w:val="center"/>
                </w:tcPr>
                <w:p>
                  <w:pPr>
                    <w:pStyle w:val="63"/>
                    <w:adjustRightInd/>
                    <w:jc w:val="center"/>
                    <w:rPr>
                      <w:rFonts w:hint="default"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破碎机</w:t>
                  </w:r>
                </w:p>
              </w:tc>
              <w:tc>
                <w:tcPr>
                  <w:tcW w:w="2601" w:type="dxa"/>
                  <w:tcBorders>
                    <w:tl2br w:val="nil"/>
                    <w:tr2bl w:val="nil"/>
                  </w:tcBorders>
                  <w:noWrap w:val="0"/>
                  <w:vAlign w:val="center"/>
                </w:tcPr>
                <w:p>
                  <w:pPr>
                    <w:pStyle w:val="63"/>
                    <w:adjustRightInd/>
                    <w:jc w:val="center"/>
                    <w:rPr>
                      <w:rFonts w:hint="default" w:ascii="Times New Roman" w:hAnsi="Times New Roman" w:eastAsia="宋体" w:cs="Times New Roman"/>
                      <w:color w:val="auto"/>
                      <w:kern w:val="2"/>
                      <w:sz w:val="21"/>
                      <w:szCs w:val="21"/>
                      <w:highlight w:val="none"/>
                      <w:lang w:val="en-US" w:eastAsia="zh-CN" w:bidi="ar-SA"/>
                    </w:rPr>
                  </w:pPr>
                  <w:r>
                    <w:rPr>
                      <w:color w:val="auto"/>
                      <w:sz w:val="21"/>
                      <w:szCs w:val="21"/>
                      <w:highlight w:val="none"/>
                    </w:rPr>
                    <w:t>Leq</w:t>
                  </w:r>
                </w:p>
              </w:tc>
              <w:tc>
                <w:tcPr>
                  <w:tcW w:w="1003" w:type="dxa"/>
                  <w:tcBorders>
                    <w:tl2br w:val="nil"/>
                    <w:tr2bl w:val="nil"/>
                  </w:tcBorders>
                  <w:noWrap w:val="0"/>
                  <w:vAlign w:val="center"/>
                </w:tcPr>
                <w:p>
                  <w:pPr>
                    <w:pStyle w:val="63"/>
                    <w:adjustRightInd/>
                    <w:jc w:val="center"/>
                    <w:rPr>
                      <w:rFonts w:hint="default" w:ascii="Times New Roman" w:hAnsi="Times New Roman" w:eastAsia="宋体" w:cs="Times New Roman"/>
                      <w:color w:val="auto"/>
                      <w:kern w:val="2"/>
                      <w:sz w:val="21"/>
                      <w:szCs w:val="21"/>
                      <w:highlight w:val="none"/>
                      <w:lang w:val="en-US" w:eastAsia="zh-CN" w:bidi="ar-SA"/>
                    </w:rPr>
                  </w:pPr>
                  <w:r>
                    <w:rPr>
                      <w:color w:val="auto"/>
                      <w:sz w:val="21"/>
                      <w:szCs w:val="21"/>
                      <w:highlight w:val="none"/>
                    </w:rPr>
                    <w:t>N</w:t>
                  </w:r>
                  <w:r>
                    <w:rPr>
                      <w:rFonts w:hint="eastAsia"/>
                      <w:color w:val="auto"/>
                      <w:sz w:val="21"/>
                      <w:szCs w:val="21"/>
                      <w:highlight w:val="none"/>
                      <w:lang w:val="en-US" w:eastAsia="zh-CN"/>
                    </w:rPr>
                    <w:t>3</w:t>
                  </w:r>
                </w:p>
              </w:tc>
              <w:tc>
                <w:tcPr>
                  <w:tcW w:w="8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i w:val="0"/>
                      <w:iCs w:val="0"/>
                      <w:color w:val="auto"/>
                      <w:kern w:val="2"/>
                      <w:sz w:val="21"/>
                      <w:szCs w:val="21"/>
                      <w:highlight w:val="none"/>
                      <w:u w:val="none"/>
                      <w:shd w:val="clear" w:color="auto" w:fill="auto"/>
                      <w:lang w:val="en-US" w:eastAsia="zh-CN" w:bidi="ar-SA"/>
                    </w:rPr>
                  </w:pPr>
                  <w:r>
                    <w:rPr>
                      <w:rFonts w:hint="default" w:ascii="Times New Roman" w:hAnsi="Times New Roman" w:cs="Times New Roman"/>
                      <w:i w:val="0"/>
                      <w:iCs w:val="0"/>
                      <w:color w:val="auto"/>
                      <w:sz w:val="21"/>
                      <w:szCs w:val="21"/>
                      <w:highlight w:val="none"/>
                      <w:u w:val="none"/>
                      <w:shd w:val="clear" w:color="auto" w:fill="auto"/>
                      <w:lang w:val="en-US" w:eastAsia="zh-CN"/>
                    </w:rPr>
                    <w:t>间断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05" w:type="dxa"/>
                  <w:vMerge w:val="continue"/>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outlineLvl w:val="9"/>
                    <w:rPr>
                      <w:rFonts w:hint="eastAsia" w:cs="Times New Roman"/>
                      <w:b w:val="0"/>
                      <w:bCs/>
                      <w:i w:val="0"/>
                      <w:iCs w:val="0"/>
                      <w:color w:val="auto"/>
                      <w:kern w:val="2"/>
                      <w:sz w:val="21"/>
                      <w:szCs w:val="21"/>
                      <w:highlight w:val="none"/>
                      <w:u w:val="none"/>
                      <w:vertAlign w:val="baseline"/>
                      <w:lang w:val="en-US" w:eastAsia="zh-CN" w:bidi="ar-SA"/>
                    </w:rPr>
                  </w:pPr>
                </w:p>
              </w:tc>
              <w:tc>
                <w:tcPr>
                  <w:tcW w:w="1987" w:type="dxa"/>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outlineLvl w:val="9"/>
                    <w:rPr>
                      <w:rFonts w:hint="default" w:ascii="Times New Roman" w:hAnsi="Times New Roman" w:eastAsia="宋体" w:cs="Times New Roman"/>
                      <w:b w:val="0"/>
                      <w:bCs/>
                      <w:i w:val="0"/>
                      <w:iCs w:val="0"/>
                      <w:color w:val="auto"/>
                      <w:kern w:val="2"/>
                      <w:sz w:val="21"/>
                      <w:szCs w:val="21"/>
                      <w:highlight w:val="none"/>
                      <w:u w:val="none"/>
                      <w:vertAlign w:val="baseline"/>
                      <w:lang w:val="en-US" w:eastAsia="zh-CN" w:bidi="ar-SA"/>
                    </w:rPr>
                  </w:pPr>
                  <w:r>
                    <w:rPr>
                      <w:rFonts w:hint="eastAsia" w:cs="Times New Roman"/>
                      <w:b w:val="0"/>
                      <w:bCs/>
                      <w:i w:val="0"/>
                      <w:iCs w:val="0"/>
                      <w:color w:val="auto"/>
                      <w:kern w:val="2"/>
                      <w:sz w:val="21"/>
                      <w:szCs w:val="21"/>
                      <w:highlight w:val="none"/>
                      <w:u w:val="none"/>
                      <w:vertAlign w:val="baseline"/>
                      <w:lang w:val="en-US" w:eastAsia="zh-CN" w:bidi="ar-SA"/>
                    </w:rPr>
                    <w:t>废气治理</w:t>
                  </w:r>
                </w:p>
              </w:tc>
              <w:tc>
                <w:tcPr>
                  <w:tcW w:w="1376" w:type="dxa"/>
                  <w:tcBorders>
                    <w:tl2br w:val="nil"/>
                    <w:tr2bl w:val="nil"/>
                  </w:tcBorders>
                  <w:noWrap w:val="0"/>
                  <w:vAlign w:val="center"/>
                </w:tcPr>
                <w:p>
                  <w:pPr>
                    <w:pStyle w:val="63"/>
                    <w:adjustRightInd/>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风机</w:t>
                  </w:r>
                </w:p>
              </w:tc>
              <w:tc>
                <w:tcPr>
                  <w:tcW w:w="2601" w:type="dxa"/>
                  <w:tcBorders>
                    <w:tl2br w:val="nil"/>
                    <w:tr2bl w:val="nil"/>
                  </w:tcBorders>
                  <w:noWrap w:val="0"/>
                  <w:vAlign w:val="center"/>
                </w:tcPr>
                <w:p>
                  <w:pPr>
                    <w:pStyle w:val="63"/>
                    <w:adjustRightInd/>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Leq</w:t>
                  </w:r>
                </w:p>
              </w:tc>
              <w:tc>
                <w:tcPr>
                  <w:tcW w:w="1003" w:type="dxa"/>
                  <w:tcBorders>
                    <w:tl2br w:val="nil"/>
                    <w:tr2bl w:val="nil"/>
                  </w:tcBorders>
                  <w:noWrap w:val="0"/>
                  <w:vAlign w:val="center"/>
                </w:tcPr>
                <w:p>
                  <w:pPr>
                    <w:pStyle w:val="63"/>
                    <w:adjustRightInd/>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其他</w:t>
                  </w:r>
                </w:p>
              </w:tc>
              <w:tc>
                <w:tcPr>
                  <w:tcW w:w="8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sz w:val="21"/>
                      <w:szCs w:val="21"/>
                      <w:highlight w:val="none"/>
                      <w:u w:val="none"/>
                      <w:shd w:val="clear" w:color="auto" w:fill="auto"/>
                      <w:lang w:val="en-US" w:eastAsia="zh-CN"/>
                    </w:rPr>
                  </w:pPr>
                  <w:r>
                    <w:rPr>
                      <w:rFonts w:hint="default" w:ascii="Times New Roman" w:hAnsi="Times New Roman" w:cs="Times New Roman"/>
                      <w:i w:val="0"/>
                      <w:iCs w:val="0"/>
                      <w:color w:val="auto"/>
                      <w:sz w:val="21"/>
                      <w:szCs w:val="21"/>
                      <w:highlight w:val="none"/>
                      <w:u w:val="none"/>
                      <w:shd w:val="clear" w:color="auto" w:fill="auto"/>
                      <w:lang w:val="en-US" w:eastAsia="zh-CN"/>
                    </w:rPr>
                    <w:t>间断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0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sz w:val="21"/>
                      <w:szCs w:val="21"/>
                      <w:highlight w:val="none"/>
                      <w:u w:val="none"/>
                      <w:shd w:val="clear" w:color="auto" w:fill="auto"/>
                    </w:rPr>
                  </w:pPr>
                  <w:r>
                    <w:rPr>
                      <w:rFonts w:hint="default" w:ascii="Times New Roman" w:hAnsi="Times New Roman" w:cs="Times New Roman"/>
                      <w:i w:val="0"/>
                      <w:iCs w:val="0"/>
                      <w:color w:val="auto"/>
                      <w:sz w:val="21"/>
                      <w:szCs w:val="21"/>
                      <w:highlight w:val="none"/>
                      <w:u w:val="none"/>
                      <w:shd w:val="clear" w:color="auto" w:fill="auto"/>
                    </w:rPr>
                    <w:t>固体</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sz w:val="21"/>
                      <w:szCs w:val="21"/>
                      <w:highlight w:val="none"/>
                      <w:u w:val="none"/>
                      <w:shd w:val="clear" w:color="auto" w:fill="auto"/>
                    </w:rPr>
                  </w:pPr>
                  <w:r>
                    <w:rPr>
                      <w:rFonts w:hint="default" w:ascii="Times New Roman" w:hAnsi="Times New Roman" w:cs="Times New Roman"/>
                      <w:i w:val="0"/>
                      <w:iCs w:val="0"/>
                      <w:color w:val="auto"/>
                      <w:sz w:val="21"/>
                      <w:szCs w:val="21"/>
                      <w:highlight w:val="none"/>
                      <w:u w:val="none"/>
                      <w:shd w:val="clear" w:color="auto" w:fill="auto"/>
                    </w:rPr>
                    <w:t>废物</w:t>
                  </w:r>
                </w:p>
              </w:tc>
              <w:tc>
                <w:tcPr>
                  <w:tcW w:w="1987" w:type="dxa"/>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outlineLvl w:val="9"/>
                    <w:rPr>
                      <w:rFonts w:hint="eastAsia" w:ascii="Times New Roman" w:hAnsi="Times New Roman" w:eastAsia="宋体" w:cs="Times New Roman"/>
                      <w:b w:val="0"/>
                      <w:bCs/>
                      <w:i w:val="0"/>
                      <w:iCs w:val="0"/>
                      <w:color w:val="auto"/>
                      <w:kern w:val="2"/>
                      <w:sz w:val="21"/>
                      <w:szCs w:val="21"/>
                      <w:highlight w:val="none"/>
                      <w:u w:val="none"/>
                      <w:vertAlign w:val="baseline"/>
                      <w:lang w:val="en-US" w:eastAsia="zh-CN" w:bidi="ar-SA"/>
                    </w:rPr>
                  </w:pPr>
                  <w:r>
                    <w:rPr>
                      <w:rFonts w:hint="eastAsia" w:ascii="Times New Roman" w:hAnsi="Times New Roman" w:cs="Times New Roman"/>
                      <w:color w:val="auto"/>
                      <w:szCs w:val="21"/>
                      <w:highlight w:val="none"/>
                      <w:lang w:val="en-US" w:eastAsia="zh-CN"/>
                    </w:rPr>
                    <w:t>注塑</w:t>
                  </w:r>
                </w:p>
              </w:tc>
              <w:tc>
                <w:tcPr>
                  <w:tcW w:w="1376" w:type="dxa"/>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outlineLvl w:val="9"/>
                    <w:rPr>
                      <w:rFonts w:hint="default" w:ascii="Times New Roman" w:hAnsi="Times New Roman" w:eastAsia="宋体" w:cs="Times New Roman"/>
                      <w:b w:val="0"/>
                      <w:bCs/>
                      <w:i w:val="0"/>
                      <w:iCs w:val="0"/>
                      <w:color w:val="auto"/>
                      <w:sz w:val="21"/>
                      <w:szCs w:val="21"/>
                      <w:highlight w:val="none"/>
                      <w:u w:val="none"/>
                      <w:vertAlign w:val="baseline"/>
                      <w:lang w:val="en-US" w:eastAsia="zh-CN"/>
                    </w:rPr>
                  </w:pPr>
                  <w:r>
                    <w:rPr>
                      <w:rFonts w:hint="eastAsia" w:ascii="Times New Roman" w:hAnsi="Times New Roman"/>
                      <w:color w:val="auto"/>
                      <w:sz w:val="21"/>
                      <w:szCs w:val="21"/>
                      <w:highlight w:val="none"/>
                      <w:lang w:val="en-US" w:eastAsia="zh-CN"/>
                    </w:rPr>
                    <w:t>不合格产品</w:t>
                  </w:r>
                </w:p>
              </w:tc>
              <w:tc>
                <w:tcPr>
                  <w:tcW w:w="2601" w:type="dxa"/>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outlineLvl w:val="9"/>
                    <w:rPr>
                      <w:rFonts w:hint="default" w:ascii="Times New Roman" w:hAnsi="Times New Roman"/>
                      <w:color w:val="auto"/>
                      <w:sz w:val="21"/>
                      <w:szCs w:val="21"/>
                      <w:highlight w:val="none"/>
                      <w:lang w:val="en-US" w:eastAsia="zh-CN"/>
                    </w:rPr>
                  </w:pPr>
                  <w:r>
                    <w:rPr>
                      <w:rFonts w:hint="default" w:ascii="Times New Roman" w:hAnsi="Times New Roman"/>
                      <w:color w:val="auto"/>
                      <w:sz w:val="21"/>
                      <w:szCs w:val="21"/>
                      <w:highlight w:val="none"/>
                      <w:lang w:val="en-US" w:eastAsia="zh-CN"/>
                    </w:rPr>
                    <w:t>一般固体废物</w:t>
                  </w:r>
                </w:p>
              </w:tc>
              <w:tc>
                <w:tcPr>
                  <w:tcW w:w="1003"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ascii="Times New Roman" w:hAnsi="Times New Roman" w:cs="Times New Roman"/>
                      <w:color w:val="auto"/>
                      <w:szCs w:val="21"/>
                      <w:highlight w:val="none"/>
                    </w:rPr>
                    <w:t>S</w:t>
                  </w:r>
                  <w:r>
                    <w:rPr>
                      <w:rFonts w:hint="eastAsia" w:ascii="Times New Roman" w:hAnsi="Times New Roman" w:cs="Times New Roman"/>
                      <w:color w:val="auto"/>
                      <w:szCs w:val="21"/>
                      <w:highlight w:val="none"/>
                      <w:lang w:val="en-US" w:eastAsia="zh-CN"/>
                    </w:rPr>
                    <w:t>1</w:t>
                  </w:r>
                </w:p>
              </w:tc>
              <w:tc>
                <w:tcPr>
                  <w:tcW w:w="8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sz w:val="21"/>
                      <w:szCs w:val="21"/>
                      <w:highlight w:val="none"/>
                      <w:u w:val="none"/>
                      <w:shd w:val="clear" w:color="auto" w:fill="auto"/>
                      <w:lang w:val="en-US" w:eastAsia="zh-CN"/>
                    </w:rPr>
                  </w:pPr>
                  <w:r>
                    <w:rPr>
                      <w:rFonts w:hint="default" w:ascii="Times New Roman" w:hAnsi="Times New Roman" w:cs="Times New Roman"/>
                      <w:i w:val="0"/>
                      <w:iCs w:val="0"/>
                      <w:color w:val="auto"/>
                      <w:sz w:val="21"/>
                      <w:szCs w:val="21"/>
                      <w:highlight w:val="none"/>
                      <w:u w:val="none"/>
                      <w:shd w:val="clear" w:color="auto" w:fill="auto"/>
                      <w:lang w:val="en-US" w:eastAsia="zh-CN"/>
                    </w:rPr>
                    <w:t>间断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sz w:val="21"/>
                      <w:szCs w:val="21"/>
                      <w:highlight w:val="none"/>
                      <w:u w:val="none"/>
                      <w:shd w:val="clear" w:color="auto" w:fill="auto"/>
                    </w:rPr>
                  </w:pPr>
                </w:p>
              </w:tc>
              <w:tc>
                <w:tcPr>
                  <w:tcW w:w="1987"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员工生活</w:t>
                  </w:r>
                </w:p>
              </w:tc>
              <w:tc>
                <w:tcPr>
                  <w:tcW w:w="1376"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生活垃圾</w:t>
                  </w:r>
                </w:p>
              </w:tc>
              <w:tc>
                <w:tcPr>
                  <w:tcW w:w="2601" w:type="dxa"/>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outlineLvl w:val="9"/>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w:t>
                  </w:r>
                </w:p>
              </w:tc>
              <w:tc>
                <w:tcPr>
                  <w:tcW w:w="1003"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S2</w:t>
                  </w:r>
                </w:p>
              </w:tc>
              <w:tc>
                <w:tcPr>
                  <w:tcW w:w="8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kern w:val="2"/>
                      <w:sz w:val="21"/>
                      <w:szCs w:val="21"/>
                      <w:highlight w:val="none"/>
                      <w:u w:val="none"/>
                      <w:shd w:val="clear" w:color="auto" w:fill="auto"/>
                      <w:lang w:val="en-US" w:eastAsia="zh-CN" w:bidi="ar-SA"/>
                    </w:rPr>
                  </w:pPr>
                  <w:r>
                    <w:rPr>
                      <w:rFonts w:hint="default" w:ascii="Times New Roman" w:hAnsi="Times New Roman" w:cs="Times New Roman"/>
                      <w:i w:val="0"/>
                      <w:iCs w:val="0"/>
                      <w:color w:val="auto"/>
                      <w:sz w:val="21"/>
                      <w:szCs w:val="21"/>
                      <w:highlight w:val="none"/>
                      <w:u w:val="none"/>
                      <w:shd w:val="clear" w:color="auto" w:fill="auto"/>
                      <w:lang w:val="en-US" w:eastAsia="zh-CN"/>
                    </w:rPr>
                    <w:t>间断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sz w:val="21"/>
                      <w:szCs w:val="21"/>
                      <w:highlight w:val="none"/>
                      <w:u w:val="none"/>
                      <w:shd w:val="clear" w:color="auto" w:fill="auto"/>
                    </w:rPr>
                  </w:pPr>
                </w:p>
              </w:tc>
              <w:tc>
                <w:tcPr>
                  <w:tcW w:w="1987" w:type="dxa"/>
                  <w:tcBorders>
                    <w:tl2br w:val="nil"/>
                    <w:tr2bl w:val="nil"/>
                  </w:tcBorders>
                  <w:noWrap w:val="0"/>
                  <w:vAlign w:val="center"/>
                </w:tcPr>
                <w:p>
                  <w:pPr>
                    <w:jc w:val="center"/>
                    <w:rPr>
                      <w:rFonts w:hint="eastAsia" w:ascii="Times New Roman" w:hAnsi="Times New Roman" w:cs="Times New Roman"/>
                      <w:i/>
                      <w:iCs/>
                      <w:color w:val="auto"/>
                      <w:sz w:val="21"/>
                      <w:szCs w:val="21"/>
                      <w:highlight w:val="none"/>
                      <w:u w:val="single"/>
                      <w:shd w:val="clear" w:color="auto" w:fill="auto"/>
                      <w:lang w:val="en-US" w:eastAsia="zh-CN"/>
                    </w:rPr>
                  </w:pPr>
                  <w:r>
                    <w:rPr>
                      <w:rFonts w:hint="eastAsia" w:ascii="Times New Roman" w:hAnsi="Times New Roman" w:cs="Times New Roman"/>
                      <w:color w:val="auto"/>
                      <w:szCs w:val="21"/>
                      <w:highlight w:val="none"/>
                      <w:lang w:val="en-US" w:eastAsia="zh-CN"/>
                    </w:rPr>
                    <w:t>拆包</w:t>
                  </w:r>
                </w:p>
              </w:tc>
              <w:tc>
                <w:tcPr>
                  <w:tcW w:w="1376" w:type="dxa"/>
                  <w:tcBorders>
                    <w:tl2br w:val="nil"/>
                    <w:tr2bl w:val="nil"/>
                  </w:tcBorders>
                  <w:noWrap w:val="0"/>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废包装袋</w:t>
                  </w:r>
                </w:p>
              </w:tc>
              <w:tc>
                <w:tcPr>
                  <w:tcW w:w="2601" w:type="dxa"/>
                  <w:vMerge w:val="restart"/>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outlineLvl w:val="9"/>
                    <w:rPr>
                      <w:rFonts w:hint="default" w:ascii="Times New Roman" w:hAnsi="Times New Roman"/>
                      <w:color w:val="auto"/>
                      <w:sz w:val="21"/>
                      <w:szCs w:val="21"/>
                      <w:highlight w:val="none"/>
                      <w:lang w:val="en-US" w:eastAsia="zh-CN"/>
                    </w:rPr>
                  </w:pPr>
                  <w:r>
                    <w:rPr>
                      <w:rFonts w:hint="default" w:ascii="Times New Roman" w:hAnsi="Times New Roman"/>
                      <w:color w:val="auto"/>
                      <w:sz w:val="21"/>
                      <w:szCs w:val="21"/>
                      <w:highlight w:val="none"/>
                      <w:lang w:val="en-US" w:eastAsia="zh-CN"/>
                    </w:rPr>
                    <w:t>一般固体废物</w:t>
                  </w:r>
                </w:p>
                <w:p>
                  <w:pPr>
                    <w:keepNext w:val="0"/>
                    <w:keepLines w:val="0"/>
                    <w:pageBreakBefore w:val="0"/>
                    <w:kinsoku/>
                    <w:wordWrap/>
                    <w:overflowPunct/>
                    <w:topLinePunct w:val="0"/>
                    <w:bidi w:val="0"/>
                    <w:spacing w:line="240" w:lineRule="auto"/>
                    <w:jc w:val="center"/>
                    <w:textAlignment w:val="auto"/>
                    <w:outlineLvl w:val="9"/>
                    <w:rPr>
                      <w:rFonts w:hint="default" w:ascii="Times New Roman" w:hAnsi="Times New Roman"/>
                      <w:color w:val="auto"/>
                      <w:sz w:val="21"/>
                      <w:szCs w:val="21"/>
                      <w:highlight w:val="none"/>
                      <w:lang w:val="en-US" w:eastAsia="zh-CN"/>
                    </w:rPr>
                  </w:pPr>
                </w:p>
              </w:tc>
              <w:tc>
                <w:tcPr>
                  <w:tcW w:w="1003" w:type="dxa"/>
                  <w:tcBorders>
                    <w:tl2br w:val="nil"/>
                    <w:tr2bl w:val="nil"/>
                  </w:tcBorders>
                  <w:noWrap w:val="0"/>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S4</w:t>
                  </w:r>
                </w:p>
              </w:tc>
              <w:tc>
                <w:tcPr>
                  <w:tcW w:w="8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kern w:val="2"/>
                      <w:sz w:val="21"/>
                      <w:szCs w:val="21"/>
                      <w:highlight w:val="none"/>
                      <w:u w:val="none"/>
                      <w:shd w:val="clear" w:color="auto" w:fill="auto"/>
                      <w:lang w:val="en-US" w:eastAsia="zh-CN" w:bidi="ar-SA"/>
                    </w:rPr>
                  </w:pPr>
                  <w:r>
                    <w:rPr>
                      <w:rFonts w:hint="default" w:ascii="Times New Roman" w:hAnsi="Times New Roman" w:cs="Times New Roman"/>
                      <w:i w:val="0"/>
                      <w:iCs w:val="0"/>
                      <w:color w:val="auto"/>
                      <w:sz w:val="21"/>
                      <w:szCs w:val="21"/>
                      <w:highlight w:val="none"/>
                      <w:u w:val="none"/>
                      <w:shd w:val="clear" w:color="auto" w:fill="auto"/>
                      <w:lang w:val="en-US" w:eastAsia="zh-CN"/>
                    </w:rPr>
                    <w:t>间断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sz w:val="21"/>
                      <w:szCs w:val="21"/>
                      <w:highlight w:val="none"/>
                      <w:u w:val="none"/>
                      <w:shd w:val="clear" w:color="auto" w:fill="auto"/>
                    </w:rPr>
                  </w:pPr>
                </w:p>
              </w:tc>
              <w:tc>
                <w:tcPr>
                  <w:tcW w:w="1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iCs/>
                      <w:color w:val="auto"/>
                      <w:sz w:val="21"/>
                      <w:szCs w:val="21"/>
                      <w:highlight w:val="none"/>
                      <w:u w:val="single"/>
                      <w:shd w:val="clear" w:color="auto" w:fill="auto"/>
                      <w:lang w:val="en-US" w:eastAsia="zh-CN"/>
                    </w:rPr>
                  </w:pPr>
                  <w:r>
                    <w:rPr>
                      <w:rFonts w:hint="eastAsia" w:ascii="Times New Roman" w:hAnsi="Times New Roman" w:cs="Times New Roman"/>
                      <w:color w:val="auto"/>
                      <w:szCs w:val="21"/>
                      <w:highlight w:val="none"/>
                      <w:lang w:val="en-US" w:eastAsia="zh-CN"/>
                    </w:rPr>
                    <w:t>废气治理</w:t>
                  </w:r>
                </w:p>
              </w:tc>
              <w:tc>
                <w:tcPr>
                  <w:tcW w:w="1376" w:type="dxa"/>
                  <w:tcBorders>
                    <w:tl2br w:val="nil"/>
                    <w:tr2bl w:val="nil"/>
                  </w:tcBorders>
                  <w:noWrap w:val="0"/>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集尘粉及废弃布袋</w:t>
                  </w:r>
                </w:p>
              </w:tc>
              <w:tc>
                <w:tcPr>
                  <w:tcW w:w="2601" w:type="dxa"/>
                  <w:vMerge w:val="continue"/>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outlineLvl w:val="9"/>
                    <w:rPr>
                      <w:rFonts w:hint="default" w:ascii="Times New Roman" w:hAnsi="Times New Roman"/>
                      <w:color w:val="auto"/>
                      <w:sz w:val="21"/>
                      <w:szCs w:val="21"/>
                      <w:highlight w:val="none"/>
                      <w:lang w:val="en-US" w:eastAsia="zh-CN"/>
                    </w:rPr>
                  </w:pPr>
                </w:p>
              </w:tc>
              <w:tc>
                <w:tcPr>
                  <w:tcW w:w="1003"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ascii="Times New Roman" w:hAnsi="Times New Roman" w:cs="Times New Roman"/>
                      <w:color w:val="auto"/>
                      <w:szCs w:val="21"/>
                      <w:highlight w:val="none"/>
                    </w:rPr>
                    <w:t>S</w:t>
                  </w:r>
                  <w:r>
                    <w:rPr>
                      <w:rFonts w:hint="eastAsia" w:ascii="Times New Roman" w:hAnsi="Times New Roman" w:cs="Times New Roman"/>
                      <w:color w:val="auto"/>
                      <w:szCs w:val="21"/>
                      <w:highlight w:val="none"/>
                      <w:lang w:val="en-US" w:eastAsia="zh-CN"/>
                    </w:rPr>
                    <w:t>3</w:t>
                  </w:r>
                </w:p>
              </w:tc>
              <w:tc>
                <w:tcPr>
                  <w:tcW w:w="8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sz w:val="21"/>
                      <w:szCs w:val="21"/>
                      <w:highlight w:val="none"/>
                      <w:u w:val="none"/>
                      <w:shd w:val="clear" w:color="auto" w:fill="auto"/>
                      <w:lang w:val="en-US" w:eastAsia="zh-CN"/>
                    </w:rPr>
                  </w:pPr>
                  <w:r>
                    <w:rPr>
                      <w:rFonts w:hint="default" w:ascii="Times New Roman" w:hAnsi="Times New Roman" w:cs="Times New Roman"/>
                      <w:i w:val="0"/>
                      <w:iCs w:val="0"/>
                      <w:color w:val="auto"/>
                      <w:sz w:val="21"/>
                      <w:szCs w:val="21"/>
                      <w:highlight w:val="none"/>
                      <w:u w:val="none"/>
                      <w:shd w:val="clear" w:color="auto" w:fill="auto"/>
                      <w:lang w:val="en-US" w:eastAsia="zh-CN"/>
                    </w:rPr>
                    <w:t>间断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sz w:val="21"/>
                      <w:szCs w:val="21"/>
                      <w:highlight w:val="none"/>
                      <w:u w:val="none"/>
                      <w:shd w:val="clear" w:color="auto" w:fill="auto"/>
                    </w:rPr>
                  </w:pPr>
                </w:p>
              </w:tc>
              <w:tc>
                <w:tcPr>
                  <w:tcW w:w="1987"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机修</w:t>
                  </w:r>
                </w:p>
              </w:tc>
              <w:tc>
                <w:tcPr>
                  <w:tcW w:w="1376" w:type="dxa"/>
                  <w:tcBorders>
                    <w:tl2br w:val="nil"/>
                    <w:tr2bl w:val="nil"/>
                  </w:tcBorders>
                  <w:noWrap w:val="0"/>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废弃含油抹布</w:t>
                  </w:r>
                </w:p>
              </w:tc>
              <w:tc>
                <w:tcPr>
                  <w:tcW w:w="2601" w:type="dxa"/>
                  <w:vMerge w:val="restart"/>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outlineLvl w:val="9"/>
                    <w:rPr>
                      <w:rFonts w:hint="default" w:ascii="Times New Roman" w:hAnsi="Times New Roman"/>
                      <w:color w:val="auto"/>
                      <w:sz w:val="21"/>
                      <w:szCs w:val="21"/>
                      <w:highlight w:val="none"/>
                      <w:lang w:val="en-US" w:eastAsia="zh-CN"/>
                    </w:rPr>
                  </w:pPr>
                  <w:r>
                    <w:rPr>
                      <w:rFonts w:hint="default" w:ascii="Times New Roman" w:hAnsi="Times New Roman"/>
                      <w:color w:val="auto"/>
                      <w:sz w:val="21"/>
                      <w:szCs w:val="21"/>
                      <w:highlight w:val="none"/>
                      <w:lang w:val="en-US" w:eastAsia="zh-CN"/>
                    </w:rPr>
                    <w:t>危险废物</w:t>
                  </w:r>
                </w:p>
              </w:tc>
              <w:tc>
                <w:tcPr>
                  <w:tcW w:w="1003" w:type="dxa"/>
                  <w:tcBorders>
                    <w:tl2br w:val="nil"/>
                    <w:tr2bl w:val="nil"/>
                  </w:tcBorders>
                  <w:noWrap w:val="0"/>
                  <w:vAlign w:val="center"/>
                </w:tcPr>
                <w:p>
                  <w:pPr>
                    <w:bidi w:val="0"/>
                    <w:jc w:val="center"/>
                    <w:rPr>
                      <w:rFonts w:hint="default" w:ascii="Times New Roman" w:hAnsi="Times New Roman" w:eastAsia="宋体" w:cs="Times New Roman"/>
                      <w:b w:val="0"/>
                      <w:i w:val="0"/>
                      <w:iCs w:val="0"/>
                      <w:color w:val="auto"/>
                      <w:kern w:val="2"/>
                      <w:sz w:val="21"/>
                      <w:szCs w:val="21"/>
                      <w:highlight w:val="none"/>
                      <w:lang w:val="en-US" w:eastAsia="zh-CN" w:bidi="ar-SA"/>
                    </w:rPr>
                  </w:pPr>
                  <w:r>
                    <w:rPr>
                      <w:rFonts w:hint="eastAsia"/>
                      <w:color w:val="auto"/>
                      <w:szCs w:val="21"/>
                      <w:highlight w:val="none"/>
                      <w:lang w:val="en-US" w:eastAsia="zh-CN"/>
                    </w:rPr>
                    <w:t>S5</w:t>
                  </w:r>
                </w:p>
              </w:tc>
              <w:tc>
                <w:tcPr>
                  <w:tcW w:w="826" w:type="dxa"/>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outlineLvl w:val="9"/>
                    <w:rPr>
                      <w:rFonts w:hint="default" w:ascii="Times New Roman" w:hAnsi="Times New Roman" w:eastAsia="宋体" w:cs="Times New Roman"/>
                      <w:b w:val="0"/>
                      <w:bCs/>
                      <w:i w:val="0"/>
                      <w:iCs w:val="0"/>
                      <w:color w:val="auto"/>
                      <w:sz w:val="21"/>
                      <w:szCs w:val="21"/>
                      <w:highlight w:val="none"/>
                      <w:u w:val="none"/>
                      <w:vertAlign w:val="baseline"/>
                      <w:lang w:val="en-US" w:eastAsia="zh-CN"/>
                    </w:rPr>
                  </w:pPr>
                  <w:r>
                    <w:rPr>
                      <w:rFonts w:hint="default" w:ascii="Times New Roman" w:hAnsi="Times New Roman" w:eastAsia="宋体" w:cs="Times New Roman"/>
                      <w:b w:val="0"/>
                      <w:bCs/>
                      <w:i w:val="0"/>
                      <w:iCs w:val="0"/>
                      <w:color w:val="auto"/>
                      <w:sz w:val="21"/>
                      <w:szCs w:val="21"/>
                      <w:highlight w:val="none"/>
                      <w:u w:val="none"/>
                      <w:vertAlign w:val="baseline"/>
                      <w:lang w:val="en-US" w:eastAsia="zh-CN"/>
                    </w:rPr>
                    <w:t>间断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sz w:val="21"/>
                      <w:szCs w:val="21"/>
                      <w:highlight w:val="none"/>
                      <w:u w:val="none"/>
                      <w:shd w:val="clear" w:color="auto" w:fill="auto"/>
                    </w:rPr>
                  </w:pPr>
                </w:p>
              </w:tc>
              <w:tc>
                <w:tcPr>
                  <w:tcW w:w="1987"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机修</w:t>
                  </w:r>
                </w:p>
              </w:tc>
              <w:tc>
                <w:tcPr>
                  <w:tcW w:w="1376" w:type="dxa"/>
                  <w:tcBorders>
                    <w:tl2br w:val="nil"/>
                    <w:tr2bl w:val="nil"/>
                  </w:tcBorders>
                  <w:noWrap w:val="0"/>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废液压油</w:t>
                  </w:r>
                </w:p>
              </w:tc>
              <w:tc>
                <w:tcPr>
                  <w:tcW w:w="26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iCs/>
                      <w:color w:val="auto"/>
                      <w:kern w:val="2"/>
                      <w:sz w:val="21"/>
                      <w:szCs w:val="21"/>
                      <w:highlight w:val="none"/>
                      <w:u w:val="single"/>
                      <w:shd w:val="clear" w:color="auto" w:fill="auto"/>
                      <w:lang w:val="en-US" w:eastAsia="zh-CN" w:bidi="ar-SA"/>
                    </w:rPr>
                  </w:pPr>
                </w:p>
              </w:tc>
              <w:tc>
                <w:tcPr>
                  <w:tcW w:w="1003" w:type="dxa"/>
                  <w:tcBorders>
                    <w:tl2br w:val="nil"/>
                    <w:tr2bl w:val="nil"/>
                  </w:tcBorders>
                  <w:noWrap w:val="0"/>
                  <w:vAlign w:val="center"/>
                </w:tcPr>
                <w:p>
                  <w:pPr>
                    <w:bidi w:val="0"/>
                    <w:jc w:val="center"/>
                    <w:rPr>
                      <w:rFonts w:hint="default" w:ascii="Times New Roman" w:hAnsi="Times New Roman" w:eastAsia="宋体" w:cs="Times New Roman"/>
                      <w:b w:val="0"/>
                      <w:i w:val="0"/>
                      <w:iCs w:val="0"/>
                      <w:color w:val="auto"/>
                      <w:kern w:val="2"/>
                      <w:sz w:val="21"/>
                      <w:szCs w:val="21"/>
                      <w:highlight w:val="none"/>
                      <w:lang w:val="en-US" w:eastAsia="zh-CN" w:bidi="ar-SA"/>
                    </w:rPr>
                  </w:pPr>
                  <w:r>
                    <w:rPr>
                      <w:rFonts w:hint="eastAsia"/>
                      <w:color w:val="auto"/>
                      <w:szCs w:val="21"/>
                      <w:highlight w:val="none"/>
                      <w:lang w:val="en-US" w:eastAsia="zh-CN"/>
                    </w:rPr>
                    <w:t>S6</w:t>
                  </w:r>
                </w:p>
              </w:tc>
              <w:tc>
                <w:tcPr>
                  <w:tcW w:w="8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kern w:val="2"/>
                      <w:sz w:val="21"/>
                      <w:szCs w:val="21"/>
                      <w:highlight w:val="none"/>
                      <w:u w:val="none"/>
                      <w:shd w:val="clear" w:color="auto" w:fill="auto"/>
                      <w:lang w:val="en-US" w:eastAsia="zh-CN" w:bidi="ar-SA"/>
                    </w:rPr>
                  </w:pPr>
                  <w:r>
                    <w:rPr>
                      <w:rFonts w:hint="default" w:ascii="Times New Roman" w:hAnsi="Times New Roman" w:cs="Times New Roman"/>
                      <w:i w:val="0"/>
                      <w:iCs w:val="0"/>
                      <w:color w:val="auto"/>
                      <w:sz w:val="21"/>
                      <w:szCs w:val="21"/>
                      <w:highlight w:val="none"/>
                      <w:u w:val="none"/>
                      <w:shd w:val="clear" w:color="auto" w:fill="auto"/>
                      <w:lang w:val="en-US" w:eastAsia="zh-CN"/>
                    </w:rPr>
                    <w:t>间断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sz w:val="21"/>
                      <w:szCs w:val="21"/>
                      <w:highlight w:val="none"/>
                      <w:u w:val="none"/>
                      <w:shd w:val="clear" w:color="auto" w:fill="auto"/>
                    </w:rPr>
                  </w:pPr>
                </w:p>
              </w:tc>
              <w:tc>
                <w:tcPr>
                  <w:tcW w:w="1987"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机修</w:t>
                  </w:r>
                </w:p>
              </w:tc>
              <w:tc>
                <w:tcPr>
                  <w:tcW w:w="1376" w:type="dxa"/>
                  <w:tcBorders>
                    <w:tl2br w:val="nil"/>
                    <w:tr2bl w:val="nil"/>
                  </w:tcBorders>
                  <w:noWrap w:val="0"/>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废导热油</w:t>
                  </w:r>
                </w:p>
              </w:tc>
              <w:tc>
                <w:tcPr>
                  <w:tcW w:w="26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iCs/>
                      <w:color w:val="auto"/>
                      <w:kern w:val="2"/>
                      <w:sz w:val="21"/>
                      <w:szCs w:val="21"/>
                      <w:highlight w:val="none"/>
                      <w:u w:val="single"/>
                      <w:shd w:val="clear" w:color="auto" w:fill="auto"/>
                      <w:lang w:val="en-US" w:eastAsia="zh-CN" w:bidi="ar-SA"/>
                    </w:rPr>
                  </w:pPr>
                </w:p>
              </w:tc>
              <w:tc>
                <w:tcPr>
                  <w:tcW w:w="1003" w:type="dxa"/>
                  <w:tcBorders>
                    <w:tl2br w:val="nil"/>
                    <w:tr2bl w:val="nil"/>
                  </w:tcBorders>
                  <w:noWrap w:val="0"/>
                  <w:vAlign w:val="center"/>
                </w:tcPr>
                <w:p>
                  <w:pPr>
                    <w:bidi w:val="0"/>
                    <w:jc w:val="center"/>
                    <w:rPr>
                      <w:rFonts w:hint="default" w:ascii="Times New Roman" w:hAnsi="Times New Roman" w:eastAsia="宋体" w:cs="Times New Roman"/>
                      <w:b w:val="0"/>
                      <w:i w:val="0"/>
                      <w:iCs w:val="0"/>
                      <w:color w:val="auto"/>
                      <w:kern w:val="2"/>
                      <w:sz w:val="21"/>
                      <w:szCs w:val="21"/>
                      <w:highlight w:val="none"/>
                      <w:lang w:val="en-US" w:eastAsia="zh-CN" w:bidi="ar-SA"/>
                    </w:rPr>
                  </w:pPr>
                  <w:r>
                    <w:rPr>
                      <w:rFonts w:hint="eastAsia"/>
                      <w:color w:val="auto"/>
                      <w:szCs w:val="21"/>
                      <w:highlight w:val="none"/>
                      <w:lang w:val="en-US" w:eastAsia="zh-CN"/>
                    </w:rPr>
                    <w:t>S7</w:t>
                  </w:r>
                </w:p>
              </w:tc>
              <w:tc>
                <w:tcPr>
                  <w:tcW w:w="8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kern w:val="2"/>
                      <w:sz w:val="21"/>
                      <w:szCs w:val="21"/>
                      <w:highlight w:val="none"/>
                      <w:u w:val="none"/>
                      <w:shd w:val="clear" w:color="auto" w:fill="auto"/>
                      <w:lang w:val="en-US" w:eastAsia="zh-CN" w:bidi="ar-SA"/>
                    </w:rPr>
                  </w:pPr>
                  <w:r>
                    <w:rPr>
                      <w:rFonts w:hint="default" w:ascii="Times New Roman" w:hAnsi="Times New Roman" w:cs="Times New Roman"/>
                      <w:i w:val="0"/>
                      <w:iCs w:val="0"/>
                      <w:color w:val="auto"/>
                      <w:sz w:val="21"/>
                      <w:szCs w:val="21"/>
                      <w:highlight w:val="none"/>
                      <w:u w:val="none"/>
                      <w:shd w:val="clear" w:color="auto" w:fill="auto"/>
                      <w:lang w:val="en-US" w:eastAsia="zh-CN"/>
                    </w:rPr>
                    <w:t>间断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sz w:val="21"/>
                      <w:szCs w:val="21"/>
                      <w:highlight w:val="none"/>
                      <w:u w:val="none"/>
                      <w:shd w:val="clear" w:color="auto" w:fill="auto"/>
                    </w:rPr>
                  </w:pPr>
                </w:p>
              </w:tc>
              <w:tc>
                <w:tcPr>
                  <w:tcW w:w="1987"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机修</w:t>
                  </w:r>
                </w:p>
              </w:tc>
              <w:tc>
                <w:tcPr>
                  <w:tcW w:w="1376"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Cs w:val="21"/>
                      <w:highlight w:val="none"/>
                      <w:lang w:val="en-US" w:eastAsia="zh-CN"/>
                    </w:rPr>
                    <w:t>含有机溶剂的废抹布</w:t>
                  </w:r>
                </w:p>
              </w:tc>
              <w:tc>
                <w:tcPr>
                  <w:tcW w:w="26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iCs/>
                      <w:color w:val="auto"/>
                      <w:kern w:val="2"/>
                      <w:sz w:val="21"/>
                      <w:szCs w:val="21"/>
                      <w:highlight w:val="none"/>
                      <w:u w:val="single"/>
                      <w:shd w:val="clear" w:color="auto" w:fill="auto"/>
                      <w:lang w:val="en-US" w:eastAsia="zh-CN" w:bidi="ar-SA"/>
                    </w:rPr>
                  </w:pPr>
                </w:p>
              </w:tc>
              <w:tc>
                <w:tcPr>
                  <w:tcW w:w="1003" w:type="dxa"/>
                  <w:tcBorders>
                    <w:tl2br w:val="nil"/>
                    <w:tr2bl w:val="nil"/>
                  </w:tcBorders>
                  <w:noWrap w:val="0"/>
                  <w:vAlign w:val="center"/>
                </w:tcPr>
                <w:p>
                  <w:pPr>
                    <w:bidi w:val="0"/>
                    <w:jc w:val="center"/>
                    <w:rPr>
                      <w:rFonts w:hint="default" w:ascii="Times New Roman" w:hAnsi="Times New Roman" w:eastAsia="宋体" w:cs="Times New Roman"/>
                      <w:b w:val="0"/>
                      <w:i w:val="0"/>
                      <w:iCs w:val="0"/>
                      <w:color w:val="auto"/>
                      <w:kern w:val="2"/>
                      <w:sz w:val="21"/>
                      <w:szCs w:val="21"/>
                      <w:highlight w:val="none"/>
                      <w:lang w:val="en-US" w:eastAsia="zh-CN" w:bidi="ar-SA"/>
                    </w:rPr>
                  </w:pPr>
                  <w:r>
                    <w:rPr>
                      <w:rFonts w:hint="eastAsia"/>
                      <w:color w:val="auto"/>
                      <w:szCs w:val="21"/>
                      <w:highlight w:val="none"/>
                      <w:lang w:val="en-US" w:eastAsia="zh-CN"/>
                    </w:rPr>
                    <w:t>S8</w:t>
                  </w:r>
                </w:p>
              </w:tc>
              <w:tc>
                <w:tcPr>
                  <w:tcW w:w="826" w:type="dxa"/>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outlineLvl w:val="9"/>
                    <w:rPr>
                      <w:rFonts w:hint="default" w:ascii="Times New Roman" w:hAnsi="Times New Roman" w:eastAsia="宋体" w:cs="Times New Roman"/>
                      <w:b w:val="0"/>
                      <w:bCs/>
                      <w:i w:val="0"/>
                      <w:iCs w:val="0"/>
                      <w:color w:val="auto"/>
                      <w:kern w:val="2"/>
                      <w:sz w:val="21"/>
                      <w:szCs w:val="21"/>
                      <w:highlight w:val="none"/>
                      <w:u w:val="none"/>
                      <w:vertAlign w:val="baseline"/>
                      <w:lang w:val="en-US" w:eastAsia="zh-CN" w:bidi="ar-SA"/>
                    </w:rPr>
                  </w:pPr>
                  <w:r>
                    <w:rPr>
                      <w:rFonts w:hint="default" w:ascii="Times New Roman" w:hAnsi="Times New Roman" w:eastAsia="宋体" w:cs="Times New Roman"/>
                      <w:b w:val="0"/>
                      <w:bCs/>
                      <w:i w:val="0"/>
                      <w:iCs w:val="0"/>
                      <w:color w:val="auto"/>
                      <w:sz w:val="21"/>
                      <w:szCs w:val="21"/>
                      <w:highlight w:val="none"/>
                      <w:u w:val="none"/>
                      <w:vertAlign w:val="baseline"/>
                      <w:lang w:val="en-US" w:eastAsia="zh-CN"/>
                    </w:rPr>
                    <w:t>间断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sz w:val="21"/>
                      <w:szCs w:val="21"/>
                      <w:highlight w:val="none"/>
                      <w:u w:val="none"/>
                      <w:shd w:val="clear" w:color="auto" w:fill="auto"/>
                    </w:rPr>
                  </w:pPr>
                </w:p>
              </w:tc>
              <w:tc>
                <w:tcPr>
                  <w:tcW w:w="1987" w:type="dxa"/>
                  <w:tcBorders>
                    <w:tl2br w:val="nil"/>
                    <w:tr2bl w:val="nil"/>
                  </w:tcBorders>
                  <w:noWrap w:val="0"/>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废气治理</w:t>
                  </w:r>
                </w:p>
              </w:tc>
              <w:tc>
                <w:tcPr>
                  <w:tcW w:w="1376" w:type="dxa"/>
                  <w:tcBorders>
                    <w:tl2br w:val="nil"/>
                    <w:tr2bl w:val="nil"/>
                  </w:tcBorders>
                  <w:noWrap w:val="0"/>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废活性炭</w:t>
                  </w:r>
                </w:p>
              </w:tc>
              <w:tc>
                <w:tcPr>
                  <w:tcW w:w="26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cs="Times New Roman"/>
                      <w:i/>
                      <w:iCs/>
                      <w:color w:val="auto"/>
                      <w:sz w:val="21"/>
                      <w:szCs w:val="21"/>
                      <w:highlight w:val="none"/>
                      <w:u w:val="single"/>
                      <w:shd w:val="clear" w:color="auto" w:fill="auto"/>
                      <w:lang w:val="en-US" w:eastAsia="zh-CN"/>
                    </w:rPr>
                  </w:pPr>
                </w:p>
              </w:tc>
              <w:tc>
                <w:tcPr>
                  <w:tcW w:w="1003" w:type="dxa"/>
                  <w:tcBorders>
                    <w:tl2br w:val="nil"/>
                    <w:tr2bl w:val="nil"/>
                  </w:tcBorders>
                  <w:noWrap w:val="0"/>
                  <w:vAlign w:val="center"/>
                </w:tcPr>
                <w:p>
                  <w:pPr>
                    <w:bidi w:val="0"/>
                    <w:jc w:val="center"/>
                    <w:rPr>
                      <w:rFonts w:hint="default" w:ascii="Times New Roman" w:hAnsi="Times New Roman" w:eastAsia="宋体" w:cs="Times New Roman"/>
                      <w:b w:val="0"/>
                      <w:i w:val="0"/>
                      <w:iCs w:val="0"/>
                      <w:color w:val="auto"/>
                      <w:kern w:val="2"/>
                      <w:sz w:val="21"/>
                      <w:szCs w:val="21"/>
                      <w:highlight w:val="none"/>
                      <w:lang w:val="en-US" w:eastAsia="zh-CN" w:bidi="ar-SA"/>
                    </w:rPr>
                  </w:pPr>
                  <w:r>
                    <w:rPr>
                      <w:rFonts w:hint="eastAsia"/>
                      <w:color w:val="auto"/>
                      <w:szCs w:val="21"/>
                      <w:highlight w:val="none"/>
                      <w:lang w:val="en-US" w:eastAsia="zh-CN"/>
                    </w:rPr>
                    <w:t>S9</w:t>
                  </w:r>
                </w:p>
              </w:tc>
              <w:tc>
                <w:tcPr>
                  <w:tcW w:w="8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kern w:val="2"/>
                      <w:sz w:val="21"/>
                      <w:szCs w:val="21"/>
                      <w:highlight w:val="none"/>
                      <w:u w:val="none"/>
                      <w:shd w:val="clear" w:color="auto" w:fill="auto"/>
                      <w:lang w:val="en-US" w:eastAsia="zh-CN" w:bidi="ar-SA"/>
                    </w:rPr>
                  </w:pPr>
                  <w:r>
                    <w:rPr>
                      <w:rFonts w:hint="default" w:ascii="Times New Roman" w:hAnsi="Times New Roman" w:cs="Times New Roman"/>
                      <w:i w:val="0"/>
                      <w:iCs w:val="0"/>
                      <w:color w:val="auto"/>
                      <w:sz w:val="21"/>
                      <w:szCs w:val="21"/>
                      <w:highlight w:val="none"/>
                      <w:u w:val="none"/>
                      <w:shd w:val="clear" w:color="auto" w:fill="auto"/>
                      <w:lang w:val="en-US" w:eastAsia="zh-CN"/>
                    </w:rPr>
                    <w:t>间断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05"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sz w:val="21"/>
                      <w:szCs w:val="21"/>
                      <w:highlight w:val="none"/>
                      <w:u w:val="none"/>
                      <w:shd w:val="clear" w:color="auto" w:fill="auto"/>
                    </w:rPr>
                  </w:pPr>
                </w:p>
              </w:tc>
              <w:tc>
                <w:tcPr>
                  <w:tcW w:w="0" w:type="auto"/>
                  <w:tcBorders>
                    <w:tl2br w:val="nil"/>
                    <w:tr2bl w:val="nil"/>
                  </w:tcBorders>
                  <w:vAlign w:val="center"/>
                </w:tcPr>
                <w:p>
                  <w:pPr>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清洗剂包装</w:t>
                  </w:r>
                </w:p>
              </w:tc>
              <w:tc>
                <w:tcPr>
                  <w:tcW w:w="0" w:type="auto"/>
                  <w:tcBorders>
                    <w:tl2br w:val="nil"/>
                    <w:tr2bl w:val="nil"/>
                  </w:tcBorders>
                  <w:vAlign w:val="center"/>
                </w:tcPr>
                <w:p>
                  <w:pPr>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沾染原料的废包装品</w:t>
                  </w:r>
                </w:p>
              </w:tc>
              <w:tc>
                <w:tcPr>
                  <w:tcW w:w="260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cs="Times New Roman"/>
                      <w:i/>
                      <w:iCs/>
                      <w:color w:val="auto"/>
                      <w:sz w:val="21"/>
                      <w:szCs w:val="21"/>
                      <w:highlight w:val="none"/>
                      <w:u w:val="single"/>
                      <w:shd w:val="clear" w:color="auto" w:fill="auto"/>
                      <w:lang w:val="en-US" w:eastAsia="zh-CN"/>
                    </w:rPr>
                  </w:pPr>
                </w:p>
              </w:tc>
              <w:tc>
                <w:tcPr>
                  <w:tcW w:w="0" w:type="auto"/>
                  <w:tcBorders>
                    <w:tl2br w:val="nil"/>
                    <w:tr2bl w:val="nil"/>
                  </w:tcBorders>
                  <w:vAlign w:val="center"/>
                </w:tcPr>
                <w:p>
                  <w:pPr>
                    <w:bidi w:val="0"/>
                    <w:jc w:val="center"/>
                    <w:rPr>
                      <w:rFonts w:hint="default" w:ascii="Times New Roman" w:hAnsi="Times New Roman" w:eastAsia="宋体" w:cs="Times New Roman"/>
                      <w:b w:val="0"/>
                      <w:i w:val="0"/>
                      <w:iCs w:val="0"/>
                      <w:color w:val="auto"/>
                      <w:kern w:val="2"/>
                      <w:sz w:val="21"/>
                      <w:szCs w:val="21"/>
                      <w:highlight w:val="none"/>
                      <w:lang w:val="en-US" w:eastAsia="zh-CN" w:bidi="ar-SA"/>
                    </w:rPr>
                  </w:pPr>
                  <w:r>
                    <w:rPr>
                      <w:rFonts w:hint="eastAsia"/>
                      <w:color w:val="auto"/>
                      <w:szCs w:val="21"/>
                      <w:highlight w:val="none"/>
                      <w:lang w:val="en-US" w:eastAsia="zh-CN"/>
                    </w:rPr>
                    <w:t>S10</w:t>
                  </w:r>
                </w:p>
              </w:tc>
              <w:tc>
                <w:tcPr>
                  <w:tcW w:w="0" w:type="auto"/>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i w:val="0"/>
                      <w:iCs w:val="0"/>
                      <w:color w:val="auto"/>
                      <w:kern w:val="2"/>
                      <w:sz w:val="21"/>
                      <w:szCs w:val="21"/>
                      <w:highlight w:val="none"/>
                      <w:u w:val="none"/>
                      <w:shd w:val="clear" w:color="auto" w:fill="auto"/>
                      <w:lang w:val="en-US" w:eastAsia="zh-CN" w:bidi="ar-SA"/>
                    </w:rPr>
                  </w:pPr>
                  <w:r>
                    <w:rPr>
                      <w:rFonts w:hint="default" w:ascii="Times New Roman" w:hAnsi="Times New Roman" w:cs="Times New Roman"/>
                      <w:i w:val="0"/>
                      <w:iCs w:val="0"/>
                      <w:color w:val="auto"/>
                      <w:sz w:val="21"/>
                      <w:szCs w:val="21"/>
                      <w:highlight w:val="none"/>
                      <w:u w:val="none"/>
                      <w:shd w:val="clear" w:color="auto" w:fill="auto"/>
                      <w:lang w:val="en-US" w:eastAsia="zh-CN"/>
                    </w:rPr>
                    <w:t>间断</w:t>
                  </w:r>
                </w:p>
              </w:tc>
            </w:tr>
          </w:tbl>
          <w:p>
            <w:pPr>
              <w:pStyle w:val="21"/>
              <w:spacing w:line="400" w:lineRule="exact"/>
              <w:ind w:left="0" w:firstLine="0" w:firstLineChars="0"/>
              <w:rPr>
                <w:color w:val="auto"/>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703" w:type="dxa"/>
            <w:vAlign w:val="center"/>
          </w:tcPr>
          <w:p>
            <w:pPr>
              <w:pStyle w:val="26"/>
              <w:adjustRightInd w:val="0"/>
              <w:snapToGrid w:val="0"/>
              <w:spacing w:before="0" w:beforeAutospacing="0" w:after="0" w:afterAutospacing="0"/>
              <w:jc w:val="center"/>
              <w:rPr>
                <w:rFonts w:ascii="Times New Roman" w:hAnsi="Times New Roman"/>
                <w:color w:val="auto"/>
                <w:szCs w:val="24"/>
                <w:highlight w:val="none"/>
              </w:rPr>
            </w:pPr>
            <w:r>
              <w:rPr>
                <w:rFonts w:ascii="Times New Roman" w:hAnsi="Times New Roman"/>
                <w:b/>
                <w:color w:val="auto"/>
                <w:kern w:val="2"/>
                <w:szCs w:val="24"/>
                <w:highlight w:val="none"/>
              </w:rPr>
              <w:t>与项目有关的原有环境污染问题</w:t>
            </w:r>
          </w:p>
        </w:tc>
        <w:tc>
          <w:tcPr>
            <w:tcW w:w="8281" w:type="dxa"/>
            <w:vAlign w:val="center"/>
          </w:tcPr>
          <w:p>
            <w:pPr>
              <w:adjustRightInd w:val="0"/>
              <w:snapToGrid w:val="0"/>
              <w:spacing w:line="360" w:lineRule="auto"/>
              <w:ind w:firstLine="482" w:firstLineChars="200"/>
              <w:rPr>
                <w:rFonts w:hint="default" w:ascii="Times New Roman" w:hAnsi="Times New Roman" w:eastAsia="宋体" w:cs="Times New Roman"/>
                <w:b/>
                <w:bCs/>
                <w:color w:val="auto"/>
                <w:kern w:val="0"/>
                <w:sz w:val="24"/>
                <w:highlight w:val="none"/>
                <w:lang w:val="en-US" w:eastAsia="zh-CN"/>
              </w:rPr>
            </w:pPr>
            <w:r>
              <w:rPr>
                <w:rFonts w:hint="eastAsia" w:ascii="Times New Roman" w:hAnsi="Times New Roman" w:eastAsia="宋体" w:cs="Times New Roman"/>
                <w:b/>
                <w:color w:val="auto"/>
                <w:sz w:val="24"/>
                <w:highlight w:val="none"/>
                <w:lang w:val="en-US"/>
              </w:rPr>
              <w:t>1、</w:t>
            </w:r>
            <w:r>
              <w:rPr>
                <w:rFonts w:hint="eastAsia" w:ascii="Times New Roman" w:hAnsi="Times New Roman" w:eastAsia="宋体" w:cs="Times New Roman"/>
                <w:b/>
                <w:bCs/>
                <w:color w:val="auto"/>
                <w:kern w:val="0"/>
                <w:sz w:val="24"/>
                <w:highlight w:val="none"/>
                <w:lang w:val="en-US"/>
              </w:rPr>
              <w:t>企业概况</w:t>
            </w:r>
            <w:r>
              <w:rPr>
                <w:rFonts w:hint="eastAsia" w:ascii="Times New Roman" w:hAnsi="Times New Roman" w:eastAsia="宋体" w:cs="Times New Roman"/>
                <w:b/>
                <w:bCs/>
                <w:color w:val="auto"/>
                <w:kern w:val="0"/>
                <w:sz w:val="24"/>
                <w:highlight w:val="none"/>
                <w:lang w:val="en-US" w:eastAsia="zh-CN"/>
              </w:rPr>
              <w:t>及现有项目建设内容</w:t>
            </w:r>
          </w:p>
          <w:p>
            <w:pPr>
              <w:adjustRightInd w:val="0"/>
              <w:snapToGrid w:val="0"/>
              <w:spacing w:line="360" w:lineRule="auto"/>
              <w:ind w:firstLine="480" w:firstLineChars="200"/>
              <w:rPr>
                <w:rFonts w:hint="eastAsia" w:eastAsia="宋体"/>
                <w:bCs/>
                <w:color w:val="auto"/>
                <w:sz w:val="24"/>
                <w:highlight w:val="none"/>
                <w:lang w:eastAsia="zh-CN"/>
              </w:rPr>
            </w:pPr>
            <w:r>
              <w:rPr>
                <w:rFonts w:hint="default" w:ascii="Times New Roman" w:hAnsi="Times New Roman" w:cs="Times New Roman"/>
                <w:i w:val="0"/>
                <w:iCs w:val="0"/>
                <w:color w:val="auto"/>
                <w:sz w:val="24"/>
                <w:szCs w:val="24"/>
                <w:highlight w:val="none"/>
                <w:u w:val="none" w:color="auto"/>
                <w:shd w:val="clear" w:color="auto" w:fill="auto"/>
                <w:lang w:val="en-US" w:eastAsia="zh-CN"/>
              </w:rPr>
              <w:t>饭田（长春）橡塑有限公司</w:t>
            </w:r>
            <w:r>
              <w:rPr>
                <w:rFonts w:hint="default" w:ascii="Times New Roman" w:hAnsi="Times New Roman" w:eastAsia="宋体" w:cs="Times New Roman"/>
                <w:bCs/>
                <w:color w:val="auto"/>
                <w:sz w:val="24"/>
                <w:highlight w:val="none"/>
              </w:rPr>
              <w:t>成立于</w:t>
            </w:r>
            <w:r>
              <w:rPr>
                <w:rFonts w:hint="default" w:ascii="Times New Roman" w:hAnsi="Times New Roman" w:eastAsia="宋体" w:cs="Times New Roman"/>
                <w:bCs/>
                <w:color w:val="auto"/>
                <w:sz w:val="24"/>
                <w:highlight w:val="none"/>
                <w:lang w:val="en-US" w:eastAsia="zh-CN"/>
              </w:rPr>
              <w:t>2013</w:t>
            </w:r>
            <w:r>
              <w:rPr>
                <w:rFonts w:hint="default" w:ascii="Times New Roman" w:hAnsi="Times New Roman" w:eastAsia="宋体" w:cs="Times New Roman"/>
                <w:bCs/>
                <w:color w:val="auto"/>
                <w:sz w:val="24"/>
                <w:highlight w:val="none"/>
              </w:rPr>
              <w:t>年9月</w:t>
            </w:r>
            <w:r>
              <w:rPr>
                <w:rFonts w:hint="default" w:ascii="Times New Roman" w:hAnsi="Times New Roman" w:eastAsia="宋体" w:cs="Times New Roman"/>
                <w:bCs/>
                <w:color w:val="auto"/>
                <w:sz w:val="24"/>
                <w:highlight w:val="none"/>
                <w:lang w:val="en-US" w:eastAsia="zh-CN"/>
              </w:rPr>
              <w:t>23日</w:t>
            </w:r>
            <w:r>
              <w:rPr>
                <w:rFonts w:hint="default" w:ascii="Times New Roman" w:hAnsi="Times New Roman" w:eastAsia="宋体" w:cs="Times New Roman"/>
                <w:bCs/>
                <w:color w:val="auto"/>
                <w:sz w:val="24"/>
                <w:highlight w:val="none"/>
              </w:rPr>
              <w:t>，是</w:t>
            </w:r>
            <w:r>
              <w:rPr>
                <w:rFonts w:hint="default" w:ascii="Times New Roman" w:hAnsi="Times New Roman" w:eastAsia="宋体" w:cs="Times New Roman"/>
                <w:bCs/>
                <w:color w:val="auto"/>
                <w:sz w:val="24"/>
                <w:highlight w:val="none"/>
                <w:lang w:val="en-US" w:eastAsia="zh-CN"/>
              </w:rPr>
              <w:t>中外合资</w:t>
            </w:r>
            <w:r>
              <w:rPr>
                <w:rFonts w:hint="default" w:ascii="Times New Roman" w:hAnsi="Times New Roman" w:eastAsia="宋体" w:cs="Times New Roman"/>
                <w:bCs/>
                <w:color w:val="auto"/>
                <w:sz w:val="24"/>
                <w:highlight w:val="none"/>
              </w:rPr>
              <w:t>企业，主要</w:t>
            </w:r>
            <w:r>
              <w:rPr>
                <w:rFonts w:hint="default" w:ascii="Times New Roman" w:hAnsi="Times New Roman" w:eastAsia="宋体" w:cs="Times New Roman"/>
                <w:bCs/>
                <w:color w:val="auto"/>
                <w:sz w:val="24"/>
                <w:highlight w:val="none"/>
                <w:lang w:val="en-US" w:eastAsia="zh-CN"/>
              </w:rPr>
              <w:t>生产</w:t>
            </w:r>
            <w:r>
              <w:rPr>
                <w:rFonts w:hint="default" w:ascii="Times New Roman" w:hAnsi="Times New Roman" w:eastAsia="宋体" w:cs="Times New Roman"/>
                <w:bCs/>
                <w:color w:val="auto"/>
                <w:sz w:val="24"/>
                <w:highlight w:val="none"/>
              </w:rPr>
              <w:t>轻质高强多功能墙体材料、环保型装饰材料、建筑用防水密封材料及汽车用橡塑制品生产、加工、销售、进出口业务；汽车用橡塑制品的研发与设计。</w:t>
            </w:r>
            <w:r>
              <w:rPr>
                <w:rFonts w:hint="default" w:ascii="Times New Roman" w:hAnsi="Times New Roman" w:cs="Times New Roman"/>
                <w:i w:val="0"/>
                <w:iCs w:val="0"/>
                <w:color w:val="auto"/>
                <w:sz w:val="24"/>
                <w:szCs w:val="24"/>
                <w:highlight w:val="none"/>
                <w:u w:val="none" w:color="auto"/>
                <w:shd w:val="clear" w:color="auto" w:fill="auto"/>
                <w:lang w:val="en-US" w:eastAsia="zh-CN"/>
              </w:rPr>
              <w:t>饭田（长春）橡塑有限公司</w:t>
            </w:r>
            <w:r>
              <w:rPr>
                <w:rFonts w:hint="default" w:ascii="Times New Roman" w:hAnsi="Times New Roman" w:eastAsia="宋体" w:cs="Times New Roman"/>
                <w:bCs/>
                <w:color w:val="auto"/>
                <w:sz w:val="24"/>
                <w:highlight w:val="none"/>
              </w:rPr>
              <w:t>目前在长春市</w:t>
            </w:r>
            <w:r>
              <w:rPr>
                <w:rFonts w:hint="default" w:ascii="Times New Roman" w:hAnsi="Times New Roman" w:eastAsia="宋体" w:cs="Times New Roman"/>
                <w:bCs/>
                <w:color w:val="auto"/>
                <w:sz w:val="24"/>
                <w:highlight w:val="none"/>
                <w:lang w:val="en-US" w:eastAsia="zh-CN"/>
              </w:rPr>
              <w:t>已设置</w:t>
            </w:r>
            <w:r>
              <w:rPr>
                <w:rFonts w:hint="eastAsia" w:ascii="Times New Roman" w:hAnsi="Times New Roman" w:eastAsia="宋体" w:cs="Times New Roman"/>
                <w:bCs/>
                <w:color w:val="auto"/>
                <w:sz w:val="24"/>
                <w:highlight w:val="none"/>
                <w:lang w:val="en-US" w:eastAsia="zh-CN"/>
              </w:rPr>
              <w:t>3</w:t>
            </w:r>
            <w:r>
              <w:rPr>
                <w:rFonts w:hint="default" w:ascii="Times New Roman" w:hAnsi="Times New Roman" w:eastAsia="宋体" w:cs="Times New Roman"/>
                <w:bCs/>
                <w:color w:val="auto"/>
                <w:sz w:val="24"/>
                <w:highlight w:val="none"/>
              </w:rPr>
              <w:t>座厂区</w:t>
            </w:r>
            <w:r>
              <w:rPr>
                <w:rFonts w:hint="eastAsia" w:ascii="Times New Roman" w:hAnsi="Times New Roman" w:eastAsia="宋体" w:cs="Times New Roman"/>
                <w:bCs/>
                <w:color w:val="auto"/>
                <w:sz w:val="24"/>
                <w:highlight w:val="none"/>
                <w:lang w:eastAsia="zh-CN"/>
              </w:rPr>
              <w:t>，本项目为二厂扩建项目，位于</w:t>
            </w:r>
            <w:r>
              <w:rPr>
                <w:rFonts w:hint="default" w:ascii="Times New Roman" w:hAnsi="Times New Roman" w:eastAsia="宋体" w:cs="Times New Roman"/>
                <w:color w:val="auto"/>
                <w:sz w:val="24"/>
                <w:szCs w:val="24"/>
                <w:highlight w:val="none"/>
              </w:rPr>
              <w:t>长春经济技术开发区石家庄路171D号厂房</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所在地为租赁场地，现有钢架厂房1座</w:t>
            </w:r>
            <w:r>
              <w:rPr>
                <w:rFonts w:hint="default" w:ascii="Times New Roman" w:hAnsi="Times New Roman" w:eastAsia="宋体" w:cs="Times New Roman"/>
                <w:bCs/>
                <w:color w:val="auto"/>
                <w:sz w:val="24"/>
                <w:highlight w:val="none"/>
              </w:rPr>
              <w:t>，厂区占地面积</w:t>
            </w:r>
            <w:r>
              <w:rPr>
                <w:rFonts w:hint="default" w:ascii="Times New Roman" w:hAnsi="Times New Roman" w:eastAsia="宋体" w:cs="Times New Roman"/>
                <w:bCs/>
                <w:color w:val="auto"/>
                <w:sz w:val="24"/>
                <w:highlight w:val="none"/>
                <w:lang w:val="en-US" w:eastAsia="zh-CN"/>
              </w:rPr>
              <w:t>2164</w:t>
            </w:r>
            <w:r>
              <w:rPr>
                <w:rFonts w:hint="default" w:ascii="Times New Roman" w:hAnsi="Times New Roman" w:eastAsia="宋体" w:cs="Times New Roman"/>
                <w:bCs/>
                <w:color w:val="auto"/>
                <w:sz w:val="24"/>
                <w:highlight w:val="none"/>
              </w:rPr>
              <w:t>m</w:t>
            </w:r>
            <w:r>
              <w:rPr>
                <w:rFonts w:hint="default" w:ascii="Times New Roman" w:hAnsi="Times New Roman" w:eastAsia="宋体" w:cs="Times New Roman"/>
                <w:bCs/>
                <w:color w:val="auto"/>
                <w:sz w:val="24"/>
                <w:highlight w:val="none"/>
                <w:vertAlign w:val="superscript"/>
              </w:rPr>
              <w:t>2</w:t>
            </w:r>
            <w:r>
              <w:rPr>
                <w:rFonts w:hint="default" w:ascii="Times New Roman" w:hAnsi="Times New Roman" w:eastAsia="宋体" w:cs="Times New Roman"/>
                <w:bCs/>
                <w:color w:val="auto"/>
                <w:sz w:val="24"/>
                <w:highlight w:val="none"/>
              </w:rPr>
              <w:t>，建筑面积</w:t>
            </w:r>
            <w:r>
              <w:rPr>
                <w:rFonts w:hint="default" w:ascii="Times New Roman" w:hAnsi="Times New Roman" w:eastAsia="宋体" w:cs="Times New Roman"/>
                <w:bCs/>
                <w:color w:val="auto"/>
                <w:sz w:val="24"/>
                <w:highlight w:val="none"/>
                <w:lang w:val="en-US" w:eastAsia="zh-CN"/>
              </w:rPr>
              <w:t>2164</w:t>
            </w:r>
            <w:r>
              <w:rPr>
                <w:rFonts w:hint="default" w:ascii="Times New Roman" w:hAnsi="Times New Roman" w:eastAsia="宋体" w:cs="Times New Roman"/>
                <w:bCs/>
                <w:color w:val="auto"/>
                <w:sz w:val="24"/>
                <w:highlight w:val="none"/>
              </w:rPr>
              <w:t>m</w:t>
            </w:r>
            <w:r>
              <w:rPr>
                <w:rFonts w:hint="default" w:ascii="Times New Roman" w:hAnsi="Times New Roman" w:eastAsia="宋体" w:cs="Times New Roman"/>
                <w:bCs/>
                <w:color w:val="auto"/>
                <w:sz w:val="24"/>
                <w:highlight w:val="none"/>
                <w:vertAlign w:val="superscript"/>
              </w:rPr>
              <w:t>2</w:t>
            </w:r>
            <w:r>
              <w:rPr>
                <w:rFonts w:hint="default" w:ascii="Times New Roman" w:hAnsi="Times New Roman" w:eastAsia="宋体" w:cs="Times New Roman"/>
                <w:bCs/>
                <w:color w:val="auto"/>
                <w:sz w:val="24"/>
                <w:highlight w:val="none"/>
              </w:rPr>
              <w:t>，现</w:t>
            </w:r>
            <w:r>
              <w:rPr>
                <w:rFonts w:hint="default" w:ascii="Times New Roman" w:hAnsi="Times New Roman" w:eastAsia="宋体" w:cs="Times New Roman"/>
                <w:bCs/>
                <w:color w:val="auto"/>
                <w:sz w:val="24"/>
                <w:highlight w:val="none"/>
                <w:lang w:val="en-US" w:eastAsia="zh-CN"/>
              </w:rPr>
              <w:t>生产规模为</w:t>
            </w:r>
            <w:r>
              <w:rPr>
                <w:rFonts w:hint="default" w:ascii="Times New Roman" w:hAnsi="Times New Roman" w:eastAsia="宋体" w:cs="Times New Roman"/>
                <w:bCs/>
                <w:color w:val="auto"/>
                <w:sz w:val="24"/>
                <w:highlight w:val="none"/>
              </w:rPr>
              <w:t>年生产</w:t>
            </w:r>
            <w:r>
              <w:rPr>
                <w:rFonts w:hint="default" w:ascii="Times New Roman" w:hAnsi="Times New Roman" w:eastAsia="宋体" w:cs="Times New Roman"/>
                <w:bCs/>
                <w:color w:val="auto"/>
                <w:sz w:val="24"/>
                <w:highlight w:val="none"/>
                <w:lang w:val="en-US" w:eastAsia="zh-CN"/>
              </w:rPr>
              <w:t>树脂隔音材料30t</w:t>
            </w:r>
            <w:r>
              <w:rPr>
                <w:rFonts w:hint="default" w:ascii="Times New Roman" w:hAnsi="Times New Roman" w:eastAsia="宋体" w:cs="Times New Roman"/>
                <w:bCs/>
                <w:color w:val="auto"/>
                <w:sz w:val="24"/>
                <w:highlight w:val="none"/>
              </w:rPr>
              <w:t>。</w:t>
            </w:r>
          </w:p>
          <w:p>
            <w:pPr>
              <w:adjustRightInd/>
              <w:snapToGrid/>
              <w:spacing w:after="0" w:line="360" w:lineRule="auto"/>
              <w:ind w:firstLine="480" w:firstLineChars="200"/>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工程组成详见表</w:t>
            </w:r>
            <w:r>
              <w:rPr>
                <w:rFonts w:hint="eastAsia" w:cs="Times New Roman"/>
                <w:color w:val="auto"/>
                <w:sz w:val="24"/>
                <w:szCs w:val="24"/>
                <w:highlight w:val="none"/>
                <w:lang w:val="en-US" w:eastAsia="zh-CN"/>
              </w:rPr>
              <w:t>2-7</w:t>
            </w:r>
            <w:r>
              <w:rPr>
                <w:rFonts w:hint="default" w:ascii="Times New Roman" w:hAnsi="Times New Roman" w:eastAsia="宋体" w:cs="Times New Roman"/>
                <w:color w:val="auto"/>
                <w:sz w:val="24"/>
                <w:szCs w:val="24"/>
                <w:highlight w:val="none"/>
              </w:rPr>
              <w:t>。</w:t>
            </w:r>
          </w:p>
          <w:p>
            <w:pPr>
              <w:spacing w:after="0"/>
              <w:jc w:val="center"/>
              <w:rPr>
                <w:rFonts w:hint="default" w:ascii="Times New Roman" w:hAnsi="Times New Roman" w:cs="Times New Roman"/>
                <w:color w:val="auto"/>
                <w:highlight w:val="none"/>
              </w:rPr>
            </w:pPr>
            <w:r>
              <w:rPr>
                <w:rFonts w:hint="default" w:ascii="Times New Roman" w:hAnsi="Times New Roman" w:eastAsia="宋体" w:cs="Times New Roman"/>
                <w:b/>
                <w:color w:val="auto"/>
                <w:sz w:val="24"/>
                <w:szCs w:val="24"/>
                <w:highlight w:val="none"/>
              </w:rPr>
              <w:t>表</w:t>
            </w:r>
            <w:r>
              <w:rPr>
                <w:rFonts w:hint="eastAsia" w:cs="Times New Roman"/>
                <w:b/>
                <w:color w:val="auto"/>
                <w:sz w:val="24"/>
                <w:szCs w:val="24"/>
                <w:highlight w:val="none"/>
                <w:lang w:val="en-US" w:eastAsia="zh-CN"/>
              </w:rPr>
              <w:t xml:space="preserve">2-7   </w:t>
            </w:r>
            <w:r>
              <w:rPr>
                <w:rFonts w:hint="default" w:ascii="Times New Roman" w:hAnsi="Times New Roman" w:eastAsia="宋体" w:cs="Times New Roman"/>
                <w:b/>
                <w:color w:val="auto"/>
                <w:sz w:val="24"/>
                <w:szCs w:val="24"/>
                <w:highlight w:val="none"/>
              </w:rPr>
              <w:t>主要工程组成一览表</w:t>
            </w:r>
          </w:p>
          <w:tbl>
            <w:tblPr>
              <w:tblStyle w:val="31"/>
              <w:tblW w:w="813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192"/>
              <w:gridCol w:w="61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464" w:type="pc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类别</w:t>
                  </w:r>
                </w:p>
              </w:tc>
              <w:tc>
                <w:tcPr>
                  <w:tcW w:w="732" w:type="pc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工程名称</w:t>
                  </w:r>
                </w:p>
              </w:tc>
              <w:tc>
                <w:tcPr>
                  <w:tcW w:w="3803" w:type="pc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工程内容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464" w:type="pc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主体工程</w:t>
                  </w:r>
                </w:p>
              </w:tc>
              <w:tc>
                <w:tcPr>
                  <w:tcW w:w="732" w:type="pc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jc w:val="center"/>
                    <w:textAlignment w:val="auto"/>
                    <w:rPr>
                      <w:rFonts w:hint="default" w:ascii="Times New Roman" w:hAnsi="Times New Roman" w:eastAsia="微软雅黑" w:cs="Times New Roman"/>
                      <w:color w:val="auto"/>
                      <w:sz w:val="21"/>
                      <w:szCs w:val="21"/>
                      <w:highlight w:val="none"/>
                    </w:rPr>
                  </w:pPr>
                  <w:r>
                    <w:rPr>
                      <w:rFonts w:hint="default" w:ascii="Times New Roman" w:hAnsi="Times New Roman" w:eastAsia="宋体" w:cs="Times New Roman"/>
                      <w:color w:val="auto"/>
                      <w:sz w:val="21"/>
                      <w:szCs w:val="21"/>
                      <w:highlight w:val="none"/>
                    </w:rPr>
                    <w:t>厂房</w:t>
                  </w:r>
                </w:p>
              </w:tc>
              <w:tc>
                <w:tcPr>
                  <w:tcW w:w="380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ind w:right="0"/>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1层：建筑面积2164 m</w:t>
                  </w:r>
                  <w:r>
                    <w:rPr>
                      <w:rFonts w:hint="default" w:ascii="Times New Roman" w:hAnsi="Times New Roman" w:eastAsia="宋体" w:cs="Times New Roman"/>
                      <w:color w:val="auto"/>
                      <w:kern w:val="2"/>
                      <w:sz w:val="21"/>
                      <w:szCs w:val="21"/>
                      <w:highlight w:val="none"/>
                      <w:vertAlign w:val="superscript"/>
                      <w:lang w:val="en-US" w:eastAsia="zh-CN" w:bidi="ar-SA"/>
                    </w:rPr>
                    <w:t>2</w:t>
                  </w:r>
                  <w:r>
                    <w:rPr>
                      <w:rFonts w:hint="default" w:ascii="Times New Roman" w:hAnsi="Times New Roman" w:eastAsia="宋体" w:cs="Times New Roman"/>
                      <w:color w:val="auto"/>
                      <w:kern w:val="2"/>
                      <w:sz w:val="21"/>
                      <w:szCs w:val="21"/>
                      <w:highlight w:val="none"/>
                      <w:vertAlign w:val="baseline"/>
                      <w:lang w:val="en-US" w:eastAsia="zh-CN" w:bidi="ar-SA"/>
                    </w:rPr>
                    <w:t>，</w:t>
                  </w:r>
                  <w:r>
                    <w:rPr>
                      <w:rFonts w:hint="default" w:ascii="Times New Roman" w:hAnsi="Times New Roman" w:eastAsia="宋体" w:cs="Times New Roman"/>
                      <w:color w:val="auto"/>
                      <w:kern w:val="2"/>
                      <w:sz w:val="21"/>
                      <w:szCs w:val="21"/>
                      <w:highlight w:val="none"/>
                      <w:lang w:val="en-US" w:eastAsia="zh-CN" w:bidi="ar-SA"/>
                    </w:rPr>
                    <w:t>用于加工树脂隔音材，年产树脂隔音材料30t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464" w:type="pct"/>
                  <w:vMerge w:val="restar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辅助工程</w:t>
                  </w:r>
                </w:p>
              </w:tc>
              <w:tc>
                <w:tcPr>
                  <w:tcW w:w="732" w:type="pc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配电室</w:t>
                  </w:r>
                </w:p>
              </w:tc>
              <w:tc>
                <w:tcPr>
                  <w:tcW w:w="3803" w:type="pc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位于厂房内，建筑面积</w:t>
                  </w:r>
                  <w:r>
                    <w:rPr>
                      <w:rFonts w:hint="default" w:ascii="Times New Roman" w:hAnsi="Times New Roman" w:eastAsia="宋体" w:cs="Times New Roman"/>
                      <w:color w:val="auto"/>
                      <w:sz w:val="21"/>
                      <w:szCs w:val="21"/>
                      <w:highlight w:val="none"/>
                      <w:lang w:val="en-US" w:eastAsia="zh-CN"/>
                    </w:rPr>
                    <w:t>20m</w:t>
                  </w:r>
                  <w:r>
                    <w:rPr>
                      <w:rFonts w:hint="default" w:ascii="Times New Roman" w:hAnsi="Times New Roman" w:eastAsia="宋体" w:cs="Times New Roman"/>
                      <w:color w:val="auto"/>
                      <w:sz w:val="21"/>
                      <w:szCs w:val="21"/>
                      <w:highlight w:val="none"/>
                      <w:vertAlign w:val="superscript"/>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464" w:type="pct"/>
                  <w:vMerge w:val="continue"/>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textAlignment w:val="auto"/>
                    <w:rPr>
                      <w:rFonts w:hint="default" w:ascii="Times New Roman" w:hAnsi="Times New Roman" w:eastAsia="宋体" w:cs="Times New Roman"/>
                      <w:color w:val="auto"/>
                      <w:sz w:val="21"/>
                      <w:szCs w:val="21"/>
                      <w:highlight w:val="none"/>
                    </w:rPr>
                  </w:pPr>
                </w:p>
              </w:tc>
              <w:tc>
                <w:tcPr>
                  <w:tcW w:w="732" w:type="pc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卫生间</w:t>
                  </w:r>
                </w:p>
              </w:tc>
              <w:tc>
                <w:tcPr>
                  <w:tcW w:w="3803" w:type="pc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位于厂房内，建筑面积</w:t>
                  </w:r>
                  <w:r>
                    <w:rPr>
                      <w:rFonts w:hint="default" w:ascii="Times New Roman" w:hAnsi="Times New Roman" w:eastAsia="宋体" w:cs="Times New Roman"/>
                      <w:color w:val="auto"/>
                      <w:sz w:val="21"/>
                      <w:szCs w:val="21"/>
                      <w:highlight w:val="none"/>
                      <w:lang w:val="en-US" w:eastAsia="zh-CN"/>
                    </w:rPr>
                    <w:t>20m</w:t>
                  </w:r>
                  <w:r>
                    <w:rPr>
                      <w:rFonts w:hint="default" w:ascii="Times New Roman" w:hAnsi="Times New Roman" w:eastAsia="宋体" w:cs="Times New Roman"/>
                      <w:color w:val="auto"/>
                      <w:sz w:val="21"/>
                      <w:szCs w:val="21"/>
                      <w:highlight w:val="none"/>
                      <w:vertAlign w:val="superscript"/>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464" w:type="pct"/>
                  <w:vMerge w:val="continue"/>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textAlignment w:val="auto"/>
                    <w:rPr>
                      <w:rFonts w:hint="default" w:ascii="Times New Roman" w:hAnsi="Times New Roman" w:eastAsia="宋体" w:cs="Times New Roman"/>
                      <w:color w:val="auto"/>
                      <w:sz w:val="21"/>
                      <w:szCs w:val="21"/>
                      <w:highlight w:val="none"/>
                    </w:rPr>
                  </w:pPr>
                </w:p>
              </w:tc>
              <w:tc>
                <w:tcPr>
                  <w:tcW w:w="732" w:type="pc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保安室</w:t>
                  </w:r>
                </w:p>
              </w:tc>
              <w:tc>
                <w:tcPr>
                  <w:tcW w:w="3803" w:type="pc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位于厂房内，建筑面积</w:t>
                  </w:r>
                  <w:r>
                    <w:rPr>
                      <w:rFonts w:hint="default" w:ascii="Times New Roman" w:hAnsi="Times New Roman" w:eastAsia="宋体" w:cs="Times New Roman"/>
                      <w:color w:val="auto"/>
                      <w:sz w:val="21"/>
                      <w:szCs w:val="21"/>
                      <w:highlight w:val="none"/>
                      <w:lang w:val="en-US" w:eastAsia="zh-CN"/>
                    </w:rPr>
                    <w:t>40m</w:t>
                  </w:r>
                  <w:r>
                    <w:rPr>
                      <w:rFonts w:hint="default" w:ascii="Times New Roman" w:hAnsi="Times New Roman" w:eastAsia="宋体" w:cs="Times New Roman"/>
                      <w:color w:val="auto"/>
                      <w:sz w:val="21"/>
                      <w:szCs w:val="21"/>
                      <w:highlight w:val="none"/>
                      <w:vertAlign w:val="superscript"/>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464" w:type="pct"/>
                  <w:vMerge w:val="continue"/>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textAlignment w:val="auto"/>
                    <w:rPr>
                      <w:rFonts w:hint="default" w:ascii="Times New Roman" w:hAnsi="Times New Roman" w:eastAsia="宋体" w:cs="Times New Roman"/>
                      <w:color w:val="auto"/>
                      <w:sz w:val="21"/>
                      <w:szCs w:val="21"/>
                      <w:highlight w:val="none"/>
                    </w:rPr>
                  </w:pPr>
                </w:p>
              </w:tc>
              <w:tc>
                <w:tcPr>
                  <w:tcW w:w="732" w:type="pc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更衣室</w:t>
                  </w:r>
                </w:p>
              </w:tc>
              <w:tc>
                <w:tcPr>
                  <w:tcW w:w="3803" w:type="pc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位于厂房内，建筑面积</w:t>
                  </w:r>
                  <w:r>
                    <w:rPr>
                      <w:rFonts w:hint="default" w:ascii="Times New Roman" w:hAnsi="Times New Roman" w:eastAsia="宋体" w:cs="Times New Roman"/>
                      <w:color w:val="auto"/>
                      <w:sz w:val="21"/>
                      <w:szCs w:val="21"/>
                      <w:highlight w:val="none"/>
                      <w:lang w:val="en-US" w:eastAsia="zh-CN"/>
                    </w:rPr>
                    <w:t>55m</w:t>
                  </w:r>
                  <w:r>
                    <w:rPr>
                      <w:rFonts w:hint="default" w:ascii="Times New Roman" w:hAnsi="Times New Roman" w:eastAsia="宋体" w:cs="Times New Roman"/>
                      <w:color w:val="auto"/>
                      <w:sz w:val="21"/>
                      <w:szCs w:val="21"/>
                      <w:highlight w:val="none"/>
                      <w:vertAlign w:val="superscript"/>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464" w:type="pct"/>
                  <w:vMerge w:val="restar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公用工程</w:t>
                  </w:r>
                </w:p>
              </w:tc>
              <w:tc>
                <w:tcPr>
                  <w:tcW w:w="732" w:type="pc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给水工程</w:t>
                  </w:r>
                </w:p>
              </w:tc>
              <w:tc>
                <w:tcPr>
                  <w:tcW w:w="3803" w:type="pc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城市</w:t>
                  </w:r>
                  <w:r>
                    <w:rPr>
                      <w:rFonts w:hint="default" w:ascii="Times New Roman" w:hAnsi="Times New Roman" w:eastAsia="宋体" w:cs="Times New Roman"/>
                      <w:color w:val="auto"/>
                      <w:sz w:val="21"/>
                      <w:szCs w:val="21"/>
                      <w:highlight w:val="none"/>
                    </w:rPr>
                    <w:t>供水管网</w:t>
                  </w:r>
                  <w:r>
                    <w:rPr>
                      <w:rFonts w:hint="default" w:ascii="Times New Roman" w:hAnsi="Times New Roman" w:eastAsia="宋体" w:cs="Times New Roman"/>
                      <w:color w:val="auto"/>
                      <w:sz w:val="21"/>
                      <w:szCs w:val="21"/>
                      <w:highlight w:val="none"/>
                      <w:lang w:eastAsia="zh-CN"/>
                    </w:rPr>
                    <w:t>供给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464" w:type="pct"/>
                  <w:vMerge w:val="continue"/>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textAlignment w:val="auto"/>
                    <w:rPr>
                      <w:rFonts w:hint="default" w:ascii="Times New Roman" w:hAnsi="Times New Roman" w:eastAsia="宋体" w:cs="Times New Roman"/>
                      <w:color w:val="auto"/>
                      <w:sz w:val="21"/>
                      <w:szCs w:val="21"/>
                      <w:highlight w:val="none"/>
                    </w:rPr>
                  </w:pPr>
                </w:p>
              </w:tc>
              <w:tc>
                <w:tcPr>
                  <w:tcW w:w="732" w:type="pc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排水工程</w:t>
                  </w:r>
                </w:p>
              </w:tc>
              <w:tc>
                <w:tcPr>
                  <w:tcW w:w="3803" w:type="pc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城市管网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464" w:type="pct"/>
                  <w:vMerge w:val="continue"/>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textAlignment w:val="auto"/>
                    <w:rPr>
                      <w:rFonts w:hint="default" w:ascii="Times New Roman" w:hAnsi="Times New Roman" w:eastAsia="宋体" w:cs="Times New Roman"/>
                      <w:color w:val="auto"/>
                      <w:sz w:val="21"/>
                      <w:szCs w:val="21"/>
                      <w:highlight w:val="none"/>
                    </w:rPr>
                  </w:pPr>
                </w:p>
              </w:tc>
              <w:tc>
                <w:tcPr>
                  <w:tcW w:w="732" w:type="pc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供电工程</w:t>
                  </w:r>
                </w:p>
              </w:tc>
              <w:tc>
                <w:tcPr>
                  <w:tcW w:w="3803" w:type="pc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城镇电网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464" w:type="pct"/>
                  <w:vMerge w:val="continue"/>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textAlignment w:val="auto"/>
                    <w:rPr>
                      <w:rFonts w:hint="default" w:ascii="Times New Roman" w:hAnsi="Times New Roman" w:eastAsia="宋体" w:cs="Times New Roman"/>
                      <w:color w:val="auto"/>
                      <w:sz w:val="21"/>
                      <w:szCs w:val="21"/>
                      <w:highlight w:val="none"/>
                    </w:rPr>
                  </w:pPr>
                </w:p>
              </w:tc>
              <w:tc>
                <w:tcPr>
                  <w:tcW w:w="732" w:type="pc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供热工程</w:t>
                  </w:r>
                </w:p>
              </w:tc>
              <w:tc>
                <w:tcPr>
                  <w:tcW w:w="3803" w:type="pc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开发区</w:t>
                  </w:r>
                  <w:r>
                    <w:rPr>
                      <w:rFonts w:hint="default" w:ascii="Times New Roman" w:hAnsi="Times New Roman" w:eastAsia="宋体" w:cs="Times New Roman"/>
                      <w:color w:val="auto"/>
                      <w:sz w:val="21"/>
                      <w:szCs w:val="21"/>
                      <w:highlight w:val="none"/>
                    </w:rPr>
                    <w:t>集中供</w:t>
                  </w:r>
                  <w:r>
                    <w:rPr>
                      <w:rFonts w:hint="default" w:ascii="Times New Roman" w:hAnsi="Times New Roman" w:eastAsia="宋体" w:cs="Times New Roman"/>
                      <w:color w:val="auto"/>
                      <w:sz w:val="21"/>
                      <w:szCs w:val="21"/>
                      <w:highlight w:val="none"/>
                      <w:lang w:eastAsia="zh-CN"/>
                    </w:rPr>
                    <w:t>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464" w:type="pct"/>
                  <w:vMerge w:val="restar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环保工程</w:t>
                  </w:r>
                </w:p>
              </w:tc>
              <w:tc>
                <w:tcPr>
                  <w:tcW w:w="732" w:type="pct"/>
                  <w:vMerge w:val="restar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废气治理</w:t>
                  </w:r>
                </w:p>
              </w:tc>
              <w:tc>
                <w:tcPr>
                  <w:tcW w:w="3803" w:type="pc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注塑工艺</w:t>
                  </w:r>
                  <w:r>
                    <w:rPr>
                      <w:rFonts w:hint="default" w:ascii="Times New Roman" w:hAnsi="Times New Roman" w:eastAsia="宋体" w:cs="Times New Roman"/>
                      <w:color w:val="auto"/>
                      <w:sz w:val="21"/>
                      <w:szCs w:val="21"/>
                      <w:highlight w:val="none"/>
                      <w:lang w:eastAsia="zh-CN"/>
                    </w:rPr>
                    <w:t>产生的非甲烷总烃由</w:t>
                  </w:r>
                  <w:r>
                    <w:rPr>
                      <w:rFonts w:hint="default" w:ascii="Times New Roman" w:hAnsi="Times New Roman" w:eastAsia="宋体" w:cs="Times New Roman"/>
                      <w:color w:val="auto"/>
                      <w:sz w:val="21"/>
                      <w:szCs w:val="21"/>
                      <w:highlight w:val="none"/>
                    </w:rPr>
                    <w:t>风机</w:t>
                  </w:r>
                  <w:r>
                    <w:rPr>
                      <w:rFonts w:hint="default" w:ascii="Times New Roman" w:hAnsi="Times New Roman" w:eastAsia="宋体" w:cs="Times New Roman"/>
                      <w:color w:val="auto"/>
                      <w:sz w:val="21"/>
                      <w:szCs w:val="21"/>
                      <w:highlight w:val="none"/>
                      <w:lang w:eastAsia="zh-CN"/>
                    </w:rPr>
                    <w:t>抽至通风管由</w:t>
                  </w:r>
                  <w:r>
                    <w:rPr>
                      <w:rFonts w:hint="default" w:ascii="Times New Roman" w:hAnsi="Times New Roman" w:eastAsia="宋体" w:cs="Times New Roman"/>
                      <w:color w:val="auto"/>
                      <w:sz w:val="21"/>
                      <w:szCs w:val="21"/>
                      <w:highlight w:val="none"/>
                    </w:rPr>
                    <w:t>15m高排气筒</w:t>
                  </w:r>
                  <w:r>
                    <w:rPr>
                      <w:rFonts w:hint="default" w:ascii="Times New Roman" w:hAnsi="Times New Roman" w:eastAsia="宋体" w:cs="Times New Roman"/>
                      <w:color w:val="auto"/>
                      <w:sz w:val="21"/>
                      <w:szCs w:val="21"/>
                      <w:highlight w:val="none"/>
                      <w:lang w:eastAsia="zh-CN"/>
                    </w:rPr>
                    <w:t>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464" w:type="pct"/>
                  <w:vMerge w:val="continue"/>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textAlignment w:val="auto"/>
                    <w:rPr>
                      <w:rFonts w:hint="default" w:ascii="Times New Roman" w:hAnsi="Times New Roman" w:eastAsia="宋体" w:cs="Times New Roman"/>
                      <w:color w:val="auto"/>
                      <w:sz w:val="21"/>
                      <w:szCs w:val="21"/>
                      <w:highlight w:val="none"/>
                    </w:rPr>
                  </w:pPr>
                </w:p>
              </w:tc>
              <w:tc>
                <w:tcPr>
                  <w:tcW w:w="732" w:type="pct"/>
                  <w:vMerge w:val="continue"/>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jc w:val="center"/>
                    <w:textAlignment w:val="auto"/>
                    <w:rPr>
                      <w:rFonts w:hint="default" w:ascii="Times New Roman" w:hAnsi="Times New Roman" w:eastAsia="宋体" w:cs="Times New Roman"/>
                      <w:color w:val="auto"/>
                      <w:sz w:val="21"/>
                      <w:szCs w:val="21"/>
                      <w:highlight w:val="none"/>
                    </w:rPr>
                  </w:pPr>
                </w:p>
              </w:tc>
              <w:tc>
                <w:tcPr>
                  <w:tcW w:w="3803" w:type="pc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jc w:val="center"/>
                    <w:textAlignment w:val="auto"/>
                    <w:rPr>
                      <w:rFonts w:hint="default" w:ascii="Times New Roman" w:hAnsi="Times New Roman" w:eastAsia="宋体" w:cs="Times New Roman"/>
                      <w:color w:val="auto"/>
                      <w:sz w:val="21"/>
                      <w:szCs w:val="21"/>
                      <w:highlight w:val="none"/>
                      <w:lang w:val="en-US"/>
                    </w:rPr>
                  </w:pPr>
                  <w:r>
                    <w:rPr>
                      <w:rFonts w:hint="default" w:ascii="Times New Roman" w:hAnsi="Times New Roman" w:eastAsia="宋体" w:cs="Times New Roman"/>
                      <w:color w:val="auto"/>
                      <w:sz w:val="21"/>
                      <w:szCs w:val="21"/>
                      <w:highlight w:val="none"/>
                      <w:lang w:eastAsia="zh-CN"/>
                    </w:rPr>
                    <w:t>破碎工艺产生的粉尘在密闭设备中循环破碎后，由旋风除尘器收集，实际无废气排放。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464" w:type="pct"/>
                  <w:vMerge w:val="continue"/>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textAlignment w:val="auto"/>
                    <w:rPr>
                      <w:rFonts w:hint="default" w:ascii="Times New Roman" w:hAnsi="Times New Roman" w:eastAsia="宋体" w:cs="Times New Roman"/>
                      <w:color w:val="auto"/>
                      <w:sz w:val="21"/>
                      <w:szCs w:val="21"/>
                      <w:highlight w:val="none"/>
                    </w:rPr>
                  </w:pPr>
                </w:p>
              </w:tc>
              <w:tc>
                <w:tcPr>
                  <w:tcW w:w="732" w:type="pc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废水治理</w:t>
                  </w:r>
                </w:p>
              </w:tc>
              <w:tc>
                <w:tcPr>
                  <w:tcW w:w="3803" w:type="pc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排入市政污水管网。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464" w:type="pct"/>
                  <w:vMerge w:val="continue"/>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textAlignment w:val="auto"/>
                    <w:rPr>
                      <w:rFonts w:hint="default" w:ascii="Times New Roman" w:hAnsi="Times New Roman" w:eastAsia="宋体" w:cs="Times New Roman"/>
                      <w:color w:val="auto"/>
                      <w:sz w:val="21"/>
                      <w:szCs w:val="21"/>
                      <w:highlight w:val="none"/>
                    </w:rPr>
                  </w:pPr>
                </w:p>
              </w:tc>
              <w:tc>
                <w:tcPr>
                  <w:tcW w:w="732" w:type="pc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噪声治理</w:t>
                  </w:r>
                </w:p>
              </w:tc>
              <w:tc>
                <w:tcPr>
                  <w:tcW w:w="3803" w:type="pc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设备减振，建筑隔声等措施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64" w:type="pct"/>
                  <w:vMerge w:val="continue"/>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textAlignment w:val="auto"/>
                    <w:rPr>
                      <w:rFonts w:hint="default" w:ascii="Times New Roman" w:hAnsi="Times New Roman" w:eastAsia="宋体" w:cs="Times New Roman"/>
                      <w:color w:val="auto"/>
                      <w:sz w:val="21"/>
                      <w:szCs w:val="21"/>
                      <w:highlight w:val="none"/>
                    </w:rPr>
                  </w:pPr>
                </w:p>
              </w:tc>
              <w:tc>
                <w:tcPr>
                  <w:tcW w:w="732" w:type="pc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固废治理</w:t>
                  </w:r>
                </w:p>
              </w:tc>
              <w:tc>
                <w:tcPr>
                  <w:tcW w:w="3803" w:type="pct"/>
                  <w:tcBorders>
                    <w:tl2br w:val="nil"/>
                    <w:tr2bl w:val="nil"/>
                  </w:tcBorders>
                  <w:noWrap w:val="0"/>
                  <w:vAlign w:val="center"/>
                </w:tcPr>
                <w:p>
                  <w:pPr>
                    <w:pStyle w:val="2"/>
                    <w:keepNext w:val="0"/>
                    <w:keepLines w:val="0"/>
                    <w:pageBreakBefore w:val="0"/>
                    <w:widowControl/>
                    <w:kinsoku/>
                    <w:wordWrap/>
                    <w:overflowPunct/>
                    <w:topLinePunct w:val="0"/>
                    <w:autoSpaceDE/>
                    <w:autoSpaceDN/>
                    <w:bidi w:val="0"/>
                    <w:snapToGrid w:val="0"/>
                    <w:spacing w:before="0" w:after="0" w:line="240" w:lineRule="auto"/>
                    <w:ind w:right="0"/>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生活垃圾由市政部门定期清运；</w:t>
                  </w:r>
                  <w:r>
                    <w:rPr>
                      <w:rFonts w:hint="default" w:ascii="Times New Roman" w:hAnsi="Times New Roman" w:eastAsia="宋体" w:cs="Times New Roman"/>
                      <w:color w:val="auto"/>
                      <w:sz w:val="21"/>
                      <w:szCs w:val="21"/>
                      <w:highlight w:val="none"/>
                      <w:lang w:val="en-US" w:eastAsia="zh-CN"/>
                    </w:rPr>
                    <w:t>危险废物</w:t>
                  </w:r>
                  <w:r>
                    <w:rPr>
                      <w:rFonts w:hint="default" w:ascii="Times New Roman" w:hAnsi="Times New Roman" w:eastAsia="宋体" w:cs="Times New Roman"/>
                      <w:color w:val="auto"/>
                      <w:sz w:val="21"/>
                      <w:szCs w:val="21"/>
                      <w:highlight w:val="none"/>
                      <w:lang w:eastAsia="zh-CN"/>
                    </w:rPr>
                    <w:t>暂存于危险废物暂存间，定期交由吉林省蓝天固废处理中心有限公司进行处理。</w:t>
                  </w:r>
                </w:p>
              </w:tc>
            </w:tr>
          </w:tbl>
          <w:p>
            <w:pPr>
              <w:adjustRightInd/>
              <w:snapToGrid/>
              <w:spacing w:after="0" w:line="240" w:lineRule="auto"/>
              <w:ind w:firstLine="480" w:firstLineChars="200"/>
              <w:jc w:val="both"/>
              <w:rPr>
                <w:rFonts w:hint="default" w:ascii="Times New Roman" w:hAnsi="Times New Roman" w:eastAsia="宋体" w:cs="Times New Roman"/>
                <w:color w:val="auto"/>
                <w:sz w:val="24"/>
                <w:szCs w:val="24"/>
                <w:highlight w:val="none"/>
                <w:lang w:val="en-US" w:eastAsia="zh-CN"/>
              </w:rPr>
            </w:pPr>
          </w:p>
          <w:p>
            <w:pPr>
              <w:adjustRightInd w:val="0"/>
              <w:snapToGrid w:val="0"/>
              <w:spacing w:line="360" w:lineRule="auto"/>
              <w:ind w:firstLine="482" w:firstLineChars="200"/>
              <w:rPr>
                <w:rFonts w:hint="default" w:ascii="Times New Roman" w:hAnsi="Times New Roman" w:eastAsia="宋体" w:cs="Times New Roman"/>
                <w:b/>
                <w:bCs/>
                <w:color w:val="auto"/>
                <w:kern w:val="0"/>
                <w:sz w:val="24"/>
                <w:highlight w:val="none"/>
                <w:lang w:val="en-US" w:eastAsia="zh-CN"/>
              </w:rPr>
            </w:pPr>
            <w:r>
              <w:rPr>
                <w:rFonts w:hint="default" w:ascii="Times New Roman" w:hAnsi="Times New Roman" w:eastAsia="宋体" w:cs="Times New Roman"/>
                <w:b/>
                <w:bCs/>
                <w:color w:val="auto"/>
                <w:kern w:val="0"/>
                <w:sz w:val="24"/>
                <w:highlight w:val="none"/>
                <w:lang w:val="en-US" w:eastAsia="zh-CN"/>
              </w:rPr>
              <w:t>2</w:t>
            </w:r>
            <w:r>
              <w:rPr>
                <w:rFonts w:hint="eastAsia" w:ascii="Times New Roman" w:hAnsi="Times New Roman" w:eastAsia="宋体" w:cs="Times New Roman"/>
                <w:b/>
                <w:color w:val="auto"/>
                <w:sz w:val="24"/>
                <w:highlight w:val="none"/>
                <w:lang w:val="en-US"/>
              </w:rPr>
              <w:t>、</w:t>
            </w:r>
            <w:r>
              <w:rPr>
                <w:rFonts w:hint="default" w:ascii="Times New Roman" w:hAnsi="Times New Roman" w:eastAsia="宋体" w:cs="Times New Roman"/>
                <w:b/>
                <w:bCs/>
                <w:color w:val="auto"/>
                <w:kern w:val="0"/>
                <w:sz w:val="24"/>
                <w:highlight w:val="none"/>
                <w:lang w:val="en-US" w:eastAsia="zh-CN"/>
              </w:rPr>
              <w:t>生产规模及产品方案</w:t>
            </w:r>
          </w:p>
          <w:p>
            <w:pPr>
              <w:adjustRightInd/>
              <w:snapToGrid/>
              <w:spacing w:after="0" w:line="360" w:lineRule="auto"/>
              <w:ind w:firstLine="480" w:firstLineChars="200"/>
              <w:rPr>
                <w:rFonts w:hint="default" w:ascii="Times New Roman" w:hAnsi="Times New Roman" w:eastAsia="宋体" w:cs="Times New Roman"/>
                <w:b/>
                <w:color w:val="auto"/>
                <w:sz w:val="24"/>
                <w:szCs w:val="24"/>
                <w:highlight w:val="none"/>
              </w:rPr>
            </w:pPr>
            <w:r>
              <w:rPr>
                <w:rFonts w:hint="eastAsia" w:cs="Times New Roman"/>
                <w:color w:val="auto"/>
                <w:sz w:val="24"/>
                <w:szCs w:val="24"/>
                <w:highlight w:val="none"/>
                <w:lang w:eastAsia="zh-CN"/>
              </w:rPr>
              <w:t>现有</w:t>
            </w:r>
            <w:r>
              <w:rPr>
                <w:rFonts w:hint="default" w:ascii="Times New Roman" w:hAnsi="Times New Roman" w:eastAsia="宋体" w:cs="Times New Roman"/>
                <w:color w:val="auto"/>
                <w:sz w:val="24"/>
                <w:szCs w:val="24"/>
                <w:highlight w:val="none"/>
              </w:rPr>
              <w:t>产品名称及产量见</w:t>
            </w:r>
            <w:r>
              <w:rPr>
                <w:rFonts w:hint="eastAsia" w:cs="Times New Roman"/>
                <w:color w:val="auto"/>
                <w:sz w:val="24"/>
                <w:szCs w:val="24"/>
                <w:highlight w:val="none"/>
                <w:lang w:val="en-US" w:eastAsia="zh-CN"/>
              </w:rPr>
              <w:t>下表</w:t>
            </w:r>
            <w:r>
              <w:rPr>
                <w:rFonts w:hint="default" w:ascii="Times New Roman" w:hAnsi="Times New Roman" w:eastAsia="宋体" w:cs="Times New Roman"/>
                <w:color w:val="auto"/>
                <w:sz w:val="24"/>
                <w:szCs w:val="24"/>
                <w:highlight w:val="none"/>
              </w:rPr>
              <w:t>。</w:t>
            </w:r>
          </w:p>
          <w:p>
            <w:pPr>
              <w:spacing w:after="0"/>
              <w:jc w:val="center"/>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表</w:t>
            </w:r>
            <w:r>
              <w:rPr>
                <w:rFonts w:hint="eastAsia" w:cs="Times New Roman"/>
                <w:b/>
                <w:color w:val="auto"/>
                <w:sz w:val="24"/>
                <w:szCs w:val="24"/>
                <w:highlight w:val="none"/>
                <w:lang w:val="en-US" w:eastAsia="zh-CN"/>
              </w:rPr>
              <w:t>2-8</w:t>
            </w:r>
            <w:r>
              <w:rPr>
                <w:rFonts w:hint="default" w:ascii="Times New Roman" w:hAnsi="Times New Roman" w:eastAsia="宋体" w:cs="Times New Roman"/>
                <w:b/>
                <w:color w:val="auto"/>
                <w:sz w:val="24"/>
                <w:szCs w:val="24"/>
                <w:highlight w:val="none"/>
                <w:lang w:val="en-US" w:eastAsia="zh-CN"/>
              </w:rPr>
              <w:t xml:space="preserve">  </w:t>
            </w:r>
            <w:r>
              <w:rPr>
                <w:rFonts w:hint="default" w:ascii="Times New Roman" w:hAnsi="Times New Roman" w:eastAsia="宋体" w:cs="Times New Roman"/>
                <w:b/>
                <w:color w:val="auto"/>
                <w:sz w:val="24"/>
                <w:szCs w:val="24"/>
                <w:highlight w:val="none"/>
              </w:rPr>
              <w:t xml:space="preserve"> 产品产量一览表</w:t>
            </w:r>
          </w:p>
          <w:tbl>
            <w:tblPr>
              <w:tblStyle w:val="30"/>
              <w:tblW w:w="8079"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912"/>
              <w:gridCol w:w="2150"/>
              <w:gridCol w:w="1435"/>
              <w:gridCol w:w="358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93" w:hRule="atLeast"/>
                <w:tblHeader/>
              </w:trPr>
              <w:tc>
                <w:tcPr>
                  <w:tcW w:w="912" w:type="dxa"/>
                  <w:noWrap w:val="0"/>
                  <w:vAlign w:val="center"/>
                </w:tcPr>
                <w:p>
                  <w:pPr>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序号</w:t>
                  </w:r>
                </w:p>
              </w:tc>
              <w:tc>
                <w:tcPr>
                  <w:tcW w:w="2150" w:type="dxa"/>
                  <w:noWrap w:val="0"/>
                  <w:vAlign w:val="center"/>
                </w:tcPr>
                <w:p>
                  <w:pPr>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产品名称</w:t>
                  </w:r>
                </w:p>
              </w:tc>
              <w:tc>
                <w:tcPr>
                  <w:tcW w:w="1435" w:type="dxa"/>
                  <w:noWrap w:val="0"/>
                  <w:vAlign w:val="center"/>
                </w:tcPr>
                <w:p>
                  <w:pPr>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单位</w:t>
                  </w:r>
                </w:p>
              </w:tc>
              <w:tc>
                <w:tcPr>
                  <w:tcW w:w="3582" w:type="dxa"/>
                  <w:noWrap w:val="0"/>
                  <w:vAlign w:val="center"/>
                </w:tcPr>
                <w:p>
                  <w:pPr>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产量</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45" w:hRule="atLeast"/>
              </w:trPr>
              <w:tc>
                <w:tcPr>
                  <w:tcW w:w="912" w:type="dxa"/>
                  <w:noWrap w:val="0"/>
                  <w:vAlign w:val="center"/>
                </w:tcPr>
                <w:p>
                  <w:pPr>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2150" w:type="dxa"/>
                  <w:noWrap w:val="0"/>
                  <w:vAlign w:val="center"/>
                </w:tcPr>
                <w:p>
                  <w:pPr>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2"/>
                      <w:sz w:val="21"/>
                      <w:szCs w:val="21"/>
                      <w:highlight w:val="none"/>
                      <w:lang w:val="en-US" w:eastAsia="zh-CN"/>
                    </w:rPr>
                    <w:t>树脂隔音材料</w:t>
                  </w:r>
                </w:p>
              </w:tc>
              <w:tc>
                <w:tcPr>
                  <w:tcW w:w="1435" w:type="dxa"/>
                  <w:noWrap w:val="0"/>
                  <w:vAlign w:val="center"/>
                </w:tcPr>
                <w:p>
                  <w:pPr>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t</w:t>
                  </w:r>
                  <w:r>
                    <w:rPr>
                      <w:rFonts w:hint="default" w:ascii="Times New Roman" w:hAnsi="Times New Roman" w:eastAsia="宋体" w:cs="Times New Roman"/>
                      <w:color w:val="auto"/>
                      <w:sz w:val="21"/>
                      <w:szCs w:val="21"/>
                      <w:highlight w:val="none"/>
                    </w:rPr>
                    <w:t>/a</w:t>
                  </w:r>
                </w:p>
              </w:tc>
              <w:tc>
                <w:tcPr>
                  <w:tcW w:w="3582" w:type="dxa"/>
                  <w:noWrap w:val="0"/>
                  <w:vAlign w:val="center"/>
                </w:tcPr>
                <w:p>
                  <w:pPr>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30</w:t>
                  </w:r>
                </w:p>
              </w:tc>
            </w:tr>
          </w:tbl>
          <w:p>
            <w:pPr>
              <w:adjustRightInd/>
              <w:snapToGrid/>
              <w:spacing w:after="0" w:line="240" w:lineRule="auto"/>
              <w:ind w:firstLine="480" w:firstLineChars="200"/>
              <w:jc w:val="both"/>
              <w:rPr>
                <w:rFonts w:hint="default" w:ascii="Times New Roman" w:hAnsi="Times New Roman" w:eastAsia="宋体" w:cs="Times New Roman"/>
                <w:color w:val="auto"/>
                <w:sz w:val="24"/>
                <w:szCs w:val="24"/>
                <w:highlight w:val="none"/>
                <w:lang w:val="en-US" w:eastAsia="zh-CN"/>
              </w:rPr>
            </w:pPr>
          </w:p>
          <w:p>
            <w:pPr>
              <w:adjustRightInd w:val="0"/>
              <w:snapToGrid w:val="0"/>
              <w:spacing w:line="360" w:lineRule="auto"/>
              <w:ind w:firstLine="482" w:firstLineChars="200"/>
              <w:rPr>
                <w:rFonts w:hint="default" w:ascii="Times New Roman" w:hAnsi="Times New Roman" w:eastAsia="宋体" w:cs="Times New Roman"/>
                <w:b/>
                <w:bCs/>
                <w:color w:val="auto"/>
                <w:kern w:val="0"/>
                <w:sz w:val="24"/>
                <w:highlight w:val="none"/>
                <w:lang w:val="en-US" w:eastAsia="zh-CN"/>
              </w:rPr>
            </w:pPr>
            <w:r>
              <w:rPr>
                <w:rFonts w:hint="eastAsia" w:ascii="Times New Roman" w:hAnsi="Times New Roman" w:eastAsia="宋体" w:cs="Times New Roman"/>
                <w:b/>
                <w:bCs/>
                <w:color w:val="auto"/>
                <w:kern w:val="0"/>
                <w:sz w:val="24"/>
                <w:highlight w:val="none"/>
                <w:lang w:val="en-US" w:eastAsia="zh-CN"/>
              </w:rPr>
              <w:t>3、</w:t>
            </w:r>
            <w:r>
              <w:rPr>
                <w:rFonts w:hint="default" w:ascii="Times New Roman" w:hAnsi="Times New Roman" w:eastAsia="宋体" w:cs="Times New Roman"/>
                <w:b/>
                <w:bCs/>
                <w:color w:val="auto"/>
                <w:kern w:val="0"/>
                <w:sz w:val="24"/>
                <w:highlight w:val="none"/>
                <w:lang w:val="en-US" w:eastAsia="zh-CN"/>
              </w:rPr>
              <w:t>原辅材料使用情况</w:t>
            </w:r>
          </w:p>
          <w:p>
            <w:pPr>
              <w:pStyle w:val="96"/>
              <w:rPr>
                <w:rFonts w:hint="default" w:ascii="Times New Roman" w:hAnsi="Times New Roman" w:cs="Times New Roman"/>
                <w:color w:val="auto"/>
                <w:highlight w:val="none"/>
              </w:rPr>
            </w:pPr>
            <w:r>
              <w:rPr>
                <w:rFonts w:hint="eastAsia" w:cs="Times New Roman"/>
                <w:color w:val="auto"/>
                <w:highlight w:val="none"/>
                <w:lang w:val="en-US" w:eastAsia="zh-CN"/>
              </w:rPr>
              <w:t>现有</w:t>
            </w:r>
            <w:r>
              <w:rPr>
                <w:rFonts w:hint="default" w:ascii="Times New Roman" w:hAnsi="Times New Roman" w:cs="Times New Roman"/>
                <w:color w:val="auto"/>
                <w:highlight w:val="none"/>
              </w:rPr>
              <w:t>主要原辅材料消耗情况详见</w:t>
            </w:r>
            <w:r>
              <w:rPr>
                <w:rFonts w:hint="eastAsia" w:cs="Times New Roman"/>
                <w:color w:val="auto"/>
                <w:sz w:val="24"/>
                <w:szCs w:val="24"/>
                <w:highlight w:val="none"/>
                <w:lang w:val="en-US" w:eastAsia="zh-CN"/>
              </w:rPr>
              <w:t>下表</w:t>
            </w:r>
            <w:r>
              <w:rPr>
                <w:rFonts w:hint="default" w:ascii="Times New Roman" w:hAnsi="Times New Roman" w:cs="Times New Roman"/>
                <w:color w:val="auto"/>
                <w:highlight w:val="none"/>
              </w:rPr>
              <w:t>。</w:t>
            </w:r>
          </w:p>
          <w:p>
            <w:pPr>
              <w:spacing w:after="0"/>
              <w:jc w:val="center"/>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表</w:t>
            </w:r>
            <w:r>
              <w:rPr>
                <w:rFonts w:hint="default" w:ascii="Times New Roman" w:hAnsi="Times New Roman" w:eastAsia="宋体" w:cs="Times New Roman"/>
                <w:b/>
                <w:color w:val="auto"/>
                <w:sz w:val="24"/>
                <w:szCs w:val="24"/>
                <w:highlight w:val="none"/>
                <w:lang w:val="en-US" w:eastAsia="zh-CN"/>
              </w:rPr>
              <w:t>2</w:t>
            </w:r>
            <w:r>
              <w:rPr>
                <w:rFonts w:hint="eastAsia" w:cs="Times New Roman"/>
                <w:b/>
                <w:color w:val="auto"/>
                <w:sz w:val="24"/>
                <w:szCs w:val="24"/>
                <w:highlight w:val="none"/>
                <w:lang w:val="en-US" w:eastAsia="zh-CN"/>
              </w:rPr>
              <w:t>-9</w:t>
            </w:r>
            <w:r>
              <w:rPr>
                <w:rFonts w:hint="default" w:ascii="Times New Roman" w:hAnsi="Times New Roman" w:eastAsia="宋体" w:cs="Times New Roman"/>
                <w:b/>
                <w:color w:val="auto"/>
                <w:sz w:val="24"/>
                <w:szCs w:val="24"/>
                <w:highlight w:val="none"/>
                <w:lang w:val="en-US" w:eastAsia="zh-CN"/>
              </w:rPr>
              <w:t xml:space="preserve"> </w:t>
            </w:r>
            <w:r>
              <w:rPr>
                <w:rFonts w:hint="default" w:ascii="Times New Roman" w:hAnsi="Times New Roman" w:eastAsia="宋体" w:cs="Times New Roman"/>
                <w:b/>
                <w:color w:val="auto"/>
                <w:sz w:val="24"/>
                <w:szCs w:val="24"/>
                <w:highlight w:val="none"/>
              </w:rPr>
              <w:t xml:space="preserve">  原辅材料消耗表</w:t>
            </w:r>
          </w:p>
          <w:tbl>
            <w:tblPr>
              <w:tblStyle w:val="30"/>
              <w:tblW w:w="815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0"/>
              <w:gridCol w:w="3401"/>
              <w:gridCol w:w="2585"/>
              <w:gridCol w:w="13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840" w:type="dxa"/>
                  <w:noWrap w:val="0"/>
                  <w:vAlign w:val="center"/>
                </w:tcPr>
                <w:p>
                  <w:pPr>
                    <w:autoSpaceDE w:val="0"/>
                    <w:autoSpaceDN w:val="0"/>
                    <w:adjustRightInd/>
                    <w:snapToGrid/>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序号</w:t>
                  </w:r>
                </w:p>
              </w:tc>
              <w:tc>
                <w:tcPr>
                  <w:tcW w:w="3401" w:type="dxa"/>
                  <w:noWrap w:val="0"/>
                  <w:vAlign w:val="center"/>
                </w:tcPr>
                <w:p>
                  <w:pPr>
                    <w:autoSpaceDE w:val="0"/>
                    <w:autoSpaceDN w:val="0"/>
                    <w:adjustRightInd/>
                    <w:snapToGrid/>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名称</w:t>
                  </w:r>
                </w:p>
              </w:tc>
              <w:tc>
                <w:tcPr>
                  <w:tcW w:w="2585" w:type="dxa"/>
                  <w:noWrap w:val="0"/>
                  <w:vAlign w:val="center"/>
                </w:tcPr>
                <w:p>
                  <w:pPr>
                    <w:autoSpaceDE w:val="0"/>
                    <w:autoSpaceDN w:val="0"/>
                    <w:adjustRightInd/>
                    <w:snapToGrid/>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用量</w:t>
                  </w:r>
                </w:p>
              </w:tc>
              <w:tc>
                <w:tcPr>
                  <w:tcW w:w="1333" w:type="dxa"/>
                  <w:noWrap w:val="0"/>
                  <w:vAlign w:val="center"/>
                </w:tcPr>
                <w:p>
                  <w:pPr>
                    <w:autoSpaceDE w:val="0"/>
                    <w:autoSpaceDN w:val="0"/>
                    <w:adjustRightInd/>
                    <w:snapToGrid/>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840" w:type="dxa"/>
                  <w:noWrap w:val="0"/>
                  <w:vAlign w:val="center"/>
                </w:tcPr>
                <w:p>
                  <w:pPr>
                    <w:autoSpaceDE w:val="0"/>
                    <w:autoSpaceDN w:val="0"/>
                    <w:adjustRightInd/>
                    <w:snapToGrid/>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3401" w:type="dxa"/>
                  <w:noWrap w:val="0"/>
                  <w:vAlign w:val="center"/>
                </w:tcPr>
                <w:p>
                  <w:pPr>
                    <w:autoSpaceDE w:val="0"/>
                    <w:autoSpaceDN w:val="0"/>
                    <w:adjustRightInd/>
                    <w:snapToGrid/>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D-Foam</w:t>
                  </w:r>
                </w:p>
              </w:tc>
              <w:tc>
                <w:tcPr>
                  <w:tcW w:w="2585" w:type="dxa"/>
                  <w:noWrap w:val="0"/>
                  <w:vAlign w:val="center"/>
                </w:tcPr>
                <w:p>
                  <w:pPr>
                    <w:autoSpaceDE w:val="0"/>
                    <w:autoSpaceDN w:val="0"/>
                    <w:adjustRightInd/>
                    <w:snapToGrid/>
                    <w:spacing w:after="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16</w:t>
                  </w:r>
                </w:p>
              </w:tc>
              <w:tc>
                <w:tcPr>
                  <w:tcW w:w="1333" w:type="dxa"/>
                  <w:noWrap w:val="0"/>
                  <w:vAlign w:val="center"/>
                </w:tcPr>
                <w:p>
                  <w:pPr>
                    <w:autoSpaceDE w:val="0"/>
                    <w:autoSpaceDN w:val="0"/>
                    <w:adjustRightInd/>
                    <w:snapToGrid/>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40" w:type="dxa"/>
                  <w:noWrap w:val="0"/>
                  <w:vAlign w:val="center"/>
                </w:tcPr>
                <w:p>
                  <w:pPr>
                    <w:autoSpaceDE w:val="0"/>
                    <w:autoSpaceDN w:val="0"/>
                    <w:adjustRightInd/>
                    <w:snapToGrid/>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w:t>
                  </w:r>
                </w:p>
              </w:tc>
              <w:tc>
                <w:tcPr>
                  <w:tcW w:w="3401" w:type="dxa"/>
                  <w:noWrap w:val="0"/>
                  <w:vAlign w:val="center"/>
                </w:tcPr>
                <w:p>
                  <w:pPr>
                    <w:autoSpaceDE w:val="0"/>
                    <w:autoSpaceDN w:val="0"/>
                    <w:adjustRightInd/>
                    <w:snapToGrid/>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尼龙</w:t>
                  </w:r>
                </w:p>
              </w:tc>
              <w:tc>
                <w:tcPr>
                  <w:tcW w:w="2585" w:type="dxa"/>
                  <w:noWrap w:val="0"/>
                  <w:vAlign w:val="center"/>
                </w:tcPr>
                <w:p>
                  <w:pPr>
                    <w:autoSpaceDE w:val="0"/>
                    <w:autoSpaceDN w:val="0"/>
                    <w:adjustRightInd/>
                    <w:snapToGrid/>
                    <w:spacing w:after="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15.5</w:t>
                  </w:r>
                </w:p>
              </w:tc>
              <w:tc>
                <w:tcPr>
                  <w:tcW w:w="1333" w:type="dxa"/>
                  <w:noWrap w:val="0"/>
                  <w:vAlign w:val="center"/>
                </w:tcPr>
                <w:p>
                  <w:pPr>
                    <w:autoSpaceDE w:val="0"/>
                    <w:autoSpaceDN w:val="0"/>
                    <w:adjustRightInd/>
                    <w:snapToGrid/>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40" w:type="dxa"/>
                  <w:noWrap w:val="0"/>
                  <w:vAlign w:val="center"/>
                </w:tcPr>
                <w:p>
                  <w:pPr>
                    <w:autoSpaceDE w:val="0"/>
                    <w:autoSpaceDN w:val="0"/>
                    <w:adjustRightInd/>
                    <w:snapToGrid/>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w:t>
                  </w:r>
                </w:p>
              </w:tc>
              <w:tc>
                <w:tcPr>
                  <w:tcW w:w="3401" w:type="dxa"/>
                  <w:noWrap w:val="0"/>
                  <w:vAlign w:val="center"/>
                </w:tcPr>
                <w:p>
                  <w:pPr>
                    <w:autoSpaceDE w:val="0"/>
                    <w:autoSpaceDN w:val="0"/>
                    <w:adjustRightInd/>
                    <w:snapToGrid/>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脱模剂</w:t>
                  </w:r>
                </w:p>
              </w:tc>
              <w:tc>
                <w:tcPr>
                  <w:tcW w:w="2585" w:type="dxa"/>
                  <w:noWrap w:val="0"/>
                  <w:vAlign w:val="center"/>
                </w:tcPr>
                <w:p>
                  <w:pPr>
                    <w:autoSpaceDE w:val="0"/>
                    <w:autoSpaceDN w:val="0"/>
                    <w:adjustRightInd/>
                    <w:snapToGrid/>
                    <w:spacing w:after="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0.571</w:t>
                  </w:r>
                </w:p>
              </w:tc>
              <w:tc>
                <w:tcPr>
                  <w:tcW w:w="1333" w:type="dxa"/>
                  <w:noWrap w:val="0"/>
                  <w:vAlign w:val="center"/>
                </w:tcPr>
                <w:p>
                  <w:pPr>
                    <w:autoSpaceDE w:val="0"/>
                    <w:autoSpaceDN w:val="0"/>
                    <w:adjustRightInd/>
                    <w:snapToGrid/>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40" w:type="dxa"/>
                  <w:noWrap w:val="0"/>
                  <w:vAlign w:val="center"/>
                </w:tcPr>
                <w:p>
                  <w:pPr>
                    <w:autoSpaceDE w:val="0"/>
                    <w:autoSpaceDN w:val="0"/>
                    <w:adjustRightInd/>
                    <w:snapToGrid/>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w:t>
                  </w:r>
                </w:p>
              </w:tc>
              <w:tc>
                <w:tcPr>
                  <w:tcW w:w="3401" w:type="dxa"/>
                  <w:noWrap w:val="0"/>
                  <w:vAlign w:val="center"/>
                </w:tcPr>
                <w:p>
                  <w:pPr>
                    <w:autoSpaceDE w:val="0"/>
                    <w:autoSpaceDN w:val="0"/>
                    <w:adjustRightInd/>
                    <w:snapToGrid/>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模具</w:t>
                  </w:r>
                </w:p>
              </w:tc>
              <w:tc>
                <w:tcPr>
                  <w:tcW w:w="2585" w:type="dxa"/>
                  <w:noWrap w:val="0"/>
                  <w:vAlign w:val="center"/>
                </w:tcPr>
                <w:p>
                  <w:pPr>
                    <w:autoSpaceDE w:val="0"/>
                    <w:autoSpaceDN w:val="0"/>
                    <w:adjustRightInd/>
                    <w:snapToGrid/>
                    <w:spacing w:after="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0.01</w:t>
                  </w:r>
                </w:p>
              </w:tc>
              <w:tc>
                <w:tcPr>
                  <w:tcW w:w="1333" w:type="dxa"/>
                  <w:noWrap w:val="0"/>
                  <w:vAlign w:val="center"/>
                </w:tcPr>
                <w:p>
                  <w:pPr>
                    <w:autoSpaceDE w:val="0"/>
                    <w:autoSpaceDN w:val="0"/>
                    <w:adjustRightInd/>
                    <w:snapToGrid/>
                    <w:spacing w:after="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840" w:type="dxa"/>
                  <w:noWrap w:val="0"/>
                  <w:vAlign w:val="center"/>
                </w:tcPr>
                <w:p>
                  <w:pPr>
                    <w:autoSpaceDE w:val="0"/>
                    <w:autoSpaceDN w:val="0"/>
                    <w:adjustRightInd/>
                    <w:snapToGrid/>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w:t>
                  </w:r>
                </w:p>
              </w:tc>
              <w:tc>
                <w:tcPr>
                  <w:tcW w:w="3401" w:type="dxa"/>
                  <w:noWrap w:val="0"/>
                  <w:vAlign w:val="center"/>
                </w:tcPr>
                <w:p>
                  <w:pPr>
                    <w:autoSpaceDE w:val="0"/>
                    <w:autoSpaceDN w:val="0"/>
                    <w:adjustRightInd/>
                    <w:snapToGrid/>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WD-40模具清洗剂</w:t>
                  </w:r>
                </w:p>
              </w:tc>
              <w:tc>
                <w:tcPr>
                  <w:tcW w:w="2585" w:type="dxa"/>
                  <w:noWrap w:val="0"/>
                  <w:vAlign w:val="center"/>
                </w:tcPr>
                <w:p>
                  <w:pPr>
                    <w:autoSpaceDE w:val="0"/>
                    <w:autoSpaceDN w:val="0"/>
                    <w:adjustRightInd/>
                    <w:snapToGrid/>
                    <w:spacing w:after="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0.030</w:t>
                  </w:r>
                </w:p>
              </w:tc>
              <w:tc>
                <w:tcPr>
                  <w:tcW w:w="1333" w:type="dxa"/>
                  <w:noWrap w:val="0"/>
                  <w:vAlign w:val="center"/>
                </w:tcPr>
                <w:p>
                  <w:pPr>
                    <w:autoSpaceDE w:val="0"/>
                    <w:autoSpaceDN w:val="0"/>
                    <w:adjustRightInd/>
                    <w:snapToGrid/>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840" w:type="dxa"/>
                  <w:noWrap w:val="0"/>
                  <w:vAlign w:val="center"/>
                </w:tcPr>
                <w:p>
                  <w:pPr>
                    <w:autoSpaceDE w:val="0"/>
                    <w:autoSpaceDN w:val="0"/>
                    <w:adjustRightInd/>
                    <w:snapToGrid/>
                    <w:spacing w:after="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w:t>
                  </w:r>
                </w:p>
              </w:tc>
              <w:tc>
                <w:tcPr>
                  <w:tcW w:w="3401" w:type="dxa"/>
                  <w:noWrap w:val="0"/>
                  <w:vAlign w:val="center"/>
                </w:tcPr>
                <w:p>
                  <w:pPr>
                    <w:autoSpaceDE w:val="0"/>
                    <w:autoSpaceDN w:val="0"/>
                    <w:adjustRightInd/>
                    <w:snapToGrid/>
                    <w:spacing w:after="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润滑油</w:t>
                  </w:r>
                </w:p>
              </w:tc>
              <w:tc>
                <w:tcPr>
                  <w:tcW w:w="2585" w:type="dxa"/>
                  <w:noWrap w:val="0"/>
                  <w:vAlign w:val="center"/>
                </w:tcPr>
                <w:p>
                  <w:pPr>
                    <w:autoSpaceDE w:val="0"/>
                    <w:autoSpaceDN w:val="0"/>
                    <w:adjustRightInd/>
                    <w:snapToGrid/>
                    <w:spacing w:after="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0.0001</w:t>
                  </w:r>
                </w:p>
              </w:tc>
              <w:tc>
                <w:tcPr>
                  <w:tcW w:w="1333" w:type="dxa"/>
                  <w:noWrap w:val="0"/>
                  <w:vAlign w:val="center"/>
                </w:tcPr>
                <w:p>
                  <w:pPr>
                    <w:autoSpaceDE w:val="0"/>
                    <w:autoSpaceDN w:val="0"/>
                    <w:adjustRightInd/>
                    <w:snapToGrid/>
                    <w:spacing w:after="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840" w:type="dxa"/>
                  <w:noWrap w:val="0"/>
                  <w:vAlign w:val="center"/>
                </w:tcPr>
                <w:p>
                  <w:pPr>
                    <w:autoSpaceDE w:val="0"/>
                    <w:autoSpaceDN w:val="0"/>
                    <w:adjustRightInd/>
                    <w:snapToGrid/>
                    <w:spacing w:after="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w:t>
                  </w:r>
                </w:p>
              </w:tc>
              <w:tc>
                <w:tcPr>
                  <w:tcW w:w="3401" w:type="dxa"/>
                  <w:noWrap w:val="0"/>
                  <w:vAlign w:val="center"/>
                </w:tcPr>
                <w:p>
                  <w:pPr>
                    <w:autoSpaceDE w:val="0"/>
                    <w:autoSpaceDN w:val="0"/>
                    <w:adjustRightInd/>
                    <w:snapToGrid/>
                    <w:spacing w:after="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液压油</w:t>
                  </w:r>
                </w:p>
              </w:tc>
              <w:tc>
                <w:tcPr>
                  <w:tcW w:w="2585" w:type="dxa"/>
                  <w:noWrap w:val="0"/>
                  <w:vAlign w:val="center"/>
                </w:tcPr>
                <w:p>
                  <w:pPr>
                    <w:autoSpaceDE w:val="0"/>
                    <w:autoSpaceDN w:val="0"/>
                    <w:adjustRightInd/>
                    <w:snapToGrid/>
                    <w:spacing w:after="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0.004</w:t>
                  </w:r>
                </w:p>
              </w:tc>
              <w:tc>
                <w:tcPr>
                  <w:tcW w:w="1333" w:type="dxa"/>
                  <w:noWrap w:val="0"/>
                  <w:vAlign w:val="center"/>
                </w:tcPr>
                <w:p>
                  <w:pPr>
                    <w:autoSpaceDE w:val="0"/>
                    <w:autoSpaceDN w:val="0"/>
                    <w:adjustRightInd/>
                    <w:snapToGrid/>
                    <w:spacing w:after="0"/>
                    <w:jc w:val="center"/>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t/a</w:t>
                  </w:r>
                </w:p>
              </w:tc>
            </w:tr>
          </w:tbl>
          <w:p>
            <w:pPr>
              <w:adjustRightInd w:val="0"/>
              <w:snapToGrid w:val="0"/>
              <w:spacing w:line="360" w:lineRule="auto"/>
              <w:ind w:firstLine="482" w:firstLineChars="200"/>
              <w:rPr>
                <w:rFonts w:hint="default" w:ascii="Times New Roman" w:hAnsi="Times New Roman" w:eastAsia="宋体" w:cs="Times New Roman"/>
                <w:b/>
                <w:bCs/>
                <w:color w:val="auto"/>
                <w:kern w:val="0"/>
                <w:sz w:val="24"/>
                <w:highlight w:val="none"/>
                <w:lang w:val="en-US" w:eastAsia="zh-CN"/>
              </w:rPr>
            </w:pPr>
            <w:r>
              <w:rPr>
                <w:rFonts w:hint="eastAsia" w:ascii="Times New Roman" w:hAnsi="Times New Roman" w:eastAsia="宋体" w:cs="Times New Roman"/>
                <w:b/>
                <w:bCs/>
                <w:color w:val="auto"/>
                <w:kern w:val="0"/>
                <w:sz w:val="24"/>
                <w:highlight w:val="none"/>
                <w:lang w:val="en-US" w:eastAsia="zh-CN"/>
              </w:rPr>
              <w:t>4、</w:t>
            </w:r>
            <w:r>
              <w:rPr>
                <w:rFonts w:hint="default" w:ascii="Times New Roman" w:hAnsi="Times New Roman" w:eastAsia="宋体" w:cs="Times New Roman"/>
                <w:b/>
                <w:bCs/>
                <w:color w:val="auto"/>
                <w:kern w:val="0"/>
                <w:sz w:val="24"/>
                <w:highlight w:val="none"/>
                <w:lang w:val="en-US" w:eastAsia="zh-CN"/>
              </w:rPr>
              <w:t>生产设备</w:t>
            </w:r>
          </w:p>
          <w:p>
            <w:pPr>
              <w:adjustRightInd/>
              <w:snapToGrid/>
              <w:spacing w:after="0" w:line="360" w:lineRule="auto"/>
              <w:ind w:firstLine="480" w:firstLineChars="200"/>
              <w:rPr>
                <w:rFonts w:hint="default" w:ascii="Times New Roman" w:hAnsi="Times New Roman" w:eastAsia="宋体" w:cs="Times New Roman"/>
                <w:b/>
                <w:color w:val="auto"/>
                <w:sz w:val="24"/>
                <w:szCs w:val="24"/>
                <w:highlight w:val="none"/>
              </w:rPr>
            </w:pPr>
            <w:r>
              <w:rPr>
                <w:rFonts w:hint="eastAsia" w:cs="Times New Roman"/>
                <w:color w:val="auto"/>
                <w:sz w:val="24"/>
                <w:szCs w:val="24"/>
                <w:highlight w:val="none"/>
                <w:lang w:val="en-US" w:eastAsia="zh-CN"/>
              </w:rPr>
              <w:t>现有</w:t>
            </w:r>
            <w:r>
              <w:rPr>
                <w:rFonts w:hint="default" w:ascii="Times New Roman" w:hAnsi="Times New Roman" w:eastAsia="宋体" w:cs="Times New Roman"/>
                <w:color w:val="auto"/>
                <w:sz w:val="24"/>
                <w:szCs w:val="24"/>
                <w:highlight w:val="none"/>
              </w:rPr>
              <w:t>主要生产设备见</w:t>
            </w:r>
            <w:r>
              <w:rPr>
                <w:rFonts w:hint="eastAsia" w:cs="Times New Roman"/>
                <w:color w:val="auto"/>
                <w:sz w:val="24"/>
                <w:szCs w:val="24"/>
                <w:highlight w:val="none"/>
                <w:lang w:val="en-US" w:eastAsia="zh-CN"/>
              </w:rPr>
              <w:t>下表</w:t>
            </w:r>
            <w:r>
              <w:rPr>
                <w:rFonts w:hint="default" w:ascii="Times New Roman" w:hAnsi="Times New Roman" w:eastAsia="宋体" w:cs="Times New Roman"/>
                <w:color w:val="auto"/>
                <w:sz w:val="24"/>
                <w:szCs w:val="24"/>
                <w:highlight w:val="none"/>
              </w:rPr>
              <w:t>。</w:t>
            </w:r>
          </w:p>
          <w:p>
            <w:pPr>
              <w:spacing w:after="0"/>
              <w:jc w:val="center"/>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表</w:t>
            </w:r>
            <w:r>
              <w:rPr>
                <w:rFonts w:hint="default" w:ascii="Times New Roman" w:hAnsi="Times New Roman" w:eastAsia="宋体" w:cs="Times New Roman"/>
                <w:b/>
                <w:color w:val="auto"/>
                <w:sz w:val="24"/>
                <w:szCs w:val="24"/>
                <w:highlight w:val="none"/>
                <w:lang w:val="en-US" w:eastAsia="zh-CN"/>
              </w:rPr>
              <w:t>2</w:t>
            </w:r>
            <w:r>
              <w:rPr>
                <w:rFonts w:hint="eastAsia" w:cs="Times New Roman"/>
                <w:b/>
                <w:color w:val="auto"/>
                <w:sz w:val="24"/>
                <w:szCs w:val="24"/>
                <w:highlight w:val="none"/>
                <w:lang w:val="en-US" w:eastAsia="zh-CN"/>
              </w:rPr>
              <w:t>-10</w:t>
            </w:r>
            <w:r>
              <w:rPr>
                <w:rFonts w:hint="default" w:ascii="Times New Roman" w:hAnsi="Times New Roman" w:eastAsia="宋体" w:cs="Times New Roman"/>
                <w:b/>
                <w:color w:val="auto"/>
                <w:sz w:val="24"/>
                <w:szCs w:val="24"/>
                <w:highlight w:val="none"/>
                <w:lang w:val="en-US" w:eastAsia="zh-CN"/>
              </w:rPr>
              <w:t xml:space="preserve">  </w:t>
            </w:r>
            <w:r>
              <w:rPr>
                <w:rFonts w:hint="default" w:ascii="Times New Roman" w:hAnsi="Times New Roman" w:eastAsia="宋体" w:cs="Times New Roman"/>
                <w:b/>
                <w:color w:val="auto"/>
                <w:sz w:val="24"/>
                <w:szCs w:val="24"/>
                <w:highlight w:val="none"/>
              </w:rPr>
              <w:t xml:space="preserve"> 主要设备一览表</w:t>
            </w:r>
          </w:p>
          <w:tbl>
            <w:tblPr>
              <w:tblStyle w:val="30"/>
              <w:tblW w:w="8159"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211"/>
              <w:gridCol w:w="4170"/>
              <w:gridCol w:w="2778"/>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8" w:hRule="atLeast"/>
                <w:tblHeader/>
                <w:jc w:val="center"/>
              </w:trPr>
              <w:tc>
                <w:tcPr>
                  <w:tcW w:w="1211" w:type="dxa"/>
                  <w:noWrap w:val="0"/>
                  <w:vAlign w:val="center"/>
                </w:tcPr>
                <w:p>
                  <w:pPr>
                    <w:adjustRightInd/>
                    <w:snapToGrid/>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序号</w:t>
                  </w:r>
                </w:p>
              </w:tc>
              <w:tc>
                <w:tcPr>
                  <w:tcW w:w="4170" w:type="dxa"/>
                  <w:noWrap w:val="0"/>
                  <w:vAlign w:val="center"/>
                </w:tcPr>
                <w:p>
                  <w:pPr>
                    <w:adjustRightInd/>
                    <w:snapToGrid/>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设备名称</w:t>
                  </w:r>
                </w:p>
              </w:tc>
              <w:tc>
                <w:tcPr>
                  <w:tcW w:w="2778" w:type="dxa"/>
                  <w:noWrap w:val="0"/>
                  <w:vAlign w:val="center"/>
                </w:tcPr>
                <w:p>
                  <w:pPr>
                    <w:adjustRightInd/>
                    <w:snapToGrid/>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验收阶段</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69" w:hRule="atLeast"/>
                <w:jc w:val="center"/>
              </w:trPr>
              <w:tc>
                <w:tcPr>
                  <w:tcW w:w="1211" w:type="dxa"/>
                  <w:noWrap w:val="0"/>
                  <w:vAlign w:val="center"/>
                </w:tcPr>
                <w:p>
                  <w:pPr>
                    <w:pStyle w:val="22"/>
                    <w:adjustRightInd/>
                    <w:snapToGrid/>
                    <w:spacing w:after="0" w:line="240" w:lineRule="auto"/>
                    <w:ind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4170" w:type="dxa"/>
                  <w:noWrap w:val="0"/>
                  <w:vAlign w:val="center"/>
                </w:tcPr>
                <w:p>
                  <w:pPr>
                    <w:pStyle w:val="22"/>
                    <w:adjustRightInd/>
                    <w:snapToGrid/>
                    <w:spacing w:after="0" w:line="240" w:lineRule="auto"/>
                    <w:ind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成型机（注塑机）</w:t>
                  </w:r>
                </w:p>
              </w:tc>
              <w:tc>
                <w:tcPr>
                  <w:tcW w:w="2778" w:type="dxa"/>
                  <w:noWrap w:val="0"/>
                  <w:vAlign w:val="center"/>
                </w:tcPr>
                <w:p>
                  <w:pPr>
                    <w:pStyle w:val="22"/>
                    <w:adjustRightInd/>
                    <w:snapToGrid/>
                    <w:spacing w:after="0" w:line="240" w:lineRule="auto"/>
                    <w:ind w:firstLine="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6台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69" w:hRule="atLeast"/>
                <w:jc w:val="center"/>
              </w:trPr>
              <w:tc>
                <w:tcPr>
                  <w:tcW w:w="1211" w:type="dxa"/>
                  <w:noWrap w:val="0"/>
                  <w:vAlign w:val="center"/>
                </w:tcPr>
                <w:p>
                  <w:pPr>
                    <w:pStyle w:val="22"/>
                    <w:adjustRightInd/>
                    <w:snapToGrid/>
                    <w:spacing w:after="0" w:line="240" w:lineRule="auto"/>
                    <w:ind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w:t>
                  </w:r>
                </w:p>
              </w:tc>
              <w:tc>
                <w:tcPr>
                  <w:tcW w:w="4170" w:type="dxa"/>
                  <w:noWrap w:val="0"/>
                  <w:vAlign w:val="center"/>
                </w:tcPr>
                <w:p>
                  <w:pPr>
                    <w:pStyle w:val="22"/>
                    <w:adjustRightInd/>
                    <w:snapToGrid/>
                    <w:spacing w:after="0" w:line="240" w:lineRule="auto"/>
                    <w:ind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粉碎机</w:t>
                  </w:r>
                </w:p>
              </w:tc>
              <w:tc>
                <w:tcPr>
                  <w:tcW w:w="2778" w:type="dxa"/>
                  <w:noWrap w:val="0"/>
                  <w:vAlign w:val="center"/>
                </w:tcPr>
                <w:p>
                  <w:pPr>
                    <w:pStyle w:val="22"/>
                    <w:adjustRightInd/>
                    <w:snapToGrid/>
                    <w:spacing w:after="0" w:line="240" w:lineRule="auto"/>
                    <w:ind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3台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69" w:hRule="atLeast"/>
                <w:jc w:val="center"/>
              </w:trPr>
              <w:tc>
                <w:tcPr>
                  <w:tcW w:w="1211" w:type="dxa"/>
                  <w:noWrap w:val="0"/>
                  <w:vAlign w:val="center"/>
                </w:tcPr>
                <w:p>
                  <w:pPr>
                    <w:pStyle w:val="22"/>
                    <w:adjustRightInd/>
                    <w:snapToGrid/>
                    <w:spacing w:after="0" w:line="240" w:lineRule="auto"/>
                    <w:ind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w:t>
                  </w:r>
                </w:p>
              </w:tc>
              <w:tc>
                <w:tcPr>
                  <w:tcW w:w="4170" w:type="dxa"/>
                  <w:noWrap w:val="0"/>
                  <w:vAlign w:val="center"/>
                </w:tcPr>
                <w:p>
                  <w:pPr>
                    <w:pStyle w:val="22"/>
                    <w:adjustRightInd/>
                    <w:snapToGrid/>
                    <w:spacing w:after="0" w:line="240" w:lineRule="auto"/>
                    <w:ind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冷却塔</w:t>
                  </w:r>
                </w:p>
              </w:tc>
              <w:tc>
                <w:tcPr>
                  <w:tcW w:w="2778" w:type="dxa"/>
                  <w:noWrap w:val="0"/>
                  <w:vAlign w:val="center"/>
                </w:tcPr>
                <w:p>
                  <w:pPr>
                    <w:pStyle w:val="22"/>
                    <w:adjustRightInd/>
                    <w:snapToGrid/>
                    <w:spacing w:after="0" w:line="240" w:lineRule="auto"/>
                    <w:ind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rPr>
                    <w:t>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69" w:hRule="atLeast"/>
                <w:jc w:val="center"/>
              </w:trPr>
              <w:tc>
                <w:tcPr>
                  <w:tcW w:w="1211" w:type="dxa"/>
                  <w:noWrap w:val="0"/>
                  <w:vAlign w:val="center"/>
                </w:tcPr>
                <w:p>
                  <w:pPr>
                    <w:pStyle w:val="22"/>
                    <w:adjustRightInd/>
                    <w:snapToGrid/>
                    <w:spacing w:after="0" w:line="240" w:lineRule="auto"/>
                    <w:ind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w:t>
                  </w:r>
                </w:p>
              </w:tc>
              <w:tc>
                <w:tcPr>
                  <w:tcW w:w="4170" w:type="dxa"/>
                  <w:noWrap w:val="0"/>
                  <w:vAlign w:val="center"/>
                </w:tcPr>
                <w:p>
                  <w:pPr>
                    <w:pStyle w:val="22"/>
                    <w:adjustRightInd/>
                    <w:snapToGrid/>
                    <w:spacing w:after="0" w:line="240" w:lineRule="auto"/>
                    <w:ind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挤出机</w:t>
                  </w:r>
                </w:p>
              </w:tc>
              <w:tc>
                <w:tcPr>
                  <w:tcW w:w="2778" w:type="dxa"/>
                  <w:noWrap w:val="0"/>
                  <w:vAlign w:val="center"/>
                </w:tcPr>
                <w:p>
                  <w:pPr>
                    <w:pStyle w:val="22"/>
                    <w:adjustRightInd/>
                    <w:snapToGrid/>
                    <w:spacing w:after="0" w:line="240" w:lineRule="auto"/>
                    <w:ind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rPr>
                    <w:t>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69" w:hRule="atLeast"/>
                <w:jc w:val="center"/>
              </w:trPr>
              <w:tc>
                <w:tcPr>
                  <w:tcW w:w="1211" w:type="dxa"/>
                  <w:noWrap w:val="0"/>
                  <w:vAlign w:val="center"/>
                </w:tcPr>
                <w:p>
                  <w:pPr>
                    <w:pStyle w:val="22"/>
                    <w:adjustRightInd/>
                    <w:snapToGrid/>
                    <w:spacing w:after="0" w:line="240" w:lineRule="auto"/>
                    <w:ind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w:t>
                  </w:r>
                </w:p>
              </w:tc>
              <w:tc>
                <w:tcPr>
                  <w:tcW w:w="4170" w:type="dxa"/>
                  <w:noWrap w:val="0"/>
                  <w:vAlign w:val="center"/>
                </w:tcPr>
                <w:p>
                  <w:pPr>
                    <w:pStyle w:val="22"/>
                    <w:adjustRightInd/>
                    <w:snapToGrid/>
                    <w:spacing w:after="0" w:line="240" w:lineRule="auto"/>
                    <w:ind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冲压机</w:t>
                  </w:r>
                </w:p>
              </w:tc>
              <w:tc>
                <w:tcPr>
                  <w:tcW w:w="2778" w:type="dxa"/>
                  <w:noWrap w:val="0"/>
                  <w:vAlign w:val="center"/>
                </w:tcPr>
                <w:p>
                  <w:pPr>
                    <w:pStyle w:val="22"/>
                    <w:adjustRightInd/>
                    <w:snapToGrid/>
                    <w:spacing w:after="0" w:line="240" w:lineRule="auto"/>
                    <w:ind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rPr>
                    <w:t>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8" w:hRule="atLeast"/>
                <w:jc w:val="center"/>
              </w:trPr>
              <w:tc>
                <w:tcPr>
                  <w:tcW w:w="1211" w:type="dxa"/>
                  <w:noWrap w:val="0"/>
                  <w:vAlign w:val="center"/>
                </w:tcPr>
                <w:p>
                  <w:pPr>
                    <w:pStyle w:val="22"/>
                    <w:adjustRightInd/>
                    <w:snapToGrid/>
                    <w:spacing w:after="0" w:line="240" w:lineRule="auto"/>
                    <w:ind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w:t>
                  </w:r>
                </w:p>
              </w:tc>
              <w:tc>
                <w:tcPr>
                  <w:tcW w:w="4170" w:type="dxa"/>
                  <w:noWrap w:val="0"/>
                  <w:vAlign w:val="center"/>
                </w:tcPr>
                <w:p>
                  <w:pPr>
                    <w:pStyle w:val="22"/>
                    <w:adjustRightInd/>
                    <w:snapToGrid/>
                    <w:spacing w:after="0" w:line="240" w:lineRule="auto"/>
                    <w:ind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模温机</w:t>
                  </w:r>
                </w:p>
              </w:tc>
              <w:tc>
                <w:tcPr>
                  <w:tcW w:w="2778" w:type="dxa"/>
                  <w:noWrap w:val="0"/>
                  <w:vAlign w:val="center"/>
                </w:tcPr>
                <w:p>
                  <w:pPr>
                    <w:pStyle w:val="22"/>
                    <w:adjustRightInd/>
                    <w:snapToGrid/>
                    <w:spacing w:after="0"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14台</w:t>
                  </w:r>
                </w:p>
              </w:tc>
            </w:tr>
          </w:tbl>
          <w:p>
            <w:pPr>
              <w:adjustRightInd/>
              <w:snapToGrid/>
              <w:spacing w:after="0" w:line="240" w:lineRule="auto"/>
              <w:ind w:firstLine="480" w:firstLineChars="200"/>
              <w:jc w:val="both"/>
              <w:rPr>
                <w:rFonts w:hint="default" w:ascii="Times New Roman" w:hAnsi="Times New Roman" w:eastAsia="宋体" w:cs="Times New Roman"/>
                <w:color w:val="auto"/>
                <w:sz w:val="24"/>
                <w:szCs w:val="24"/>
                <w:highlight w:val="none"/>
                <w:lang w:val="en-US" w:eastAsia="zh-CN"/>
              </w:rPr>
            </w:pPr>
          </w:p>
          <w:p>
            <w:pPr>
              <w:adjustRightInd w:val="0"/>
              <w:snapToGrid w:val="0"/>
              <w:spacing w:line="360" w:lineRule="auto"/>
              <w:ind w:firstLine="482" w:firstLineChars="200"/>
              <w:rPr>
                <w:rFonts w:hint="default" w:ascii="Times New Roman" w:hAnsi="Times New Roman" w:eastAsia="宋体" w:cs="Times New Roman"/>
                <w:b/>
                <w:bCs/>
                <w:color w:val="auto"/>
                <w:kern w:val="0"/>
                <w:sz w:val="24"/>
                <w:highlight w:val="none"/>
                <w:lang w:val="en-US" w:eastAsia="zh-CN"/>
              </w:rPr>
            </w:pPr>
            <w:r>
              <w:rPr>
                <w:rFonts w:hint="eastAsia" w:ascii="Times New Roman" w:hAnsi="Times New Roman" w:eastAsia="宋体" w:cs="Times New Roman"/>
                <w:b/>
                <w:bCs/>
                <w:color w:val="auto"/>
                <w:kern w:val="0"/>
                <w:sz w:val="24"/>
                <w:highlight w:val="none"/>
                <w:lang w:val="en-US" w:eastAsia="zh-CN"/>
              </w:rPr>
              <w:t>5、</w:t>
            </w:r>
            <w:r>
              <w:rPr>
                <w:rFonts w:hint="default" w:ascii="Times New Roman" w:hAnsi="Times New Roman" w:eastAsia="宋体" w:cs="Times New Roman"/>
                <w:b/>
                <w:bCs/>
                <w:color w:val="auto"/>
                <w:kern w:val="0"/>
                <w:sz w:val="24"/>
                <w:highlight w:val="none"/>
                <w:lang w:val="en-US" w:eastAsia="zh-CN"/>
              </w:rPr>
              <w:t>公用工程</w:t>
            </w:r>
          </w:p>
          <w:p>
            <w:pPr>
              <w:pStyle w:val="96"/>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（1）给</w:t>
            </w:r>
            <w:r>
              <w:rPr>
                <w:rFonts w:hint="default" w:ascii="Times New Roman" w:hAnsi="Times New Roman" w:cs="Times New Roman"/>
                <w:bCs/>
                <w:color w:val="auto"/>
                <w:highlight w:val="none"/>
                <w:lang w:val="en-US" w:eastAsia="zh-CN"/>
              </w:rPr>
              <w:t>排</w:t>
            </w:r>
            <w:r>
              <w:rPr>
                <w:rFonts w:hint="default" w:ascii="Times New Roman" w:hAnsi="Times New Roman" w:cs="Times New Roman"/>
                <w:bCs/>
                <w:color w:val="auto"/>
                <w:highlight w:val="none"/>
              </w:rPr>
              <w:t>水</w:t>
            </w:r>
          </w:p>
          <w:p>
            <w:pPr>
              <w:pStyle w:val="96"/>
              <w:jc w:val="both"/>
              <w:rPr>
                <w:rFonts w:hint="default" w:ascii="Times New Roman" w:hAnsi="Times New Roman" w:eastAsia="宋体" w:cs="Times New Roman"/>
                <w:bCs/>
                <w:color w:val="auto"/>
                <w:highlight w:val="none"/>
                <w:lang w:eastAsia="zh-CN"/>
              </w:rPr>
            </w:pPr>
            <w:r>
              <w:rPr>
                <w:rFonts w:hint="eastAsia" w:cs="Times New Roman"/>
                <w:bCs/>
                <w:color w:val="auto"/>
                <w:highlight w:val="none"/>
                <w:lang w:val="en-US" w:eastAsia="zh-CN"/>
              </w:rPr>
              <w:t>现</w:t>
            </w:r>
            <w:r>
              <w:rPr>
                <w:rFonts w:hint="default" w:ascii="Times New Roman" w:hAnsi="Times New Roman" w:cs="Times New Roman"/>
                <w:bCs/>
                <w:color w:val="auto"/>
                <w:highlight w:val="none"/>
              </w:rPr>
              <w:t>主要消耗新鲜水的类别为生活用水</w:t>
            </w:r>
            <w:r>
              <w:rPr>
                <w:rFonts w:hint="default" w:ascii="Times New Roman" w:hAnsi="Times New Roman" w:cs="Times New Roman"/>
                <w:bCs/>
                <w:color w:val="auto"/>
                <w:highlight w:val="none"/>
                <w:lang w:eastAsia="zh-CN"/>
              </w:rPr>
              <w:t>、冷却塔用水，生活用水量为</w:t>
            </w:r>
            <w:r>
              <w:rPr>
                <w:rFonts w:hint="default" w:ascii="Times New Roman" w:hAnsi="Times New Roman" w:cs="Times New Roman"/>
                <w:bCs/>
                <w:color w:val="auto"/>
                <w:highlight w:val="none"/>
                <w:lang w:val="en-US" w:eastAsia="zh-CN"/>
              </w:rPr>
              <w:t>0.92</w:t>
            </w:r>
            <w:r>
              <w:rPr>
                <w:rFonts w:hint="default" w:ascii="Times New Roman" w:hAnsi="Times New Roman" w:cs="Times New Roman"/>
                <w:bCs/>
                <w:color w:val="auto"/>
                <w:highlight w:val="none"/>
              </w:rPr>
              <w:t xml:space="preserve"> m</w:t>
            </w:r>
            <w:r>
              <w:rPr>
                <w:rFonts w:hint="default" w:ascii="Times New Roman" w:hAnsi="Times New Roman" w:cs="Times New Roman"/>
                <w:bCs/>
                <w:color w:val="auto"/>
                <w:highlight w:val="none"/>
                <w:vertAlign w:val="superscript"/>
              </w:rPr>
              <w:t>3</w:t>
            </w:r>
            <w:r>
              <w:rPr>
                <w:rFonts w:hint="default" w:ascii="Times New Roman" w:hAnsi="Times New Roman" w:cs="Times New Roman"/>
                <w:bCs/>
                <w:color w:val="auto"/>
                <w:highlight w:val="none"/>
              </w:rPr>
              <w:t>/d（</w:t>
            </w:r>
            <w:r>
              <w:rPr>
                <w:rFonts w:hint="default" w:ascii="Times New Roman" w:hAnsi="Times New Roman" w:cs="Times New Roman"/>
                <w:bCs/>
                <w:color w:val="auto"/>
                <w:highlight w:val="none"/>
                <w:lang w:val="en-US" w:eastAsia="zh-CN"/>
              </w:rPr>
              <w:t>230</w:t>
            </w:r>
            <w:r>
              <w:rPr>
                <w:rFonts w:hint="default" w:ascii="Times New Roman" w:hAnsi="Times New Roman" w:cs="Times New Roman"/>
                <w:bCs/>
                <w:color w:val="auto"/>
                <w:highlight w:val="none"/>
              </w:rPr>
              <w:t xml:space="preserve"> m</w:t>
            </w:r>
            <w:r>
              <w:rPr>
                <w:rFonts w:hint="default" w:ascii="Times New Roman" w:hAnsi="Times New Roman" w:cs="Times New Roman"/>
                <w:bCs/>
                <w:color w:val="auto"/>
                <w:highlight w:val="none"/>
                <w:vertAlign w:val="superscript"/>
              </w:rPr>
              <w:t>3</w:t>
            </w:r>
            <w:r>
              <w:rPr>
                <w:rFonts w:hint="default" w:ascii="Times New Roman" w:hAnsi="Times New Roman" w:cs="Times New Roman"/>
                <w:bCs/>
                <w:color w:val="auto"/>
                <w:highlight w:val="none"/>
              </w:rPr>
              <w:t>/a）</w:t>
            </w:r>
            <w:r>
              <w:rPr>
                <w:rFonts w:hint="default" w:ascii="Times New Roman" w:hAnsi="Times New Roman" w:cs="Times New Roman"/>
                <w:bCs/>
                <w:color w:val="auto"/>
                <w:highlight w:val="none"/>
                <w:lang w:eastAsia="zh-CN"/>
              </w:rPr>
              <w:t>，冷却塔循环补充水为</w:t>
            </w:r>
            <w:r>
              <w:rPr>
                <w:rFonts w:hint="default" w:ascii="Times New Roman" w:hAnsi="Times New Roman" w:cs="Times New Roman"/>
                <w:bCs/>
                <w:color w:val="auto"/>
                <w:highlight w:val="none"/>
                <w:lang w:val="en-US" w:eastAsia="zh-CN"/>
              </w:rPr>
              <w:t>0.13</w:t>
            </w:r>
            <w:r>
              <w:rPr>
                <w:rFonts w:hint="default" w:ascii="Times New Roman" w:hAnsi="Times New Roman" w:cs="Times New Roman"/>
                <w:bCs/>
                <w:color w:val="auto"/>
                <w:highlight w:val="none"/>
              </w:rPr>
              <w:t xml:space="preserve"> m</w:t>
            </w:r>
            <w:r>
              <w:rPr>
                <w:rFonts w:hint="default" w:ascii="Times New Roman" w:hAnsi="Times New Roman" w:cs="Times New Roman"/>
                <w:bCs/>
                <w:color w:val="auto"/>
                <w:highlight w:val="none"/>
                <w:vertAlign w:val="superscript"/>
              </w:rPr>
              <w:t>3</w:t>
            </w:r>
            <w:r>
              <w:rPr>
                <w:rFonts w:hint="default" w:ascii="Times New Roman" w:hAnsi="Times New Roman" w:cs="Times New Roman"/>
                <w:bCs/>
                <w:color w:val="auto"/>
                <w:highlight w:val="none"/>
              </w:rPr>
              <w:t>/d（</w:t>
            </w:r>
            <w:r>
              <w:rPr>
                <w:rFonts w:hint="default" w:ascii="Times New Roman" w:hAnsi="Times New Roman" w:cs="Times New Roman"/>
                <w:bCs/>
                <w:color w:val="auto"/>
                <w:highlight w:val="none"/>
                <w:lang w:val="en-US" w:eastAsia="zh-CN"/>
              </w:rPr>
              <w:t>32.5</w:t>
            </w:r>
            <w:r>
              <w:rPr>
                <w:rFonts w:hint="default" w:ascii="Times New Roman" w:hAnsi="Times New Roman" w:cs="Times New Roman"/>
                <w:bCs/>
                <w:color w:val="auto"/>
                <w:highlight w:val="none"/>
              </w:rPr>
              <w:t xml:space="preserve"> m</w:t>
            </w:r>
            <w:r>
              <w:rPr>
                <w:rFonts w:hint="default" w:ascii="Times New Roman" w:hAnsi="Times New Roman" w:cs="Times New Roman"/>
                <w:bCs/>
                <w:color w:val="auto"/>
                <w:highlight w:val="none"/>
                <w:vertAlign w:val="superscript"/>
              </w:rPr>
              <w:t>3</w:t>
            </w:r>
            <w:r>
              <w:rPr>
                <w:rFonts w:hint="default" w:ascii="Times New Roman" w:hAnsi="Times New Roman" w:cs="Times New Roman"/>
                <w:bCs/>
                <w:color w:val="auto"/>
                <w:highlight w:val="none"/>
              </w:rPr>
              <w:t>/a）</w:t>
            </w:r>
            <w:r>
              <w:rPr>
                <w:rFonts w:hint="eastAsia" w:cs="Times New Roman"/>
                <w:bCs/>
                <w:color w:val="auto"/>
                <w:highlight w:val="none"/>
                <w:lang w:eastAsia="zh-CN"/>
              </w:rPr>
              <w:t>，</w:t>
            </w:r>
            <w:r>
              <w:rPr>
                <w:rFonts w:hint="default" w:ascii="Times New Roman" w:hAnsi="Times New Roman" w:cs="Times New Roman"/>
                <w:bCs/>
                <w:color w:val="auto"/>
                <w:highlight w:val="none"/>
              </w:rPr>
              <w:t>新鲜水总用水量为</w:t>
            </w:r>
            <w:r>
              <w:rPr>
                <w:rFonts w:hint="default" w:ascii="Times New Roman" w:hAnsi="Times New Roman" w:cs="Times New Roman"/>
                <w:bCs/>
                <w:color w:val="auto"/>
                <w:highlight w:val="none"/>
                <w:lang w:val="en-US" w:eastAsia="zh-CN"/>
              </w:rPr>
              <w:t>1.05</w:t>
            </w:r>
            <w:r>
              <w:rPr>
                <w:rFonts w:hint="default" w:ascii="Times New Roman" w:hAnsi="Times New Roman" w:cs="Times New Roman"/>
                <w:bCs/>
                <w:color w:val="auto"/>
                <w:highlight w:val="none"/>
              </w:rPr>
              <w:t xml:space="preserve"> m</w:t>
            </w:r>
            <w:r>
              <w:rPr>
                <w:rFonts w:hint="default" w:ascii="Times New Roman" w:hAnsi="Times New Roman" w:cs="Times New Roman"/>
                <w:bCs/>
                <w:color w:val="auto"/>
                <w:highlight w:val="none"/>
                <w:vertAlign w:val="superscript"/>
              </w:rPr>
              <w:t>3</w:t>
            </w:r>
            <w:r>
              <w:rPr>
                <w:rFonts w:hint="default" w:ascii="Times New Roman" w:hAnsi="Times New Roman" w:cs="Times New Roman"/>
                <w:bCs/>
                <w:color w:val="auto"/>
                <w:highlight w:val="none"/>
              </w:rPr>
              <w:t>/d（</w:t>
            </w:r>
            <w:r>
              <w:rPr>
                <w:rFonts w:hint="default" w:ascii="Times New Roman" w:hAnsi="Times New Roman" w:cs="Times New Roman"/>
                <w:bCs/>
                <w:color w:val="auto"/>
                <w:highlight w:val="none"/>
                <w:lang w:val="en-US" w:eastAsia="zh-CN"/>
              </w:rPr>
              <w:t>262.5</w:t>
            </w:r>
            <w:r>
              <w:rPr>
                <w:rFonts w:hint="default" w:ascii="Times New Roman" w:hAnsi="Times New Roman" w:cs="Times New Roman"/>
                <w:bCs/>
                <w:color w:val="auto"/>
                <w:highlight w:val="none"/>
              </w:rPr>
              <w:t>m</w:t>
            </w:r>
            <w:r>
              <w:rPr>
                <w:rFonts w:hint="default" w:ascii="Times New Roman" w:hAnsi="Times New Roman" w:cs="Times New Roman"/>
                <w:bCs/>
                <w:color w:val="auto"/>
                <w:highlight w:val="none"/>
                <w:vertAlign w:val="superscript"/>
              </w:rPr>
              <w:t>3</w:t>
            </w:r>
            <w:r>
              <w:rPr>
                <w:rFonts w:hint="default" w:ascii="Times New Roman" w:hAnsi="Times New Roman" w:cs="Times New Roman"/>
                <w:bCs/>
                <w:color w:val="auto"/>
                <w:highlight w:val="none"/>
              </w:rPr>
              <w:t>/a）</w:t>
            </w:r>
            <w:r>
              <w:rPr>
                <w:rFonts w:hint="default" w:ascii="Times New Roman" w:hAnsi="Times New Roman" w:cs="Times New Roman"/>
                <w:bCs/>
                <w:color w:val="auto"/>
                <w:highlight w:val="none"/>
                <w:lang w:eastAsia="zh-CN"/>
              </w:rPr>
              <w:t>，用水</w:t>
            </w:r>
            <w:r>
              <w:rPr>
                <w:rFonts w:hint="default" w:ascii="Times New Roman" w:hAnsi="Times New Roman" w:cs="Times New Roman"/>
                <w:bCs/>
                <w:color w:val="auto"/>
                <w:highlight w:val="none"/>
                <w:lang w:val="en-US" w:eastAsia="zh-CN"/>
              </w:rPr>
              <w:t>由市政供水管网统一供给，能够满足二厂用水需要</w:t>
            </w:r>
            <w:r>
              <w:rPr>
                <w:rFonts w:hint="default" w:ascii="Times New Roman" w:hAnsi="Times New Roman" w:cs="Times New Roman"/>
                <w:bCs/>
                <w:color w:val="auto"/>
                <w:highlight w:val="none"/>
              </w:rPr>
              <w:t>。</w:t>
            </w:r>
          </w:p>
          <w:p>
            <w:pPr>
              <w:pStyle w:val="96"/>
              <w:jc w:val="both"/>
              <w:rPr>
                <w:rFonts w:hint="default" w:ascii="Times New Roman" w:hAnsi="Times New Roman" w:eastAsia="宋体" w:cs="Times New Roman"/>
                <w:b/>
                <w:bCs w:val="0"/>
                <w:color w:val="auto"/>
                <w:highlight w:val="none"/>
                <w:lang w:eastAsia="zh-CN"/>
              </w:rPr>
            </w:pPr>
            <w:r>
              <w:rPr>
                <w:rFonts w:hint="default" w:ascii="Times New Roman" w:hAnsi="Times New Roman" w:cs="Times New Roman"/>
                <w:bCs/>
                <w:color w:val="auto"/>
                <w:highlight w:val="none"/>
                <w:lang w:val="zh-CN"/>
              </w:rPr>
              <w:t>排水实施雨污分流，雨水排入厂内雨水管网，生活污水产生量为</w:t>
            </w:r>
            <w:r>
              <w:rPr>
                <w:rFonts w:hint="default" w:ascii="Times New Roman" w:hAnsi="Times New Roman" w:cs="Times New Roman"/>
                <w:bCs/>
                <w:color w:val="auto"/>
                <w:highlight w:val="none"/>
                <w:lang w:val="en-US" w:eastAsia="zh-CN"/>
              </w:rPr>
              <w:t>184</w:t>
            </w:r>
            <w:r>
              <w:rPr>
                <w:rFonts w:hint="default" w:ascii="Times New Roman" w:hAnsi="Times New Roman" w:cs="Times New Roman"/>
                <w:bCs/>
                <w:color w:val="auto"/>
                <w:highlight w:val="none"/>
              </w:rPr>
              <w:t xml:space="preserve"> m</w:t>
            </w:r>
            <w:r>
              <w:rPr>
                <w:rFonts w:hint="default" w:ascii="Times New Roman" w:hAnsi="Times New Roman" w:cs="Times New Roman"/>
                <w:bCs/>
                <w:color w:val="auto"/>
                <w:highlight w:val="none"/>
                <w:vertAlign w:val="superscript"/>
              </w:rPr>
              <w:t>3</w:t>
            </w:r>
            <w:r>
              <w:rPr>
                <w:rFonts w:hint="default" w:ascii="Times New Roman" w:hAnsi="Times New Roman" w:cs="Times New Roman"/>
                <w:bCs/>
                <w:color w:val="auto"/>
                <w:highlight w:val="none"/>
              </w:rPr>
              <w:t>/a</w:t>
            </w:r>
            <w:r>
              <w:rPr>
                <w:rFonts w:hint="default" w:ascii="Times New Roman" w:hAnsi="Times New Roman" w:cs="Times New Roman"/>
                <w:bCs/>
                <w:color w:val="auto"/>
                <w:highlight w:val="none"/>
                <w:lang w:val="zh-CN"/>
              </w:rPr>
              <w:t>，冷却塔循环冷却水全部损耗，不外排，</w:t>
            </w:r>
            <w:r>
              <w:rPr>
                <w:rFonts w:hint="default" w:ascii="Times New Roman" w:hAnsi="Times New Roman" w:cs="Times New Roman"/>
                <w:bCs/>
                <w:color w:val="auto"/>
                <w:highlight w:val="none"/>
                <w:lang w:val="zh-CN" w:eastAsia="zh-CN"/>
              </w:rPr>
              <w:t>生活污水排入市政污水管网处理</w:t>
            </w:r>
            <w:r>
              <w:rPr>
                <w:rFonts w:hint="eastAsia" w:cs="Times New Roman"/>
                <w:bCs/>
                <w:color w:val="auto"/>
                <w:highlight w:val="none"/>
                <w:lang w:val="zh-CN" w:eastAsia="zh-CN"/>
              </w:rPr>
              <w:t>。</w:t>
            </w:r>
            <w:r>
              <w:rPr>
                <w:rFonts w:hint="default" w:ascii="Times New Roman" w:hAnsi="Times New Roman" w:cs="Times New Roman"/>
                <w:b/>
                <w:bCs w:val="0"/>
                <w:color w:val="auto"/>
                <w:highlight w:val="none"/>
                <w:lang w:val="en-US" w:eastAsia="zh-CN"/>
              </w:rPr>
              <w:t xml:space="preserve">   </w:t>
            </w:r>
          </w:p>
          <w:p>
            <w:pPr>
              <w:pStyle w:val="96"/>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（2）供热</w:t>
            </w:r>
          </w:p>
          <w:p>
            <w:pPr>
              <w:pStyle w:val="96"/>
              <w:rPr>
                <w:rFonts w:hint="default" w:ascii="Times New Roman" w:hAnsi="Times New Roman" w:eastAsia="宋体" w:cs="Times New Roman"/>
                <w:bCs/>
                <w:color w:val="auto"/>
                <w:highlight w:val="none"/>
                <w:lang w:eastAsia="zh-CN"/>
              </w:rPr>
            </w:pPr>
            <w:r>
              <w:rPr>
                <w:rFonts w:hint="eastAsia" w:cs="Times New Roman"/>
                <w:bCs/>
                <w:color w:val="auto"/>
                <w:highlight w:val="none"/>
                <w:lang w:eastAsia="zh-CN"/>
              </w:rPr>
              <w:t>现</w:t>
            </w:r>
            <w:r>
              <w:rPr>
                <w:rFonts w:hint="default" w:ascii="Times New Roman" w:hAnsi="Times New Roman" w:cs="Times New Roman"/>
                <w:bCs/>
                <w:color w:val="auto"/>
                <w:highlight w:val="none"/>
              </w:rPr>
              <w:t>冬季职工生活采暖采用区域集中供热方式解决，可以满足厂内冬季采暖需求</w:t>
            </w:r>
            <w:r>
              <w:rPr>
                <w:rFonts w:hint="default" w:ascii="Times New Roman" w:hAnsi="Times New Roman" w:cs="Times New Roman"/>
                <w:bCs/>
                <w:color w:val="auto"/>
                <w:highlight w:val="none"/>
                <w:lang w:eastAsia="zh-CN"/>
              </w:rPr>
              <w:t>。</w:t>
            </w:r>
          </w:p>
          <w:p>
            <w:pPr>
              <w:pStyle w:val="96"/>
              <w:rPr>
                <w:rFonts w:hint="default" w:ascii="Times New Roman" w:hAnsi="Times New Roman" w:cs="Times New Roman"/>
                <w:bCs/>
                <w:color w:val="auto"/>
                <w:highlight w:val="none"/>
                <w:lang w:val="zh-CN"/>
              </w:rPr>
            </w:pPr>
            <w:r>
              <w:rPr>
                <w:rFonts w:hint="default" w:ascii="Times New Roman" w:hAnsi="Times New Roman" w:cs="Times New Roman"/>
                <w:bCs/>
                <w:color w:val="auto"/>
                <w:highlight w:val="none"/>
                <w:lang w:val="zh-CN"/>
              </w:rPr>
              <w:t>（</w:t>
            </w:r>
            <w:r>
              <w:rPr>
                <w:rFonts w:hint="default" w:ascii="Times New Roman" w:hAnsi="Times New Roman" w:cs="Times New Roman"/>
                <w:bCs/>
                <w:color w:val="auto"/>
                <w:highlight w:val="none"/>
              </w:rPr>
              <w:t>3</w:t>
            </w:r>
            <w:r>
              <w:rPr>
                <w:rFonts w:hint="default" w:ascii="Times New Roman" w:hAnsi="Times New Roman" w:cs="Times New Roman"/>
                <w:bCs/>
                <w:color w:val="auto"/>
                <w:highlight w:val="none"/>
                <w:lang w:val="zh-CN"/>
              </w:rPr>
              <w:t>）供电</w:t>
            </w:r>
          </w:p>
          <w:p>
            <w:pPr>
              <w:pStyle w:val="96"/>
              <w:rPr>
                <w:rFonts w:hint="default" w:ascii="Times New Roman" w:hAnsi="Times New Roman" w:cs="Times New Roman"/>
                <w:bCs/>
                <w:color w:val="auto"/>
                <w:highlight w:val="none"/>
              </w:rPr>
            </w:pPr>
            <w:r>
              <w:rPr>
                <w:rFonts w:hint="eastAsia" w:cs="Times New Roman"/>
                <w:bCs/>
                <w:color w:val="auto"/>
                <w:highlight w:val="none"/>
                <w:lang w:val="en-US" w:eastAsia="zh-CN"/>
              </w:rPr>
              <w:t>现</w:t>
            </w:r>
            <w:r>
              <w:rPr>
                <w:rFonts w:hint="default" w:ascii="Times New Roman" w:hAnsi="Times New Roman" w:cs="Times New Roman"/>
                <w:bCs/>
                <w:color w:val="auto"/>
                <w:highlight w:val="none"/>
              </w:rPr>
              <w:t>用电从市政供电设施引入，可以满足用电需求。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b/>
                <w:bCs/>
                <w:color w:val="auto"/>
                <w:kern w:val="0"/>
                <w:sz w:val="24"/>
                <w:highlight w:val="none"/>
                <w:lang w:val="en-US" w:eastAsia="zh-CN"/>
              </w:rPr>
              <w:t>6、</w:t>
            </w:r>
            <w:r>
              <w:rPr>
                <w:rFonts w:hint="default" w:ascii="Times New Roman" w:hAnsi="Times New Roman" w:eastAsia="宋体" w:cs="Times New Roman"/>
                <w:b/>
                <w:bCs/>
                <w:color w:val="auto"/>
                <w:kern w:val="0"/>
                <w:sz w:val="24"/>
                <w:highlight w:val="none"/>
                <w:lang w:val="en-US" w:eastAsia="zh-CN"/>
              </w:rPr>
              <w:t>主要生产工艺</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zh-CN"/>
              </w:rPr>
              <w:t>（1）</w:t>
            </w:r>
            <w:r>
              <w:rPr>
                <w:rFonts w:hint="default" w:ascii="Times New Roman" w:hAnsi="Times New Roman" w:eastAsia="宋体" w:cs="Times New Roman"/>
                <w:color w:val="auto"/>
                <w:kern w:val="2"/>
                <w:sz w:val="24"/>
                <w:szCs w:val="24"/>
                <w:highlight w:val="none"/>
              </w:rPr>
              <w:t>注塑：</w:t>
            </w:r>
            <w:r>
              <w:rPr>
                <w:rFonts w:hint="default" w:ascii="Times New Roman" w:hAnsi="Times New Roman" w:eastAsia="宋体" w:cs="Times New Roman"/>
                <w:color w:val="auto"/>
                <w:kern w:val="2"/>
                <w:sz w:val="24"/>
                <w:szCs w:val="24"/>
                <w:highlight w:val="none"/>
                <w:lang w:val="en-US" w:eastAsia="zh-CN"/>
              </w:rPr>
              <w:t>D-Foam（聚乙烯）经过注塑机加工成隔音材主体，尼龙经过注塑机加工成支架，注塑机内模具需要通过冷却水进行间接冷却。注塑产生边角料经破碎后重新回用。</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主要产污环节为注塑工序产生的非甲烷总烃和噪声，破碎工序产生噪声及颗粒物。</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rPr>
              <w:t>（2）</w:t>
            </w:r>
            <w:r>
              <w:rPr>
                <w:rFonts w:hint="default" w:ascii="Times New Roman" w:hAnsi="Times New Roman" w:eastAsia="宋体" w:cs="Times New Roman"/>
                <w:color w:val="auto"/>
                <w:kern w:val="2"/>
                <w:sz w:val="24"/>
                <w:szCs w:val="24"/>
                <w:highlight w:val="none"/>
                <w:lang w:eastAsia="zh-CN"/>
              </w:rPr>
              <w:t>组装</w:t>
            </w:r>
            <w:r>
              <w:rPr>
                <w:rFonts w:hint="default" w:ascii="Times New Roman" w:hAnsi="Times New Roman" w:eastAsia="宋体" w:cs="Times New Roman"/>
                <w:color w:val="auto"/>
                <w:kern w:val="2"/>
                <w:sz w:val="24"/>
                <w:szCs w:val="24"/>
                <w:highlight w:val="none"/>
              </w:rPr>
              <w:t>：</w:t>
            </w:r>
            <w:r>
              <w:rPr>
                <w:rFonts w:hint="default" w:ascii="Times New Roman" w:hAnsi="Times New Roman" w:eastAsia="宋体" w:cs="Times New Roman"/>
                <w:color w:val="auto"/>
                <w:kern w:val="2"/>
                <w:sz w:val="24"/>
                <w:szCs w:val="24"/>
                <w:highlight w:val="none"/>
                <w:lang w:val="en-US" w:eastAsia="zh-CN"/>
              </w:rPr>
              <w:t>把注塑好的树脂隔音材主体和尼龙支架进行手工镶嵌组装。</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rPr>
              <w:t>（3）</w:t>
            </w:r>
            <w:r>
              <w:rPr>
                <w:rFonts w:hint="default" w:ascii="Times New Roman" w:hAnsi="Times New Roman" w:eastAsia="宋体" w:cs="Times New Roman"/>
                <w:color w:val="auto"/>
                <w:kern w:val="2"/>
                <w:sz w:val="24"/>
                <w:szCs w:val="24"/>
                <w:highlight w:val="none"/>
                <w:lang w:eastAsia="zh-CN"/>
              </w:rPr>
              <w:t>检验</w:t>
            </w:r>
            <w:r>
              <w:rPr>
                <w:rFonts w:hint="default" w:ascii="Times New Roman" w:hAnsi="Times New Roman" w:eastAsia="宋体" w:cs="Times New Roman"/>
                <w:color w:val="auto"/>
                <w:kern w:val="2"/>
                <w:sz w:val="24"/>
                <w:szCs w:val="24"/>
                <w:highlight w:val="none"/>
              </w:rPr>
              <w:t>：</w:t>
            </w:r>
            <w:r>
              <w:rPr>
                <w:rFonts w:hint="default" w:ascii="Times New Roman" w:hAnsi="Times New Roman" w:eastAsia="宋体" w:cs="Times New Roman"/>
                <w:color w:val="auto"/>
                <w:kern w:val="2"/>
                <w:sz w:val="24"/>
                <w:szCs w:val="24"/>
                <w:highlight w:val="none"/>
                <w:lang w:val="en-US" w:eastAsia="zh-CN"/>
              </w:rPr>
              <w:t>主要检验产品的厚度、外观尺寸等物理特征。</w:t>
            </w:r>
          </w:p>
          <w:p>
            <w:pPr>
              <w:pStyle w:val="71"/>
              <w:autoSpaceDE w:val="0"/>
              <w:autoSpaceDN w:val="0"/>
              <w:spacing w:line="360" w:lineRule="auto"/>
              <w:ind w:firstLine="482" w:firstLineChars="200"/>
              <w:jc w:val="left"/>
              <w:rPr>
                <w:rFonts w:ascii="Times New Roman" w:hAnsi="Times New Roman" w:eastAsia="宋体" w:cs="Times New Roman"/>
                <w:b/>
                <w:color w:val="auto"/>
                <w:sz w:val="24"/>
                <w:highlight w:val="none"/>
                <w:lang w:val="en-US"/>
              </w:rPr>
            </w:pPr>
            <w:r>
              <w:rPr>
                <w:rFonts w:hint="eastAsia" w:ascii="Times New Roman" w:hAnsi="Times New Roman" w:eastAsia="宋体" w:cs="Times New Roman"/>
                <w:b/>
                <w:bCs/>
                <w:color w:val="auto"/>
                <w:kern w:val="0"/>
                <w:sz w:val="24"/>
                <w:highlight w:val="none"/>
                <w:lang w:val="en-US" w:eastAsia="zh-CN"/>
              </w:rPr>
              <w:t>7、</w:t>
            </w:r>
            <w:r>
              <w:rPr>
                <w:rFonts w:hint="eastAsia" w:ascii="Times New Roman" w:hAnsi="Times New Roman" w:eastAsia="宋体" w:cs="Times New Roman"/>
                <w:b/>
                <w:color w:val="auto"/>
                <w:sz w:val="24"/>
                <w:highlight w:val="none"/>
                <w:lang w:val="en-US"/>
              </w:rPr>
              <w:t>现有工程产排污情况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val="0"/>
                <w:color w:val="auto"/>
                <w:kern w:val="0"/>
                <w:sz w:val="24"/>
                <w:highlight w:val="none"/>
                <w:lang w:val="en-US" w:eastAsia="zh-CN"/>
              </w:rPr>
            </w:pPr>
            <w:r>
              <w:rPr>
                <w:rFonts w:hint="eastAsia" w:ascii="Times New Roman" w:hAnsi="Times New Roman" w:eastAsia="宋体" w:cs="Times New Roman"/>
                <w:b w:val="0"/>
                <w:bCs w:val="0"/>
                <w:color w:val="auto"/>
                <w:kern w:val="0"/>
                <w:sz w:val="24"/>
                <w:highlight w:val="none"/>
                <w:lang w:val="en-US" w:eastAsia="zh-CN"/>
              </w:rPr>
              <w:t>（1）废水</w:t>
            </w:r>
          </w:p>
          <w:p>
            <w:pPr>
              <w:autoSpaceDE w:val="0"/>
              <w:autoSpaceDN w:val="0"/>
              <w:adjustRightInd/>
              <w:snapToGrid/>
              <w:spacing w:after="0" w:line="360" w:lineRule="auto"/>
              <w:ind w:firstLine="480" w:firstLineChars="200"/>
              <w:jc w:val="both"/>
              <w:rPr>
                <w:rFonts w:hint="default" w:ascii="Times New Roman" w:hAnsi="Times New Roman" w:eastAsia="宋体" w:cs="Times New Roman"/>
                <w:iCs/>
                <w:color w:val="auto"/>
                <w:sz w:val="24"/>
                <w:szCs w:val="24"/>
                <w:highlight w:val="none"/>
                <w:lang w:val="zh-CN"/>
              </w:rPr>
            </w:pPr>
            <w:r>
              <w:rPr>
                <w:rFonts w:hint="eastAsia" w:ascii="Times New Roman" w:hAnsi="Times New Roman" w:eastAsia="宋体" w:cs="Times New Roman"/>
                <w:iCs/>
                <w:color w:val="auto"/>
                <w:sz w:val="24"/>
                <w:szCs w:val="24"/>
                <w:highlight w:val="none"/>
                <w:lang w:val="en-US" w:eastAsia="zh-CN"/>
              </w:rPr>
              <w:t>现</w:t>
            </w:r>
            <w:r>
              <w:rPr>
                <w:rFonts w:hint="default" w:ascii="Times New Roman" w:hAnsi="Times New Roman" w:eastAsia="宋体" w:cs="Times New Roman"/>
                <w:iCs/>
                <w:color w:val="auto"/>
                <w:sz w:val="24"/>
                <w:szCs w:val="24"/>
                <w:highlight w:val="none"/>
                <w:lang w:val="zh-CN"/>
              </w:rPr>
              <w:t>所排废水主要为生活废水，生活污水产生量为</w:t>
            </w:r>
            <w:r>
              <w:rPr>
                <w:rFonts w:hint="default" w:ascii="Times New Roman" w:hAnsi="Times New Roman" w:eastAsia="宋体" w:cs="Times New Roman"/>
                <w:iCs/>
                <w:color w:val="auto"/>
                <w:sz w:val="24"/>
                <w:szCs w:val="24"/>
                <w:highlight w:val="none"/>
                <w:lang w:val="zh-CN" w:eastAsia="zh-CN"/>
              </w:rPr>
              <w:t>184</w:t>
            </w:r>
            <w:r>
              <w:rPr>
                <w:rFonts w:hint="default" w:ascii="Times New Roman" w:hAnsi="Times New Roman" w:eastAsia="宋体" w:cs="Times New Roman"/>
                <w:iCs/>
                <w:color w:val="auto"/>
                <w:sz w:val="24"/>
                <w:szCs w:val="24"/>
                <w:highlight w:val="none"/>
                <w:lang w:val="zh-CN"/>
              </w:rPr>
              <w:t xml:space="preserve"> m</w:t>
            </w:r>
            <w:r>
              <w:rPr>
                <w:rFonts w:hint="default" w:ascii="Times New Roman" w:hAnsi="Times New Roman" w:eastAsia="宋体" w:cs="Times New Roman"/>
                <w:iCs/>
                <w:color w:val="auto"/>
                <w:sz w:val="24"/>
                <w:szCs w:val="24"/>
                <w:highlight w:val="none"/>
                <w:vertAlign w:val="superscript"/>
                <w:lang w:val="zh-CN"/>
              </w:rPr>
              <w:t>3</w:t>
            </w:r>
            <w:r>
              <w:rPr>
                <w:rFonts w:hint="default" w:ascii="Times New Roman" w:hAnsi="Times New Roman" w:eastAsia="宋体" w:cs="Times New Roman"/>
                <w:iCs/>
                <w:color w:val="auto"/>
                <w:sz w:val="24"/>
                <w:szCs w:val="24"/>
                <w:highlight w:val="none"/>
                <w:lang w:val="zh-CN"/>
              </w:rPr>
              <w:t>/a，生活污水中主要污染物为</w:t>
            </w:r>
            <w:r>
              <w:rPr>
                <w:rFonts w:hint="default" w:ascii="Times New Roman" w:hAnsi="Times New Roman" w:eastAsia="宋体" w:cs="Times New Roman"/>
                <w:iCs/>
                <w:color w:val="auto"/>
                <w:sz w:val="24"/>
                <w:szCs w:val="24"/>
                <w:highlight w:val="none"/>
                <w:lang w:val="en-US" w:eastAsia="zh-CN"/>
              </w:rPr>
              <w:t>COD、BOD</w:t>
            </w:r>
            <w:r>
              <w:rPr>
                <w:rFonts w:hint="default" w:ascii="Times New Roman" w:hAnsi="Times New Roman" w:eastAsia="宋体" w:cs="Times New Roman"/>
                <w:iCs/>
                <w:color w:val="auto"/>
                <w:sz w:val="24"/>
                <w:szCs w:val="24"/>
                <w:highlight w:val="none"/>
                <w:vertAlign w:val="subscript"/>
                <w:lang w:val="en-US" w:eastAsia="zh-CN"/>
              </w:rPr>
              <w:t>5</w:t>
            </w:r>
            <w:r>
              <w:rPr>
                <w:rFonts w:hint="default" w:ascii="Times New Roman" w:hAnsi="Times New Roman" w:eastAsia="宋体" w:cs="Times New Roman"/>
                <w:iCs/>
                <w:color w:val="auto"/>
                <w:sz w:val="24"/>
                <w:szCs w:val="24"/>
                <w:highlight w:val="none"/>
                <w:lang w:val="en-US" w:eastAsia="zh-CN"/>
              </w:rPr>
              <w:t>、NH</w:t>
            </w:r>
            <w:r>
              <w:rPr>
                <w:rFonts w:hint="default" w:ascii="Times New Roman" w:hAnsi="Times New Roman" w:eastAsia="宋体" w:cs="Times New Roman"/>
                <w:iCs/>
                <w:color w:val="auto"/>
                <w:sz w:val="24"/>
                <w:szCs w:val="24"/>
                <w:highlight w:val="none"/>
                <w:vertAlign w:val="subscript"/>
                <w:lang w:val="en-US" w:eastAsia="zh-CN"/>
              </w:rPr>
              <w:t>3</w:t>
            </w:r>
            <w:r>
              <w:rPr>
                <w:rFonts w:hint="default" w:ascii="Times New Roman" w:hAnsi="Times New Roman" w:eastAsia="宋体" w:cs="Times New Roman"/>
                <w:iCs/>
                <w:color w:val="auto"/>
                <w:sz w:val="24"/>
                <w:szCs w:val="24"/>
                <w:highlight w:val="none"/>
                <w:lang w:val="en-US" w:eastAsia="zh-CN"/>
              </w:rPr>
              <w:t>-N、SS，</w:t>
            </w:r>
            <w:r>
              <w:rPr>
                <w:rFonts w:hint="default" w:ascii="Times New Roman" w:hAnsi="Times New Roman" w:eastAsia="宋体" w:cs="Times New Roman"/>
                <w:iCs/>
                <w:color w:val="auto"/>
                <w:sz w:val="24"/>
                <w:szCs w:val="24"/>
                <w:highlight w:val="none"/>
                <w:lang w:val="zh-CN"/>
              </w:rPr>
              <w:t>生活污水</w:t>
            </w:r>
            <w:r>
              <w:rPr>
                <w:rFonts w:hint="default" w:ascii="Times New Roman" w:hAnsi="Times New Roman" w:eastAsia="宋体" w:cs="Times New Roman"/>
                <w:iCs/>
                <w:color w:val="auto"/>
                <w:sz w:val="24"/>
                <w:szCs w:val="24"/>
                <w:highlight w:val="none"/>
                <w:lang w:val="en-US" w:eastAsia="zh-CN"/>
              </w:rPr>
              <w:t>排入市政污水管网处理</w:t>
            </w:r>
            <w:r>
              <w:rPr>
                <w:rFonts w:hint="default" w:ascii="Times New Roman" w:hAnsi="Times New Roman" w:eastAsia="宋体" w:cs="Times New Roman"/>
                <w:iCs/>
                <w:color w:val="auto"/>
                <w:sz w:val="24"/>
                <w:szCs w:val="24"/>
                <w:highlight w:val="none"/>
                <w:lang w:val="zh-CN"/>
              </w:rPr>
              <w:t>。</w:t>
            </w:r>
          </w:p>
          <w:p>
            <w:pPr>
              <w:numPr>
                <w:ilvl w:val="0"/>
                <w:numId w:val="0"/>
              </w:numPr>
              <w:adjustRightInd/>
              <w:snapToGrid/>
              <w:spacing w:after="0" w:line="360" w:lineRule="auto"/>
              <w:ind w:firstLine="480" w:firstLineChars="200"/>
              <w:jc w:val="both"/>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根据</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饭田（长春）橡塑有限公司树脂隔音材生产线建设项目竣工环境保护验收监测报告表</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验收监测结果可知，验收监测期间生活污水</w:t>
            </w:r>
            <w:r>
              <w:rPr>
                <w:rFonts w:hint="default" w:ascii="Times New Roman" w:hAnsi="Times New Roman" w:eastAsia="宋体" w:cs="Times New Roman"/>
                <w:color w:val="auto"/>
                <w:sz w:val="24"/>
                <w:szCs w:val="24"/>
                <w:highlight w:val="none"/>
                <w:lang w:val="en-US" w:eastAsia="zh-CN"/>
              </w:rPr>
              <w:t>COD的最大浓度为440mg/L（0.08t/a）；BOD</w:t>
            </w:r>
            <w:r>
              <w:rPr>
                <w:rFonts w:hint="default" w:ascii="Times New Roman" w:hAnsi="Times New Roman" w:eastAsia="宋体" w:cs="Times New Roman"/>
                <w:color w:val="auto"/>
                <w:sz w:val="24"/>
                <w:szCs w:val="24"/>
                <w:highlight w:val="none"/>
                <w:vertAlign w:val="subscript"/>
                <w:lang w:val="en-US" w:eastAsia="zh-CN"/>
              </w:rPr>
              <w:t>5</w:t>
            </w:r>
            <w:r>
              <w:rPr>
                <w:rFonts w:hint="default" w:ascii="Times New Roman" w:hAnsi="Times New Roman" w:eastAsia="宋体" w:cs="Times New Roman"/>
                <w:color w:val="auto"/>
                <w:sz w:val="24"/>
                <w:szCs w:val="24"/>
                <w:highlight w:val="none"/>
                <w:lang w:val="en-US" w:eastAsia="zh-CN"/>
              </w:rPr>
              <w:t>最大排放浓度为177mg/L（0.03t/a）；SS最大排放浓度范围为236mg/L（0.04t/a）；NH</w:t>
            </w:r>
            <w:r>
              <w:rPr>
                <w:rFonts w:hint="default" w:ascii="Times New Roman" w:hAnsi="Times New Roman" w:eastAsia="宋体" w:cs="Times New Roman"/>
                <w:color w:val="auto"/>
                <w:sz w:val="24"/>
                <w:szCs w:val="24"/>
                <w:highlight w:val="none"/>
                <w:vertAlign w:val="subscript"/>
                <w:lang w:val="en-US" w:eastAsia="zh-CN"/>
              </w:rPr>
              <w:t>3</w:t>
            </w:r>
            <w:r>
              <w:rPr>
                <w:rFonts w:hint="default" w:ascii="Times New Roman" w:hAnsi="Times New Roman" w:eastAsia="宋体" w:cs="Times New Roman"/>
                <w:color w:val="auto"/>
                <w:sz w:val="24"/>
                <w:szCs w:val="24"/>
                <w:highlight w:val="none"/>
                <w:lang w:val="en-US" w:eastAsia="zh-CN"/>
              </w:rPr>
              <w:t>-N最大排放浓度为29.56mg/L（0.005t/a）。</w:t>
            </w:r>
            <w:r>
              <w:rPr>
                <w:rFonts w:hint="default" w:ascii="Times New Roman" w:hAnsi="Times New Roman" w:eastAsia="宋体" w:cs="Times New Roman"/>
                <w:color w:val="auto"/>
                <w:sz w:val="24"/>
                <w:szCs w:val="24"/>
                <w:highlight w:val="none"/>
              </w:rPr>
              <w:t>各项指标均能满足《污水综合排放标准》（GB8978-1996）三级排放标准要求</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废水经城市下水管网排入长春市北郊污水处理厂处理后最终排入伊通河</w:t>
            </w:r>
          </w:p>
          <w:p>
            <w:pPr>
              <w:numPr>
                <w:ilvl w:val="0"/>
                <w:numId w:val="3"/>
              </w:numPr>
              <w:adjustRightInd/>
              <w:snapToGrid/>
              <w:spacing w:after="0" w:line="360" w:lineRule="auto"/>
              <w:ind w:firstLine="480" w:firstLineChars="200"/>
              <w:jc w:val="both"/>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废气</w:t>
            </w:r>
          </w:p>
          <w:p>
            <w:pPr>
              <w:numPr>
                <w:ilvl w:val="0"/>
                <w:numId w:val="0"/>
              </w:numPr>
              <w:adjustRightInd/>
              <w:snapToGrid/>
              <w:spacing w:after="0" w:line="360" w:lineRule="auto"/>
              <w:ind w:firstLine="480" w:firstLineChars="200"/>
              <w:jc w:val="both"/>
              <w:rPr>
                <w:rFonts w:hint="default"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en-US" w:eastAsia="zh-CN"/>
              </w:rPr>
              <w:t>现</w:t>
            </w:r>
            <w:r>
              <w:rPr>
                <w:rFonts w:hint="default" w:ascii="Times New Roman" w:hAnsi="Times New Roman" w:eastAsia="宋体" w:cs="Times New Roman"/>
                <w:color w:val="auto"/>
                <w:sz w:val="24"/>
                <w:szCs w:val="24"/>
                <w:highlight w:val="none"/>
                <w:lang w:val="zh-CN"/>
              </w:rPr>
              <w:t>产生的废气</w:t>
            </w:r>
            <w:r>
              <w:rPr>
                <w:rFonts w:hint="default" w:ascii="Times New Roman" w:hAnsi="Times New Roman" w:eastAsia="宋体" w:cs="Times New Roman"/>
                <w:color w:val="auto"/>
                <w:sz w:val="24"/>
                <w:szCs w:val="24"/>
                <w:highlight w:val="none"/>
                <w:lang w:val="en-US" w:eastAsia="zh-CN"/>
              </w:rPr>
              <w:t>主要</w:t>
            </w:r>
            <w:r>
              <w:rPr>
                <w:rFonts w:hint="default" w:ascii="Times New Roman" w:hAnsi="Times New Roman" w:eastAsia="宋体" w:cs="Times New Roman"/>
                <w:color w:val="auto"/>
                <w:sz w:val="24"/>
                <w:szCs w:val="24"/>
                <w:highlight w:val="none"/>
                <w:lang w:val="zh-CN"/>
              </w:rPr>
              <w:t>为注塑工艺产生的注塑废气及破碎工艺产生的粉尘、</w:t>
            </w:r>
            <w:r>
              <w:rPr>
                <w:rFonts w:hint="default" w:ascii="Times New Roman" w:hAnsi="Times New Roman" w:eastAsia="宋体" w:cs="Times New Roman"/>
                <w:color w:val="auto"/>
                <w:sz w:val="24"/>
                <w:szCs w:val="24"/>
                <w:highlight w:val="none"/>
                <w:lang w:val="en-US" w:eastAsia="zh-CN"/>
              </w:rPr>
              <w:t>模具清洗废气</w:t>
            </w:r>
            <w:r>
              <w:rPr>
                <w:rFonts w:hint="default" w:ascii="Times New Roman" w:hAnsi="Times New Roman" w:eastAsia="宋体" w:cs="Times New Roman"/>
                <w:color w:val="auto"/>
                <w:sz w:val="24"/>
                <w:szCs w:val="24"/>
                <w:highlight w:val="none"/>
                <w:lang w:val="zh-CN"/>
              </w:rPr>
              <w:t>。</w:t>
            </w:r>
          </w:p>
          <w:p>
            <w:pPr>
              <w:autoSpaceDE w:val="0"/>
              <w:autoSpaceDN w:val="0"/>
              <w:adjustRightInd/>
              <w:snapToGrid/>
              <w:spacing w:after="0" w:line="360" w:lineRule="auto"/>
              <w:ind w:firstLine="480" w:firstLineChars="200"/>
              <w:rPr>
                <w:rFonts w:hint="default" w:ascii="Times New Roman" w:hAnsi="Times New Roman" w:eastAsia="宋体" w:cs="Times New Roman"/>
                <w:iCs/>
                <w:color w:val="auto"/>
                <w:sz w:val="24"/>
                <w:szCs w:val="24"/>
                <w:highlight w:val="none"/>
                <w:lang w:val="en-US" w:eastAsia="zh-CN"/>
              </w:rPr>
            </w:pPr>
            <w:r>
              <w:rPr>
                <w:rFonts w:hint="default" w:ascii="Times New Roman" w:hAnsi="Times New Roman" w:eastAsia="宋体" w:cs="Times New Roman"/>
                <w:iCs/>
                <w:color w:val="auto"/>
                <w:sz w:val="24"/>
                <w:szCs w:val="24"/>
                <w:highlight w:val="none"/>
              </w:rPr>
              <w:t>1</w:t>
            </w:r>
            <w:r>
              <w:rPr>
                <w:rFonts w:hint="default" w:ascii="Times New Roman" w:hAnsi="Times New Roman" w:eastAsia="宋体" w:cs="Times New Roman"/>
                <w:iCs/>
                <w:color w:val="auto"/>
                <w:sz w:val="24"/>
                <w:szCs w:val="24"/>
                <w:highlight w:val="none"/>
                <w:lang w:val="zh-CN"/>
              </w:rPr>
              <w:t>）注塑废气</w:t>
            </w:r>
            <w:r>
              <w:rPr>
                <w:rFonts w:hint="default" w:ascii="Times New Roman" w:hAnsi="Times New Roman" w:eastAsia="宋体" w:cs="Times New Roman"/>
                <w:iCs/>
                <w:color w:val="auto"/>
                <w:sz w:val="24"/>
                <w:szCs w:val="24"/>
                <w:highlight w:val="none"/>
                <w:lang w:val="en-US" w:eastAsia="zh-CN"/>
              </w:rPr>
              <w:t>及模具清洗废气</w:t>
            </w:r>
          </w:p>
          <w:p>
            <w:pPr>
              <w:autoSpaceDE w:val="0"/>
              <w:autoSpaceDN w:val="0"/>
              <w:adjustRightInd/>
              <w:snapToGrid/>
              <w:spacing w:after="0" w:line="360" w:lineRule="auto"/>
              <w:ind w:firstLine="480" w:firstLineChars="200"/>
              <w:rPr>
                <w:rFonts w:hint="default" w:ascii="Times New Roman" w:hAnsi="Times New Roman" w:eastAsia="宋体" w:cs="Times New Roman"/>
                <w:iCs/>
                <w:color w:val="auto"/>
                <w:sz w:val="24"/>
                <w:szCs w:val="24"/>
                <w:highlight w:val="none"/>
                <w:lang w:val="zh-CN"/>
              </w:rPr>
            </w:pPr>
            <w:r>
              <w:rPr>
                <w:rFonts w:hint="eastAsia" w:ascii="Times New Roman" w:hAnsi="Times New Roman" w:eastAsia="宋体" w:cs="Times New Roman"/>
                <w:color w:val="auto"/>
                <w:sz w:val="24"/>
                <w:szCs w:val="24"/>
                <w:highlight w:val="none"/>
                <w:lang w:val="en-US" w:eastAsia="zh-CN"/>
              </w:rPr>
              <w:t>现</w:t>
            </w:r>
            <w:r>
              <w:rPr>
                <w:rFonts w:hint="default" w:ascii="Times New Roman" w:hAnsi="Times New Roman" w:eastAsia="宋体" w:cs="Times New Roman"/>
                <w:iCs/>
                <w:color w:val="auto"/>
                <w:sz w:val="24"/>
                <w:szCs w:val="24"/>
                <w:highlight w:val="none"/>
                <w:lang w:val="zh-CN"/>
              </w:rPr>
              <w:t>注塑</w:t>
            </w:r>
            <w:r>
              <w:rPr>
                <w:rFonts w:hint="default" w:ascii="Times New Roman" w:hAnsi="Times New Roman" w:eastAsia="宋体" w:cs="Times New Roman"/>
                <w:iCs/>
                <w:color w:val="auto"/>
                <w:sz w:val="24"/>
                <w:szCs w:val="24"/>
                <w:highlight w:val="none"/>
                <w:lang w:val="en-US" w:eastAsia="zh-CN"/>
              </w:rPr>
              <w:t>及模具清洗</w:t>
            </w:r>
            <w:r>
              <w:rPr>
                <w:rFonts w:hint="default" w:ascii="Times New Roman" w:hAnsi="Times New Roman" w:eastAsia="宋体" w:cs="Times New Roman"/>
                <w:iCs/>
                <w:color w:val="auto"/>
                <w:sz w:val="24"/>
                <w:szCs w:val="24"/>
                <w:highlight w:val="none"/>
                <w:lang w:val="zh-CN"/>
              </w:rPr>
              <w:t>过程中会产生少量有机废气，主要污染物为非甲烷总烃，废气经集气罩收集后由风机抽至通风管道并经过15m高的排气筒排放。</w:t>
            </w:r>
          </w:p>
          <w:p>
            <w:pPr>
              <w:adjustRightInd/>
              <w:snapToGrid/>
              <w:spacing w:after="0" w:line="360" w:lineRule="auto"/>
              <w:ind w:firstLine="480" w:firstLineChars="200"/>
              <w:jc w:val="both"/>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根据验收监测结果可知，验收监测期间</w:t>
            </w:r>
            <w:r>
              <w:rPr>
                <w:rFonts w:hint="default" w:ascii="Times New Roman" w:hAnsi="Times New Roman" w:eastAsia="宋体" w:cs="Times New Roman"/>
                <w:color w:val="auto"/>
                <w:sz w:val="24"/>
                <w:szCs w:val="24"/>
                <w:highlight w:val="none"/>
                <w:lang w:val="en-US" w:eastAsia="zh-CN"/>
              </w:rPr>
              <w:t>注塑及模具清洗工序</w:t>
            </w:r>
            <w:r>
              <w:rPr>
                <w:rFonts w:hint="default" w:ascii="Times New Roman" w:hAnsi="Times New Roman" w:eastAsia="宋体" w:cs="Times New Roman"/>
                <w:color w:val="auto"/>
                <w:sz w:val="24"/>
                <w:szCs w:val="24"/>
                <w:highlight w:val="none"/>
              </w:rPr>
              <w:t>有组织排放的非甲烷总烃</w:t>
            </w:r>
            <w:r>
              <w:rPr>
                <w:rFonts w:hint="default" w:ascii="Times New Roman" w:hAnsi="Times New Roman" w:eastAsia="宋体" w:cs="Times New Roman"/>
                <w:color w:val="auto"/>
                <w:sz w:val="24"/>
                <w:szCs w:val="24"/>
                <w:highlight w:val="none"/>
                <w:lang w:val="en-US" w:eastAsia="zh-CN"/>
              </w:rPr>
              <w:t>最大</w:t>
            </w:r>
            <w:r>
              <w:rPr>
                <w:rFonts w:hint="default" w:ascii="Times New Roman" w:hAnsi="Times New Roman" w:eastAsia="宋体" w:cs="Times New Roman"/>
                <w:color w:val="auto"/>
                <w:sz w:val="24"/>
                <w:szCs w:val="24"/>
                <w:highlight w:val="none"/>
              </w:rPr>
              <w:t>浓度为</w:t>
            </w:r>
            <w:r>
              <w:rPr>
                <w:rFonts w:hint="default" w:ascii="Times New Roman" w:hAnsi="Times New Roman" w:eastAsia="宋体" w:cs="Times New Roman"/>
                <w:color w:val="auto"/>
                <w:sz w:val="24"/>
                <w:szCs w:val="24"/>
                <w:highlight w:val="none"/>
                <w:lang w:val="en-US" w:eastAsia="zh-CN"/>
              </w:rPr>
              <w:t>2.63</w:t>
            </w:r>
            <w:r>
              <w:rPr>
                <w:rFonts w:hint="default" w:ascii="Times New Roman" w:hAnsi="Times New Roman" w:eastAsia="宋体" w:cs="Times New Roman"/>
                <w:color w:val="auto"/>
                <w:sz w:val="24"/>
                <w:szCs w:val="24"/>
                <w:highlight w:val="none"/>
              </w:rPr>
              <w:t>mg/m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最大</w:t>
            </w:r>
            <w:r>
              <w:rPr>
                <w:rFonts w:hint="default" w:ascii="Times New Roman" w:hAnsi="Times New Roman" w:eastAsia="宋体" w:cs="Times New Roman"/>
                <w:color w:val="auto"/>
                <w:sz w:val="24"/>
                <w:szCs w:val="24"/>
                <w:highlight w:val="none"/>
                <w:lang w:eastAsia="zh-CN"/>
              </w:rPr>
              <w:t>排放速率为</w:t>
            </w:r>
            <w:r>
              <w:rPr>
                <w:rFonts w:hint="default" w:ascii="Times New Roman" w:hAnsi="Times New Roman" w:eastAsia="宋体" w:cs="Times New Roman"/>
                <w:color w:val="auto"/>
                <w:sz w:val="24"/>
                <w:szCs w:val="24"/>
                <w:highlight w:val="none"/>
                <w:lang w:val="en-US" w:eastAsia="zh-CN"/>
              </w:rPr>
              <w:t>0.029kg</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h（0.058t/a），</w:t>
            </w:r>
            <w:r>
              <w:rPr>
                <w:rFonts w:hint="default" w:ascii="Times New Roman" w:hAnsi="Times New Roman" w:eastAsia="宋体" w:cs="Times New Roman"/>
                <w:color w:val="auto"/>
                <w:sz w:val="24"/>
                <w:szCs w:val="24"/>
                <w:highlight w:val="none"/>
              </w:rPr>
              <w:t>排放浓度符合</w:t>
            </w:r>
            <w:r>
              <w:rPr>
                <w:rFonts w:hint="default" w:ascii="Times New Roman" w:hAnsi="Times New Roman" w:eastAsia="宋体" w:cs="Times New Roman"/>
                <w:color w:val="auto"/>
                <w:sz w:val="24"/>
                <w:highlight w:val="none"/>
                <w:lang w:val="en-US" w:eastAsia="zh-CN"/>
              </w:rPr>
              <w:t>《合成树脂工业污染物排放标准》（GB31572-2015）标准限值要求</w:t>
            </w:r>
            <w:r>
              <w:rPr>
                <w:rFonts w:hint="default" w:ascii="Times New Roman" w:hAnsi="Times New Roman" w:eastAsia="宋体" w:cs="Times New Roman"/>
                <w:color w:val="auto"/>
                <w:sz w:val="24"/>
                <w:szCs w:val="24"/>
                <w:highlight w:val="none"/>
              </w:rPr>
              <w:t>。</w:t>
            </w:r>
          </w:p>
          <w:p>
            <w:pPr>
              <w:autoSpaceDE w:val="0"/>
              <w:autoSpaceDN w:val="0"/>
              <w:adjustRightInd/>
              <w:snapToGrid/>
              <w:spacing w:after="0" w:line="360" w:lineRule="auto"/>
              <w:ind w:firstLine="480" w:firstLineChars="200"/>
              <w:rPr>
                <w:rFonts w:hint="default" w:ascii="Times New Roman" w:hAnsi="Times New Roman" w:eastAsia="宋体" w:cs="Times New Roman"/>
                <w:iCs/>
                <w:color w:val="auto"/>
                <w:sz w:val="24"/>
                <w:szCs w:val="24"/>
                <w:highlight w:val="none"/>
                <w:lang w:val="zh-CN"/>
              </w:rPr>
            </w:pPr>
            <w:r>
              <w:rPr>
                <w:rFonts w:hint="default" w:ascii="Times New Roman" w:hAnsi="Times New Roman" w:eastAsia="宋体" w:cs="Times New Roman"/>
                <w:iCs/>
                <w:color w:val="auto"/>
                <w:sz w:val="24"/>
                <w:szCs w:val="24"/>
                <w:highlight w:val="none"/>
              </w:rPr>
              <w:t>2</w:t>
            </w:r>
            <w:r>
              <w:rPr>
                <w:rFonts w:hint="default" w:ascii="Times New Roman" w:hAnsi="Times New Roman" w:eastAsia="宋体" w:cs="Times New Roman"/>
                <w:iCs/>
                <w:color w:val="auto"/>
                <w:sz w:val="24"/>
                <w:szCs w:val="24"/>
                <w:highlight w:val="none"/>
                <w:lang w:val="zh-CN"/>
              </w:rPr>
              <w:t>）破碎粉尘</w:t>
            </w:r>
          </w:p>
          <w:p>
            <w:pPr>
              <w:autoSpaceDE w:val="0"/>
              <w:autoSpaceDN w:val="0"/>
              <w:adjustRightInd/>
              <w:snapToGrid/>
              <w:spacing w:after="0" w:line="360" w:lineRule="auto"/>
              <w:ind w:firstLine="480" w:firstLineChars="200"/>
              <w:jc w:val="both"/>
              <w:rPr>
                <w:rFonts w:hint="default" w:ascii="Times New Roman" w:hAnsi="Times New Roman" w:eastAsia="宋体" w:cs="Times New Roman"/>
                <w:iCs/>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现</w:t>
            </w:r>
            <w:r>
              <w:rPr>
                <w:rFonts w:hint="default" w:ascii="Times New Roman" w:hAnsi="Times New Roman" w:eastAsia="宋体" w:cs="Times New Roman"/>
                <w:iCs/>
                <w:color w:val="auto"/>
                <w:sz w:val="24"/>
                <w:szCs w:val="24"/>
                <w:highlight w:val="none"/>
                <w:lang w:val="zh-CN"/>
              </w:rPr>
              <w:t>破碎工序产生会产生少量破碎粉尘，破碎粉尘经密闭设备循环破碎后，由旋风除尘器收集，实际无破碎粉尘排放</w:t>
            </w:r>
            <w:r>
              <w:rPr>
                <w:rFonts w:hint="default" w:ascii="Times New Roman" w:hAnsi="Times New Roman" w:eastAsia="宋体" w:cs="Times New Roman"/>
                <w:iCs/>
                <w:color w:val="auto"/>
                <w:sz w:val="24"/>
                <w:szCs w:val="24"/>
                <w:highlight w:val="none"/>
                <w:lang w:val="en-US" w:eastAsia="zh-CN"/>
              </w:rPr>
              <w:t>。</w:t>
            </w:r>
            <w:r>
              <w:rPr>
                <w:rFonts w:hint="eastAsia" w:ascii="Times New Roman" w:hAnsi="Times New Roman" w:eastAsia="宋体" w:cs="Times New Roman"/>
                <w:iCs/>
                <w:color w:val="auto"/>
                <w:sz w:val="24"/>
                <w:szCs w:val="24"/>
                <w:highlight w:val="none"/>
                <w:lang w:val="en-US" w:eastAsia="zh-CN"/>
              </w:rPr>
              <w:t>无组织粉尘满足</w:t>
            </w:r>
            <w:r>
              <w:rPr>
                <w:rFonts w:hint="default" w:ascii="Times New Roman" w:hAnsi="Times New Roman" w:eastAsia="宋体" w:cs="Times New Roman"/>
                <w:iCs/>
                <w:color w:val="auto"/>
                <w:sz w:val="24"/>
                <w:szCs w:val="24"/>
                <w:highlight w:val="none"/>
                <w:lang w:val="zh-CN" w:eastAsia="zh-CN"/>
              </w:rPr>
              <w:t>《</w:t>
            </w:r>
            <w:r>
              <w:rPr>
                <w:rFonts w:hint="default" w:ascii="Times New Roman" w:hAnsi="Times New Roman" w:eastAsia="宋体" w:cs="Times New Roman"/>
                <w:iCs/>
                <w:color w:val="auto"/>
                <w:sz w:val="24"/>
                <w:szCs w:val="24"/>
                <w:highlight w:val="none"/>
                <w:lang w:val="zh-CN"/>
              </w:rPr>
              <w:t>大气污染物综合排放标准</w:t>
            </w:r>
            <w:r>
              <w:rPr>
                <w:rFonts w:hint="default" w:ascii="Times New Roman" w:hAnsi="Times New Roman" w:eastAsia="宋体" w:cs="Times New Roman"/>
                <w:iCs/>
                <w:color w:val="auto"/>
                <w:sz w:val="24"/>
                <w:szCs w:val="24"/>
                <w:highlight w:val="none"/>
                <w:lang w:val="zh-CN" w:eastAsia="zh-CN"/>
              </w:rPr>
              <w:t>》（</w:t>
            </w:r>
            <w:r>
              <w:rPr>
                <w:rFonts w:hint="default" w:ascii="Times New Roman" w:hAnsi="Times New Roman" w:eastAsia="宋体" w:cs="Times New Roman"/>
                <w:iCs/>
                <w:color w:val="auto"/>
                <w:sz w:val="24"/>
                <w:szCs w:val="24"/>
                <w:highlight w:val="none"/>
                <w:lang w:val="zh-CN"/>
              </w:rPr>
              <w:t>GB16297 1996</w:t>
            </w:r>
            <w:r>
              <w:rPr>
                <w:rFonts w:hint="default" w:ascii="Times New Roman" w:hAnsi="Times New Roman" w:eastAsia="宋体" w:cs="Times New Roman"/>
                <w:iCs/>
                <w:color w:val="auto"/>
                <w:sz w:val="24"/>
                <w:szCs w:val="24"/>
                <w:highlight w:val="none"/>
                <w:lang w:val="zh-CN" w:eastAsia="zh-CN"/>
              </w:rPr>
              <w:t>）</w:t>
            </w:r>
            <w:r>
              <w:rPr>
                <w:rFonts w:hint="default" w:ascii="Times New Roman" w:hAnsi="Times New Roman" w:eastAsia="宋体" w:cs="Times New Roman"/>
                <w:iCs/>
                <w:color w:val="auto"/>
                <w:sz w:val="24"/>
                <w:szCs w:val="24"/>
                <w:highlight w:val="none"/>
                <w:lang w:val="zh-CN"/>
              </w:rPr>
              <w:t>新污染源</w:t>
            </w:r>
            <w:r>
              <w:rPr>
                <w:rFonts w:hint="eastAsia" w:ascii="Times New Roman" w:hAnsi="Times New Roman" w:eastAsia="宋体" w:cs="Times New Roman"/>
                <w:iCs/>
                <w:color w:val="auto"/>
                <w:sz w:val="24"/>
                <w:szCs w:val="24"/>
                <w:highlight w:val="none"/>
                <w:lang w:val="en-US" w:eastAsia="zh-CN"/>
              </w:rPr>
              <w:t>无组织</w:t>
            </w:r>
            <w:r>
              <w:rPr>
                <w:rFonts w:hint="default" w:ascii="Times New Roman" w:hAnsi="Times New Roman" w:eastAsia="宋体" w:cs="Times New Roman"/>
                <w:iCs/>
                <w:color w:val="auto"/>
                <w:sz w:val="24"/>
                <w:szCs w:val="24"/>
                <w:highlight w:val="none"/>
                <w:lang w:val="zh-CN"/>
              </w:rPr>
              <w:t>排放限值。</w:t>
            </w:r>
          </w:p>
          <w:p>
            <w:pPr>
              <w:numPr>
                <w:ilvl w:val="0"/>
                <w:numId w:val="0"/>
              </w:numPr>
              <w:adjustRightInd/>
              <w:snapToGrid/>
              <w:spacing w:after="0" w:line="360" w:lineRule="auto"/>
              <w:ind w:leftChars="200"/>
              <w:jc w:val="both"/>
              <w:rPr>
                <w:rFonts w:hint="default" w:ascii="Times New Roman" w:hAnsi="Times New Roman" w:eastAsia="宋体" w:cs="Times New Roman"/>
                <w:color w:val="auto"/>
                <w:sz w:val="24"/>
                <w:szCs w:val="24"/>
                <w:highlight w:val="none"/>
              </w:rPr>
            </w:pPr>
            <w:r>
              <w:rPr>
                <w:rFonts w:hint="eastAsia"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噪声</w:t>
            </w:r>
          </w:p>
          <w:p>
            <w:pPr>
              <w:numPr>
                <w:ilvl w:val="0"/>
                <w:numId w:val="0"/>
              </w:numPr>
              <w:adjustRightInd/>
              <w:snapToGrid/>
              <w:spacing w:after="0" w:line="360" w:lineRule="auto"/>
              <w:ind w:firstLine="480" w:firstLineChars="200"/>
              <w:jc w:val="both"/>
              <w:rPr>
                <w:rFonts w:hint="default"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现</w:t>
            </w:r>
            <w:r>
              <w:rPr>
                <w:rFonts w:hint="default" w:ascii="Times New Roman" w:hAnsi="Times New Roman" w:eastAsia="宋体" w:cs="Times New Roman"/>
                <w:iCs/>
                <w:color w:val="auto"/>
                <w:sz w:val="24"/>
                <w:szCs w:val="24"/>
                <w:highlight w:val="none"/>
              </w:rPr>
              <w:t>噪声源主要是注塑机、粉碎机、冷却塔等噪声设备，其声级约在65~</w:t>
            </w:r>
            <w:r>
              <w:rPr>
                <w:rFonts w:hint="default" w:ascii="Times New Roman" w:hAnsi="Times New Roman" w:eastAsia="宋体" w:cs="Times New Roman"/>
                <w:iCs/>
                <w:color w:val="auto"/>
                <w:sz w:val="24"/>
                <w:szCs w:val="24"/>
                <w:highlight w:val="none"/>
                <w:lang w:val="en-US" w:eastAsia="zh-CN"/>
              </w:rPr>
              <w:t>80</w:t>
            </w:r>
            <w:r>
              <w:rPr>
                <w:rFonts w:hint="default" w:ascii="Times New Roman" w:hAnsi="Times New Roman" w:eastAsia="宋体" w:cs="Times New Roman"/>
                <w:iCs/>
                <w:color w:val="auto"/>
                <w:sz w:val="24"/>
                <w:szCs w:val="24"/>
                <w:highlight w:val="none"/>
              </w:rPr>
              <w:t>dB（A）之间。经选用低噪声设备，通过密闭厂房，加设隔音门窗、距离衰减等措施，对噪声的传播进行防治。</w:t>
            </w:r>
            <w:r>
              <w:rPr>
                <w:rFonts w:hint="default" w:ascii="Times New Roman" w:hAnsi="Times New Roman" w:eastAsia="宋体" w:cs="Times New Roman"/>
                <w:color w:val="auto"/>
                <w:sz w:val="24"/>
                <w:szCs w:val="24"/>
                <w:highlight w:val="none"/>
                <w:lang w:val="en-US" w:eastAsia="zh-CN"/>
              </w:rPr>
              <w:t>根据验收监测结果表明</w:t>
            </w:r>
            <w:r>
              <w:rPr>
                <w:rFonts w:hint="default" w:ascii="Times New Roman" w:hAnsi="Times New Roman" w:eastAsia="宋体" w:cs="Times New Roman"/>
                <w:color w:val="auto"/>
                <w:sz w:val="24"/>
                <w:szCs w:val="24"/>
                <w:highlight w:val="none"/>
              </w:rPr>
              <w:t>，项目厂界四周昼间噪声为4</w:t>
            </w:r>
            <w:r>
              <w:rPr>
                <w:rFonts w:hint="default" w:ascii="Times New Roman" w:hAnsi="Times New Roman" w:eastAsia="宋体" w:cs="Times New Roman"/>
                <w:color w:val="auto"/>
                <w:sz w:val="24"/>
                <w:szCs w:val="24"/>
                <w:highlight w:val="none"/>
                <w:lang w:val="en-US" w:eastAsia="zh-CN"/>
              </w:rPr>
              <w:t>9.3</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61.0</w:t>
            </w:r>
            <w:r>
              <w:rPr>
                <w:rFonts w:hint="default" w:ascii="Times New Roman" w:hAnsi="Times New Roman" w:eastAsia="宋体" w:cs="Times New Roman"/>
                <w:color w:val="auto"/>
                <w:sz w:val="24"/>
                <w:szCs w:val="24"/>
                <w:highlight w:val="none"/>
              </w:rPr>
              <w:t>dB（A），夜间噪声为4</w:t>
            </w:r>
            <w:r>
              <w:rPr>
                <w:rFonts w:hint="default" w:ascii="Times New Roman" w:hAnsi="Times New Roman" w:eastAsia="宋体" w:cs="Times New Roman"/>
                <w:color w:val="auto"/>
                <w:sz w:val="24"/>
                <w:szCs w:val="24"/>
                <w:highlight w:val="none"/>
                <w:lang w:val="en-US" w:eastAsia="zh-CN"/>
              </w:rPr>
              <w:t>1.3</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43.9</w:t>
            </w:r>
            <w:r>
              <w:rPr>
                <w:rFonts w:hint="default" w:ascii="Times New Roman" w:hAnsi="Times New Roman" w:eastAsia="宋体" w:cs="Times New Roman"/>
                <w:color w:val="auto"/>
                <w:sz w:val="24"/>
                <w:szCs w:val="24"/>
                <w:highlight w:val="none"/>
              </w:rPr>
              <w:t>dB（A），均满足GB12348-2008《工业企业厂界环境噪声排放标准》中</w:t>
            </w:r>
            <w:r>
              <w:rPr>
                <w:rFonts w:hint="default"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类区标准限值要求。</w:t>
            </w:r>
          </w:p>
          <w:p>
            <w:pPr>
              <w:adjustRightInd/>
              <w:snapToGrid/>
              <w:spacing w:after="0" w:line="360" w:lineRule="auto"/>
              <w:ind w:firstLine="480" w:firstLineChars="200"/>
              <w:jc w:val="both"/>
              <w:rPr>
                <w:rFonts w:hint="default"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lang w:val="en-US" w:eastAsia="zh-CN"/>
              </w:rPr>
              <w:t>固体废物</w:t>
            </w:r>
          </w:p>
          <w:p>
            <w:pPr>
              <w:adjustRightInd/>
              <w:snapToGrid/>
              <w:spacing w:after="0" w:line="360" w:lineRule="auto"/>
              <w:ind w:firstLine="480" w:firstLineChars="200"/>
              <w:jc w:val="both"/>
              <w:rPr>
                <w:rFonts w:hint="default" w:ascii="Times New Roman" w:hAnsi="Times New Roman" w:eastAsia="宋体" w:cs="Times New Roman"/>
                <w:iCs/>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现</w:t>
            </w:r>
            <w:r>
              <w:rPr>
                <w:rFonts w:hint="default" w:ascii="Times New Roman" w:hAnsi="Times New Roman" w:eastAsia="宋体" w:cs="Times New Roman"/>
                <w:iCs/>
                <w:color w:val="auto"/>
                <w:sz w:val="24"/>
                <w:szCs w:val="24"/>
                <w:highlight w:val="none"/>
                <w:lang w:val="zh-CN" w:eastAsia="zh-CN"/>
              </w:rPr>
              <w:t>固体废物主要为一般固废和危险废物。一般固废要来源于职工产生的生活垃圾、</w:t>
            </w:r>
            <w:r>
              <w:rPr>
                <w:rFonts w:hint="default" w:ascii="Times New Roman" w:hAnsi="Times New Roman" w:eastAsia="宋体" w:cs="Times New Roman"/>
                <w:iCs/>
                <w:color w:val="auto"/>
                <w:sz w:val="24"/>
                <w:szCs w:val="24"/>
                <w:highlight w:val="none"/>
                <w:lang w:val="en-US" w:eastAsia="zh-CN"/>
              </w:rPr>
              <w:t>旋风除尘器集尘粉及</w:t>
            </w:r>
            <w:r>
              <w:rPr>
                <w:rFonts w:hint="eastAsia" w:ascii="Times New Roman" w:hAnsi="Times New Roman" w:eastAsia="宋体" w:cs="Times New Roman"/>
                <w:iCs/>
                <w:color w:val="auto"/>
                <w:sz w:val="24"/>
                <w:szCs w:val="24"/>
                <w:highlight w:val="none"/>
                <w:lang w:val="en-US" w:eastAsia="zh-CN"/>
              </w:rPr>
              <w:t>废</w:t>
            </w:r>
            <w:r>
              <w:rPr>
                <w:rFonts w:hint="default" w:ascii="Times New Roman" w:hAnsi="Times New Roman" w:eastAsia="宋体" w:cs="Times New Roman"/>
                <w:iCs/>
                <w:color w:val="auto"/>
                <w:sz w:val="24"/>
                <w:szCs w:val="24"/>
                <w:highlight w:val="none"/>
                <w:lang w:val="en-US" w:eastAsia="zh-CN"/>
              </w:rPr>
              <w:t>原料包装材料</w:t>
            </w:r>
            <w:r>
              <w:rPr>
                <w:rFonts w:hint="default" w:ascii="Times New Roman" w:hAnsi="Times New Roman" w:eastAsia="宋体" w:cs="Times New Roman"/>
                <w:iCs/>
                <w:color w:val="auto"/>
                <w:sz w:val="24"/>
                <w:szCs w:val="24"/>
                <w:highlight w:val="none"/>
                <w:lang w:val="zh-CN" w:eastAsia="zh-CN"/>
              </w:rPr>
              <w:t>。生活垃圾</w:t>
            </w:r>
            <w:r>
              <w:rPr>
                <w:rFonts w:hint="default" w:ascii="Times New Roman" w:hAnsi="Times New Roman" w:eastAsia="宋体" w:cs="Times New Roman"/>
                <w:iCs/>
                <w:color w:val="auto"/>
                <w:sz w:val="24"/>
                <w:szCs w:val="24"/>
                <w:highlight w:val="none"/>
                <w:lang w:val="en-US" w:eastAsia="zh-CN"/>
              </w:rPr>
              <w:t>产生量为0.27t/a，废原料包装材料产生量为0.003t/a，</w:t>
            </w:r>
            <w:r>
              <w:rPr>
                <w:rFonts w:hint="default" w:ascii="Times New Roman" w:hAnsi="Times New Roman" w:cs="Times New Roman"/>
                <w:i w:val="0"/>
                <w:iCs w:val="0"/>
                <w:color w:val="auto"/>
                <w:sz w:val="24"/>
                <w:highlight w:val="none"/>
                <w:u w:val="none"/>
                <w:lang w:val="en-US" w:eastAsia="zh-CN"/>
              </w:rPr>
              <w:t>全部由环卫部门清运处置。</w:t>
            </w:r>
            <w:r>
              <w:rPr>
                <w:rFonts w:hint="default" w:ascii="Times New Roman" w:hAnsi="Times New Roman" w:eastAsia="宋体" w:cs="Times New Roman"/>
                <w:iCs/>
                <w:color w:val="auto"/>
                <w:sz w:val="24"/>
                <w:szCs w:val="24"/>
                <w:highlight w:val="none"/>
                <w:lang w:val="en-US" w:eastAsia="zh-CN"/>
              </w:rPr>
              <w:t>旋风除尘器集尘粉产生量为0.0001t/a，全部回用于注塑工序</w:t>
            </w:r>
            <w:r>
              <w:rPr>
                <w:rFonts w:hint="eastAsia" w:ascii="Times New Roman" w:hAnsi="Times New Roman" w:eastAsia="宋体" w:cs="Times New Roman"/>
                <w:iCs/>
                <w:color w:val="auto"/>
                <w:sz w:val="24"/>
                <w:szCs w:val="24"/>
                <w:highlight w:val="none"/>
                <w:lang w:val="en-US" w:eastAsia="zh-CN"/>
              </w:rPr>
              <w:t>。</w:t>
            </w:r>
          </w:p>
          <w:p>
            <w:pPr>
              <w:adjustRightInd/>
              <w:snapToGrid/>
              <w:spacing w:after="0" w:line="360" w:lineRule="auto"/>
              <w:ind w:firstLine="480" w:firstLineChars="200"/>
              <w:jc w:val="both"/>
              <w:rPr>
                <w:rFonts w:hint="default" w:ascii="Times New Roman" w:hAnsi="Times New Roman" w:eastAsia="宋体" w:cs="Times New Roman"/>
                <w:iCs/>
                <w:color w:val="auto"/>
                <w:sz w:val="24"/>
                <w:szCs w:val="24"/>
                <w:highlight w:val="none"/>
                <w:lang w:val="zh-CN" w:eastAsia="zh-CN"/>
              </w:rPr>
            </w:pPr>
            <w:r>
              <w:rPr>
                <w:rFonts w:hint="default" w:ascii="Times New Roman" w:hAnsi="Times New Roman" w:eastAsia="宋体" w:cs="Times New Roman"/>
                <w:iCs/>
                <w:color w:val="auto"/>
                <w:sz w:val="24"/>
                <w:szCs w:val="24"/>
                <w:highlight w:val="none"/>
                <w:lang w:val="zh-CN" w:eastAsia="zh-CN"/>
              </w:rPr>
              <w:t>危险废物主要为</w:t>
            </w:r>
            <w:r>
              <w:rPr>
                <w:rFonts w:hint="default" w:ascii="Times New Roman" w:hAnsi="Times New Roman" w:eastAsia="宋体" w:cs="Times New Roman"/>
                <w:iCs/>
                <w:color w:val="auto"/>
                <w:sz w:val="24"/>
                <w:szCs w:val="24"/>
                <w:highlight w:val="none"/>
                <w:lang w:val="en-US" w:eastAsia="zh-CN"/>
              </w:rPr>
              <w:t>废弃含油抹布（HW49 900-041-49，产生量0.003t/a）、含有机溶剂的废抹布（HW49 900-041-49，产生量0.03t/a）、废清洗剂</w:t>
            </w:r>
            <w:r>
              <w:rPr>
                <w:rFonts w:hint="default" w:ascii="Times New Roman" w:hAnsi="Times New Roman" w:eastAsia="宋体" w:cs="Times New Roman"/>
                <w:iCs/>
                <w:color w:val="auto"/>
                <w:sz w:val="24"/>
                <w:szCs w:val="24"/>
                <w:highlight w:val="none"/>
                <w:lang w:val="zh-CN" w:eastAsia="zh-CN"/>
              </w:rPr>
              <w:t>罐</w:t>
            </w:r>
            <w:r>
              <w:rPr>
                <w:rFonts w:hint="default" w:ascii="Times New Roman" w:hAnsi="Times New Roman" w:eastAsia="宋体" w:cs="Times New Roman"/>
                <w:iCs/>
                <w:color w:val="auto"/>
                <w:sz w:val="24"/>
                <w:szCs w:val="24"/>
                <w:highlight w:val="none"/>
                <w:lang w:val="en-US" w:eastAsia="zh-CN"/>
              </w:rPr>
              <w:t>（HW49 900-041-49，产生量为0.01t/a）及废液压油（HW08 900-218-08，产生量0.004t/a）等</w:t>
            </w:r>
            <w:r>
              <w:rPr>
                <w:rFonts w:hint="default" w:ascii="Times New Roman" w:hAnsi="Times New Roman" w:eastAsia="宋体" w:cs="Times New Roman"/>
                <w:iCs/>
                <w:color w:val="auto"/>
                <w:sz w:val="24"/>
                <w:szCs w:val="24"/>
                <w:highlight w:val="none"/>
                <w:lang w:val="zh-CN" w:eastAsia="zh-CN"/>
              </w:rPr>
              <w:t>，</w:t>
            </w:r>
            <w:r>
              <w:rPr>
                <w:rFonts w:hint="default" w:ascii="Times New Roman" w:hAnsi="Times New Roman" w:eastAsia="宋体" w:cs="Times New Roman"/>
                <w:iCs/>
                <w:color w:val="auto"/>
                <w:sz w:val="24"/>
                <w:szCs w:val="24"/>
                <w:highlight w:val="none"/>
                <w:lang w:val="en-US" w:eastAsia="zh-CN"/>
              </w:rPr>
              <w:t>分类</w:t>
            </w:r>
            <w:r>
              <w:rPr>
                <w:rFonts w:hint="default" w:ascii="Times New Roman" w:hAnsi="Times New Roman" w:eastAsia="宋体" w:cs="Times New Roman"/>
                <w:iCs/>
                <w:color w:val="auto"/>
                <w:sz w:val="24"/>
                <w:szCs w:val="24"/>
                <w:highlight w:val="none"/>
                <w:lang w:val="zh-CN" w:eastAsia="zh-CN"/>
              </w:rPr>
              <w:t>暂存于危废暂存间，定期交由</w:t>
            </w:r>
            <w:r>
              <w:rPr>
                <w:rFonts w:hint="default" w:ascii="Times New Roman" w:hAnsi="Times New Roman" w:eastAsia="宋体" w:cs="Times New Roman"/>
                <w:iCs/>
                <w:color w:val="auto"/>
                <w:sz w:val="24"/>
                <w:szCs w:val="24"/>
                <w:highlight w:val="none"/>
                <w:lang w:val="en-US" w:eastAsia="zh-CN"/>
              </w:rPr>
              <w:t>吉林省蓝天固废处理中心有限公司</w:t>
            </w:r>
            <w:r>
              <w:rPr>
                <w:rFonts w:hint="default" w:ascii="Times New Roman" w:hAnsi="Times New Roman" w:eastAsia="宋体" w:cs="Times New Roman"/>
                <w:iCs/>
                <w:color w:val="auto"/>
                <w:sz w:val="24"/>
                <w:szCs w:val="24"/>
                <w:highlight w:val="none"/>
                <w:lang w:val="zh-CN" w:eastAsia="zh-CN"/>
              </w:rPr>
              <w:t>处理。</w:t>
            </w:r>
          </w:p>
          <w:p>
            <w:pPr>
              <w:pStyle w:val="63"/>
              <w:spacing w:line="360" w:lineRule="auto"/>
              <w:ind w:firstLine="480" w:firstLineChars="200"/>
              <w:rPr>
                <w:rFonts w:hint="eastAsia" w:ascii="Times New Roman" w:hAnsi="Times New Roman" w:eastAsia="宋体" w:cs="Times New Roman"/>
                <w:iCs/>
                <w:color w:val="auto"/>
                <w:kern w:val="2"/>
                <w:sz w:val="24"/>
                <w:szCs w:val="24"/>
                <w:highlight w:val="none"/>
                <w:lang w:val="en-US" w:eastAsia="zh-CN" w:bidi="ar-SA"/>
              </w:rPr>
            </w:pPr>
            <w:r>
              <w:rPr>
                <w:rFonts w:hint="eastAsia" w:ascii="Times New Roman" w:hAnsi="Times New Roman" w:eastAsia="宋体" w:cs="Times New Roman"/>
                <w:iCs/>
                <w:color w:val="auto"/>
                <w:kern w:val="2"/>
                <w:sz w:val="24"/>
                <w:szCs w:val="24"/>
                <w:highlight w:val="none"/>
                <w:lang w:val="en-US" w:eastAsia="zh-CN" w:bidi="ar-SA"/>
              </w:rPr>
              <w:t>现有危废暂存间位于</w:t>
            </w:r>
            <w:r>
              <w:rPr>
                <w:rFonts w:hint="default" w:ascii="Times New Roman" w:hAnsi="Times New Roman" w:eastAsia="宋体" w:cs="Times New Roman"/>
                <w:iCs/>
                <w:color w:val="auto"/>
                <w:kern w:val="2"/>
                <w:sz w:val="24"/>
                <w:szCs w:val="24"/>
                <w:highlight w:val="none"/>
                <w:lang w:val="en-US" w:eastAsia="zh-CN" w:bidi="ar-SA"/>
              </w:rPr>
              <w:t>存储区</w:t>
            </w:r>
            <w:r>
              <w:rPr>
                <w:rFonts w:hint="eastAsia" w:ascii="Times New Roman" w:hAnsi="Times New Roman" w:eastAsia="宋体" w:cs="Times New Roman"/>
                <w:iCs/>
                <w:color w:val="auto"/>
                <w:kern w:val="2"/>
                <w:sz w:val="24"/>
                <w:szCs w:val="24"/>
                <w:highlight w:val="none"/>
                <w:lang w:val="en-US" w:eastAsia="zh-CN" w:bidi="ar-SA"/>
              </w:rPr>
              <w:t>西侧</w:t>
            </w:r>
            <w:r>
              <w:rPr>
                <w:rFonts w:hint="default" w:ascii="Times New Roman" w:hAnsi="Times New Roman" w:eastAsia="宋体" w:cs="Times New Roman"/>
                <w:iCs/>
                <w:color w:val="auto"/>
                <w:kern w:val="2"/>
                <w:sz w:val="24"/>
                <w:szCs w:val="24"/>
                <w:highlight w:val="none"/>
                <w:lang w:val="en-US" w:eastAsia="zh-CN" w:bidi="ar-SA"/>
              </w:rPr>
              <w:t>，面积</w:t>
            </w:r>
            <w:r>
              <w:rPr>
                <w:rFonts w:hint="eastAsia" w:ascii="Times New Roman" w:hAnsi="Times New Roman" w:eastAsia="宋体" w:cs="Times New Roman"/>
                <w:iCs/>
                <w:color w:val="auto"/>
                <w:kern w:val="2"/>
                <w:sz w:val="24"/>
                <w:szCs w:val="24"/>
                <w:highlight w:val="none"/>
                <w:lang w:val="en-US" w:eastAsia="zh-CN" w:bidi="ar-SA"/>
              </w:rPr>
              <w:t>约为</w:t>
            </w:r>
            <w:r>
              <w:rPr>
                <w:rFonts w:hint="default" w:ascii="Times New Roman" w:hAnsi="Times New Roman" w:eastAsia="宋体" w:cs="Times New Roman"/>
                <w:iCs/>
                <w:color w:val="auto"/>
                <w:kern w:val="2"/>
                <w:sz w:val="24"/>
                <w:szCs w:val="24"/>
                <w:highlight w:val="none"/>
                <w:lang w:val="en-US" w:eastAsia="zh-CN" w:bidi="ar-SA"/>
              </w:rPr>
              <w:t>10m</w:t>
            </w:r>
            <w:r>
              <w:rPr>
                <w:rFonts w:hint="default" w:ascii="Times New Roman" w:hAnsi="Times New Roman" w:eastAsia="宋体" w:cs="Times New Roman"/>
                <w:iCs/>
                <w:color w:val="auto"/>
                <w:kern w:val="2"/>
                <w:sz w:val="24"/>
                <w:szCs w:val="24"/>
                <w:highlight w:val="none"/>
                <w:vertAlign w:val="superscript"/>
                <w:lang w:val="en-US" w:eastAsia="zh-CN" w:bidi="ar-SA"/>
              </w:rPr>
              <w:t>2</w:t>
            </w:r>
            <w:r>
              <w:rPr>
                <w:rFonts w:hint="default" w:ascii="Times New Roman" w:hAnsi="Times New Roman" w:eastAsia="宋体" w:cs="Times New Roman"/>
                <w:iCs/>
                <w:color w:val="auto"/>
                <w:kern w:val="2"/>
                <w:sz w:val="24"/>
                <w:szCs w:val="24"/>
                <w:highlight w:val="none"/>
                <w:lang w:val="en-US" w:eastAsia="zh-CN" w:bidi="ar-SA"/>
              </w:rPr>
              <w:t>，贮存能力约为50t，暂存间地面</w:t>
            </w:r>
            <w:r>
              <w:rPr>
                <w:rFonts w:hint="eastAsia" w:ascii="Times New Roman" w:hAnsi="Times New Roman" w:eastAsia="宋体" w:cs="Times New Roman"/>
                <w:iCs/>
                <w:color w:val="auto"/>
                <w:kern w:val="2"/>
                <w:sz w:val="24"/>
                <w:szCs w:val="24"/>
                <w:highlight w:val="none"/>
                <w:lang w:val="en-US" w:eastAsia="zh-CN" w:bidi="ar-SA"/>
              </w:rPr>
              <w:t>已经做好</w:t>
            </w:r>
            <w:r>
              <w:rPr>
                <w:rFonts w:hint="default" w:ascii="Times New Roman" w:hAnsi="Times New Roman" w:eastAsia="宋体" w:cs="Times New Roman"/>
                <w:iCs/>
                <w:color w:val="auto"/>
                <w:kern w:val="2"/>
                <w:sz w:val="24"/>
                <w:szCs w:val="24"/>
                <w:highlight w:val="none"/>
                <w:lang w:val="en-US" w:eastAsia="zh-CN" w:bidi="ar-SA"/>
              </w:rPr>
              <w:t>防渗处理，</w:t>
            </w:r>
            <w:r>
              <w:rPr>
                <w:rFonts w:hint="eastAsia" w:ascii="Times New Roman" w:hAnsi="Times New Roman" w:eastAsia="宋体" w:cs="Times New Roman"/>
                <w:iCs/>
                <w:color w:val="auto"/>
                <w:kern w:val="2"/>
                <w:sz w:val="24"/>
                <w:szCs w:val="24"/>
                <w:highlight w:val="none"/>
                <w:lang w:val="en-US" w:eastAsia="zh-CN" w:bidi="ar-SA"/>
              </w:rPr>
              <w:t>暂存间防雨、防火，危险废物分类存放，分类</w:t>
            </w:r>
            <w:r>
              <w:rPr>
                <w:rFonts w:hint="default" w:ascii="Times New Roman" w:hAnsi="Times New Roman" w:eastAsia="宋体" w:cs="Times New Roman"/>
                <w:iCs/>
                <w:color w:val="auto"/>
                <w:kern w:val="2"/>
                <w:sz w:val="24"/>
                <w:szCs w:val="24"/>
                <w:highlight w:val="none"/>
                <w:lang w:val="en-US" w:eastAsia="zh-CN" w:bidi="ar-SA"/>
              </w:rPr>
              <w:t>设置</w:t>
            </w:r>
            <w:r>
              <w:rPr>
                <w:rFonts w:hint="eastAsia" w:ascii="Times New Roman" w:hAnsi="Times New Roman" w:eastAsia="宋体" w:cs="Times New Roman"/>
                <w:iCs/>
                <w:color w:val="auto"/>
                <w:kern w:val="2"/>
                <w:sz w:val="24"/>
                <w:szCs w:val="24"/>
                <w:highlight w:val="none"/>
                <w:lang w:val="en-US" w:eastAsia="zh-CN" w:bidi="ar-SA"/>
              </w:rPr>
              <w:t>了</w:t>
            </w:r>
            <w:r>
              <w:rPr>
                <w:rFonts w:hint="default" w:ascii="Times New Roman" w:hAnsi="Times New Roman" w:eastAsia="宋体" w:cs="Times New Roman"/>
                <w:iCs/>
                <w:color w:val="auto"/>
                <w:kern w:val="2"/>
                <w:sz w:val="24"/>
                <w:szCs w:val="24"/>
                <w:highlight w:val="none"/>
                <w:lang w:val="en-US" w:eastAsia="zh-CN" w:bidi="ar-SA"/>
              </w:rPr>
              <w:t>警示标志。配备</w:t>
            </w:r>
            <w:r>
              <w:rPr>
                <w:rFonts w:hint="eastAsia" w:ascii="Times New Roman" w:hAnsi="Times New Roman" w:eastAsia="宋体" w:cs="Times New Roman"/>
                <w:iCs/>
                <w:color w:val="auto"/>
                <w:kern w:val="2"/>
                <w:sz w:val="24"/>
                <w:szCs w:val="24"/>
                <w:highlight w:val="none"/>
                <w:lang w:val="en-US" w:eastAsia="zh-CN" w:bidi="ar-SA"/>
              </w:rPr>
              <w:t>了</w:t>
            </w:r>
            <w:r>
              <w:rPr>
                <w:rFonts w:hint="default" w:ascii="Times New Roman" w:hAnsi="Times New Roman" w:eastAsia="宋体" w:cs="Times New Roman"/>
                <w:iCs/>
                <w:color w:val="auto"/>
                <w:kern w:val="2"/>
                <w:sz w:val="24"/>
                <w:szCs w:val="24"/>
                <w:highlight w:val="none"/>
                <w:lang w:val="en-US" w:eastAsia="zh-CN" w:bidi="ar-SA"/>
              </w:rPr>
              <w:t>通讯设备、照明设施、安全防护服装及工具，并设有应急防护设施。</w:t>
            </w:r>
            <w:r>
              <w:rPr>
                <w:rFonts w:hint="eastAsia" w:ascii="Times New Roman" w:hAnsi="Times New Roman" w:eastAsia="宋体" w:cs="Times New Roman"/>
                <w:iCs/>
                <w:color w:val="auto"/>
                <w:kern w:val="2"/>
                <w:sz w:val="24"/>
                <w:szCs w:val="24"/>
                <w:highlight w:val="none"/>
                <w:lang w:val="en-US" w:eastAsia="zh-CN" w:bidi="ar-SA"/>
              </w:rPr>
              <w:t>满足</w:t>
            </w:r>
            <w:r>
              <w:rPr>
                <w:rFonts w:hint="default" w:ascii="Times New Roman" w:hAnsi="Times New Roman" w:eastAsia="宋体" w:cs="Times New Roman"/>
                <w:iCs/>
                <w:color w:val="auto"/>
                <w:kern w:val="2"/>
                <w:sz w:val="24"/>
                <w:szCs w:val="24"/>
                <w:highlight w:val="none"/>
                <w:lang w:val="en-US" w:eastAsia="zh-CN" w:bidi="ar-SA"/>
              </w:rPr>
              <w:t>《危险废物贮存污染控制标准》（</w:t>
            </w:r>
            <w:r>
              <w:rPr>
                <w:rFonts w:hint="eastAsia" w:ascii="Times New Roman" w:hAnsi="Times New Roman" w:eastAsia="宋体" w:cs="Times New Roman"/>
                <w:iCs/>
                <w:color w:val="auto"/>
                <w:kern w:val="2"/>
                <w:sz w:val="24"/>
                <w:szCs w:val="24"/>
                <w:highlight w:val="none"/>
                <w:lang w:val="en-US" w:eastAsia="zh-CN" w:bidi="ar-SA"/>
              </w:rPr>
              <w:t>GB18597-2023</w:t>
            </w:r>
            <w:r>
              <w:rPr>
                <w:rFonts w:hint="default" w:ascii="Times New Roman" w:hAnsi="Times New Roman" w:eastAsia="宋体" w:cs="Times New Roman"/>
                <w:iCs/>
                <w:color w:val="auto"/>
                <w:kern w:val="2"/>
                <w:sz w:val="24"/>
                <w:szCs w:val="24"/>
                <w:highlight w:val="none"/>
                <w:lang w:val="en-US" w:eastAsia="zh-CN" w:bidi="ar-SA"/>
              </w:rPr>
              <w:t>）相关要求</w:t>
            </w:r>
            <w:r>
              <w:rPr>
                <w:rFonts w:hint="eastAsia" w:ascii="Times New Roman" w:hAnsi="Times New Roman" w:eastAsia="宋体" w:cs="Times New Roman"/>
                <w:iCs/>
                <w:color w:val="auto"/>
                <w:kern w:val="2"/>
                <w:sz w:val="24"/>
                <w:szCs w:val="24"/>
                <w:highlight w:val="none"/>
                <w:lang w:val="en-US" w:eastAsia="zh-CN" w:bidi="ar-SA"/>
              </w:rPr>
              <w:t>。</w:t>
            </w:r>
          </w:p>
          <w:p>
            <w:pPr>
              <w:pStyle w:val="71"/>
              <w:autoSpaceDE w:val="0"/>
              <w:autoSpaceDN w:val="0"/>
              <w:spacing w:line="360" w:lineRule="auto"/>
              <w:ind w:firstLine="482" w:firstLineChars="200"/>
              <w:jc w:val="left"/>
              <w:rPr>
                <w:rFonts w:hint="default" w:ascii="Times New Roman" w:hAnsi="Times New Roman" w:eastAsia="宋体" w:cs="Times New Roman"/>
                <w:b/>
                <w:bCs/>
                <w:color w:val="auto"/>
                <w:kern w:val="0"/>
                <w:sz w:val="24"/>
                <w:highlight w:val="none"/>
                <w:lang w:val="en-US" w:eastAsia="zh-CN"/>
              </w:rPr>
            </w:pPr>
            <w:r>
              <w:rPr>
                <w:rFonts w:hint="eastAsia" w:ascii="Times New Roman" w:hAnsi="Times New Roman" w:eastAsia="宋体" w:cs="Times New Roman"/>
                <w:b/>
                <w:bCs/>
                <w:color w:val="auto"/>
                <w:kern w:val="0"/>
                <w:sz w:val="24"/>
                <w:highlight w:val="none"/>
                <w:lang w:val="en-US" w:eastAsia="zh-CN"/>
              </w:rPr>
              <w:t>8、</w:t>
            </w:r>
            <w:r>
              <w:rPr>
                <w:rFonts w:hint="default" w:ascii="Times New Roman" w:hAnsi="Times New Roman" w:eastAsia="宋体" w:cs="Times New Roman"/>
                <w:b/>
                <w:bCs/>
                <w:color w:val="auto"/>
                <w:kern w:val="0"/>
                <w:sz w:val="24"/>
                <w:highlight w:val="none"/>
                <w:lang w:val="en-US" w:eastAsia="zh-CN"/>
              </w:rPr>
              <w:t>现有工程环保手续的执行及落实情况</w:t>
            </w:r>
          </w:p>
          <w:p>
            <w:pPr>
              <w:spacing w:after="0" w:line="240" w:lineRule="auto"/>
              <w:ind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环保手续及验收情况详见下表。</w:t>
            </w:r>
          </w:p>
          <w:p>
            <w:pPr>
              <w:pStyle w:val="13"/>
              <w:tabs>
                <w:tab w:val="right" w:leader="dot" w:pos="9135"/>
              </w:tabs>
              <w:jc w:val="center"/>
              <w:rPr>
                <w:rFonts w:hint="default" w:ascii="Times New Roman" w:hAnsi="Times New Roman" w:cs="Times New Roman"/>
                <w:b/>
                <w:bCs/>
                <w:color w:val="auto"/>
                <w:sz w:val="24"/>
                <w:highlight w:val="none"/>
              </w:rPr>
            </w:pPr>
            <w:r>
              <w:rPr>
                <w:rFonts w:hint="default" w:ascii="Times New Roman" w:hAnsi="Times New Roman" w:eastAsia="宋体" w:cs="Times New Roman"/>
                <w:b/>
                <w:bCs/>
                <w:color w:val="auto"/>
                <w:sz w:val="24"/>
                <w:highlight w:val="none"/>
              </w:rPr>
              <w:t>表</w:t>
            </w:r>
            <w:r>
              <w:rPr>
                <w:rFonts w:hint="default" w:ascii="Times New Roman" w:hAnsi="Times New Roman" w:eastAsia="宋体" w:cs="Times New Roman"/>
                <w:b/>
                <w:bCs/>
                <w:color w:val="auto"/>
                <w:sz w:val="24"/>
                <w:highlight w:val="none"/>
                <w:lang w:val="en-US" w:eastAsia="zh-CN"/>
              </w:rPr>
              <w:t>2</w:t>
            </w:r>
            <w:r>
              <w:rPr>
                <w:rFonts w:hint="eastAsia" w:cs="Times New Roman"/>
                <w:b/>
                <w:bCs/>
                <w:color w:val="auto"/>
                <w:sz w:val="24"/>
                <w:highlight w:val="none"/>
                <w:lang w:val="en-US" w:eastAsia="zh-CN"/>
              </w:rPr>
              <w:t xml:space="preserve">-11 </w:t>
            </w:r>
            <w:r>
              <w:rPr>
                <w:rFonts w:hint="default" w:ascii="Times New Roman" w:hAnsi="Times New Roman" w:eastAsia="宋体" w:cs="Times New Roman"/>
                <w:b/>
                <w:bCs/>
                <w:color w:val="auto"/>
                <w:sz w:val="24"/>
                <w:highlight w:val="none"/>
              </w:rPr>
              <w:t xml:space="preserve">  环保手续及验收情况一览表</w:t>
            </w:r>
          </w:p>
          <w:tbl>
            <w:tblPr>
              <w:tblStyle w:val="30"/>
              <w:tblW w:w="817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Layout w:type="fixed"/>
              <w:tblCellMar>
                <w:top w:w="0" w:type="dxa"/>
                <w:left w:w="11" w:type="dxa"/>
                <w:bottom w:w="0" w:type="dxa"/>
                <w:right w:w="11" w:type="dxa"/>
              </w:tblCellMar>
            </w:tblPr>
            <w:tblGrid>
              <w:gridCol w:w="1735"/>
              <w:gridCol w:w="1436"/>
              <w:gridCol w:w="1869"/>
              <w:gridCol w:w="1410"/>
              <w:gridCol w:w="1729"/>
            </w:tblGrid>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1" w:type="dxa"/>
                  <w:bottom w:w="0" w:type="dxa"/>
                  <w:right w:w="11" w:type="dxa"/>
                </w:tblCellMar>
              </w:tblPrEx>
              <w:trPr>
                <w:trHeight w:val="282" w:hRule="atLeast"/>
                <w:jc w:val="center"/>
              </w:trPr>
              <w:tc>
                <w:tcPr>
                  <w:tcW w:w="1060" w:type="pct"/>
                  <w:vMerge w:val="restart"/>
                  <w:noWrap w:val="0"/>
                  <w:vAlign w:val="center"/>
                </w:tcPr>
                <w:p>
                  <w:pPr>
                    <w:spacing w:after="0"/>
                    <w:jc w:val="center"/>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项目名称</w:t>
                  </w:r>
                </w:p>
              </w:tc>
              <w:tc>
                <w:tcPr>
                  <w:tcW w:w="2020" w:type="pct"/>
                  <w:gridSpan w:val="2"/>
                  <w:noWrap w:val="0"/>
                  <w:vAlign w:val="center"/>
                </w:tcPr>
                <w:p>
                  <w:pPr>
                    <w:spacing w:after="0"/>
                    <w:jc w:val="center"/>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环评审批</w:t>
                  </w:r>
                </w:p>
              </w:tc>
              <w:tc>
                <w:tcPr>
                  <w:tcW w:w="1918" w:type="pct"/>
                  <w:gridSpan w:val="2"/>
                  <w:noWrap w:val="0"/>
                  <w:vAlign w:val="center"/>
                </w:tcPr>
                <w:p>
                  <w:pPr>
                    <w:spacing w:after="0"/>
                    <w:jc w:val="center"/>
                    <w:rPr>
                      <w:rFonts w:hint="default" w:ascii="Times New Roman" w:hAnsi="Times New Roman" w:eastAsia="宋体" w:cs="Times New Roman"/>
                      <w:color w:val="auto"/>
                      <w:sz w:val="21"/>
                      <w:szCs w:val="21"/>
                      <w:highlight w:val="none"/>
                      <w:lang w:val="zh-CN"/>
                    </w:rPr>
                  </w:pPr>
                  <w:r>
                    <w:rPr>
                      <w:rFonts w:hint="eastAsia" w:cs="Times New Roman"/>
                      <w:color w:val="auto"/>
                      <w:sz w:val="21"/>
                      <w:szCs w:val="21"/>
                      <w:highlight w:val="none"/>
                      <w:lang w:val="zh-CN"/>
                    </w:rPr>
                    <w:t>“</w:t>
                  </w:r>
                  <w:r>
                    <w:rPr>
                      <w:rFonts w:hint="default" w:ascii="Times New Roman" w:hAnsi="Times New Roman" w:eastAsia="宋体" w:cs="Times New Roman"/>
                      <w:color w:val="auto"/>
                      <w:sz w:val="21"/>
                      <w:szCs w:val="21"/>
                      <w:highlight w:val="none"/>
                      <w:lang w:val="zh-CN"/>
                    </w:rPr>
                    <w:t>三同时</w:t>
                  </w:r>
                  <w:r>
                    <w:rPr>
                      <w:rFonts w:hint="eastAsia" w:cs="Times New Roman"/>
                      <w:color w:val="auto"/>
                      <w:sz w:val="21"/>
                      <w:szCs w:val="21"/>
                      <w:highlight w:val="none"/>
                      <w:lang w:val="zh-CN"/>
                    </w:rPr>
                    <w:t>”</w:t>
                  </w:r>
                  <w:r>
                    <w:rPr>
                      <w:rFonts w:hint="default" w:ascii="Times New Roman" w:hAnsi="Times New Roman" w:eastAsia="宋体" w:cs="Times New Roman"/>
                      <w:color w:val="auto"/>
                      <w:sz w:val="21"/>
                      <w:szCs w:val="21"/>
                      <w:highlight w:val="none"/>
                      <w:lang w:val="zh-CN"/>
                    </w:rPr>
                    <w:t>竣工验收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1" w:type="dxa"/>
                  <w:bottom w:w="0" w:type="dxa"/>
                  <w:right w:w="11" w:type="dxa"/>
                </w:tblCellMar>
              </w:tblPrEx>
              <w:trPr>
                <w:trHeight w:val="263" w:hRule="atLeast"/>
                <w:jc w:val="center"/>
              </w:trPr>
              <w:tc>
                <w:tcPr>
                  <w:tcW w:w="1060" w:type="pct"/>
                  <w:vMerge w:val="continue"/>
                  <w:noWrap w:val="0"/>
                  <w:vAlign w:val="center"/>
                </w:tcPr>
                <w:p>
                  <w:pPr>
                    <w:spacing w:after="0"/>
                    <w:jc w:val="center"/>
                    <w:rPr>
                      <w:rFonts w:hint="default" w:ascii="Times New Roman" w:hAnsi="Times New Roman" w:eastAsia="宋体" w:cs="Times New Roman"/>
                      <w:color w:val="auto"/>
                      <w:sz w:val="21"/>
                      <w:szCs w:val="21"/>
                      <w:highlight w:val="none"/>
                      <w:lang w:val="zh-CN"/>
                    </w:rPr>
                  </w:pPr>
                </w:p>
              </w:tc>
              <w:tc>
                <w:tcPr>
                  <w:tcW w:w="877" w:type="pct"/>
                  <w:noWrap w:val="0"/>
                  <w:vAlign w:val="center"/>
                </w:tcPr>
                <w:p>
                  <w:pPr>
                    <w:spacing w:after="0"/>
                    <w:jc w:val="center"/>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审批通过时间</w:t>
                  </w:r>
                </w:p>
              </w:tc>
              <w:tc>
                <w:tcPr>
                  <w:tcW w:w="1142" w:type="pct"/>
                  <w:noWrap w:val="0"/>
                  <w:vAlign w:val="center"/>
                </w:tcPr>
                <w:p>
                  <w:pPr>
                    <w:spacing w:after="0"/>
                    <w:jc w:val="center"/>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审批部门及文号</w:t>
                  </w:r>
                </w:p>
              </w:tc>
              <w:tc>
                <w:tcPr>
                  <w:tcW w:w="861" w:type="pct"/>
                  <w:noWrap w:val="0"/>
                  <w:vAlign w:val="center"/>
                </w:tcPr>
                <w:p>
                  <w:pPr>
                    <w:spacing w:after="0"/>
                    <w:jc w:val="center"/>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验收通过时间</w:t>
                  </w:r>
                </w:p>
              </w:tc>
              <w:tc>
                <w:tcPr>
                  <w:tcW w:w="1056" w:type="pct"/>
                  <w:noWrap w:val="0"/>
                  <w:vAlign w:val="center"/>
                </w:tcPr>
                <w:p>
                  <w:pPr>
                    <w:spacing w:after="0"/>
                    <w:jc w:val="center"/>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验收部门及文号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1" w:type="dxa"/>
                  <w:bottom w:w="0" w:type="dxa"/>
                  <w:right w:w="11" w:type="dxa"/>
                </w:tblCellMar>
              </w:tblPrEx>
              <w:trPr>
                <w:trHeight w:val="1052" w:hRule="atLeast"/>
                <w:jc w:val="center"/>
              </w:trPr>
              <w:tc>
                <w:tcPr>
                  <w:tcW w:w="1060" w:type="pct"/>
                  <w:noWrap w:val="0"/>
                  <w:vAlign w:val="center"/>
                </w:tcPr>
                <w:p>
                  <w:pPr>
                    <w:spacing w:after="0"/>
                    <w:jc w:val="center"/>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饭田（长春）橡塑有限公司树脂隔音材生产线建设项目</w:t>
                  </w:r>
                </w:p>
              </w:tc>
              <w:tc>
                <w:tcPr>
                  <w:tcW w:w="877" w:type="pct"/>
                  <w:noWrap w:val="0"/>
                  <w:vAlign w:val="center"/>
                </w:tcPr>
                <w:p>
                  <w:pPr>
                    <w:spacing w:after="0"/>
                    <w:jc w:val="center"/>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201</w:t>
                  </w:r>
                  <w:r>
                    <w:rPr>
                      <w:rFonts w:hint="default" w:ascii="Times New Roman" w:hAnsi="Times New Roman" w:eastAsia="宋体" w:cs="Times New Roman"/>
                      <w:color w:val="auto"/>
                      <w:sz w:val="21"/>
                      <w:szCs w:val="21"/>
                      <w:highlight w:val="none"/>
                      <w:lang w:val="en-US" w:eastAsia="zh-CN"/>
                    </w:rPr>
                    <w:t>7</w:t>
                  </w:r>
                  <w:r>
                    <w:rPr>
                      <w:rFonts w:hint="default" w:ascii="Times New Roman" w:hAnsi="Times New Roman" w:eastAsia="宋体" w:cs="Times New Roman"/>
                      <w:color w:val="auto"/>
                      <w:sz w:val="21"/>
                      <w:szCs w:val="21"/>
                      <w:highlight w:val="none"/>
                      <w:lang w:val="zh-CN"/>
                    </w:rPr>
                    <w:t>年</w:t>
                  </w:r>
                  <w:r>
                    <w:rPr>
                      <w:rFonts w:hint="default"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lang w:val="zh-CN"/>
                    </w:rPr>
                    <w:t>月2</w:t>
                  </w:r>
                  <w:r>
                    <w:rPr>
                      <w:rFonts w:hint="default" w:ascii="Times New Roman" w:hAnsi="Times New Roman" w:eastAsia="宋体" w:cs="Times New Roman"/>
                      <w:color w:val="auto"/>
                      <w:sz w:val="21"/>
                      <w:szCs w:val="21"/>
                      <w:highlight w:val="none"/>
                      <w:lang w:val="en-US" w:eastAsia="zh-CN"/>
                    </w:rPr>
                    <w:t>7</w:t>
                  </w:r>
                  <w:r>
                    <w:rPr>
                      <w:rFonts w:hint="default" w:ascii="Times New Roman" w:hAnsi="Times New Roman" w:eastAsia="宋体" w:cs="Times New Roman"/>
                      <w:color w:val="auto"/>
                      <w:sz w:val="21"/>
                      <w:szCs w:val="21"/>
                      <w:highlight w:val="none"/>
                      <w:lang w:val="zh-CN"/>
                    </w:rPr>
                    <w:t>日</w:t>
                  </w:r>
                </w:p>
              </w:tc>
              <w:tc>
                <w:tcPr>
                  <w:tcW w:w="1142" w:type="pct"/>
                  <w:noWrap w:val="0"/>
                  <w:vAlign w:val="center"/>
                </w:tcPr>
                <w:p>
                  <w:pPr>
                    <w:spacing w:after="0"/>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en-US" w:eastAsia="zh-CN"/>
                    </w:rPr>
                    <w:t>原长春市环境保护局经济技术开发区分局</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长经环建（表）[2017]5号</w:t>
                  </w:r>
                </w:p>
              </w:tc>
              <w:tc>
                <w:tcPr>
                  <w:tcW w:w="861" w:type="pct"/>
                  <w:noWrap w:val="0"/>
                  <w:vAlign w:val="center"/>
                </w:tcPr>
                <w:p>
                  <w:pPr>
                    <w:spacing w:after="0"/>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20</w:t>
                  </w:r>
                  <w:r>
                    <w:rPr>
                      <w:rFonts w:hint="default" w:ascii="Times New Roman" w:hAnsi="Times New Roman" w:eastAsia="宋体" w:cs="Times New Roman"/>
                      <w:color w:val="auto"/>
                      <w:sz w:val="21"/>
                      <w:szCs w:val="21"/>
                      <w:highlight w:val="none"/>
                      <w:lang w:val="en-US" w:eastAsia="zh-CN"/>
                    </w:rPr>
                    <w:t>20</w:t>
                  </w:r>
                  <w:r>
                    <w:rPr>
                      <w:rFonts w:hint="default" w:ascii="Times New Roman" w:hAnsi="Times New Roman" w:eastAsia="宋体" w:cs="Times New Roman"/>
                      <w:color w:val="auto"/>
                      <w:sz w:val="21"/>
                      <w:szCs w:val="21"/>
                      <w:highlight w:val="none"/>
                      <w:lang w:val="zh-CN" w:eastAsia="zh-CN"/>
                    </w:rPr>
                    <w:t>年</w:t>
                  </w:r>
                </w:p>
                <w:p>
                  <w:pPr>
                    <w:spacing w:after="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3月</w:t>
                  </w:r>
                </w:p>
              </w:tc>
              <w:tc>
                <w:tcPr>
                  <w:tcW w:w="1056" w:type="pct"/>
                  <w:noWrap w:val="0"/>
                  <w:vAlign w:val="center"/>
                </w:tcPr>
                <w:p>
                  <w:pPr>
                    <w:spacing w:after="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自主验收</w:t>
                  </w:r>
                </w:p>
              </w:tc>
            </w:tr>
          </w:tbl>
          <w:p>
            <w:pPr>
              <w:spacing w:after="0" w:line="240" w:lineRule="auto"/>
              <w:ind w:firstLine="480" w:firstLineChars="200"/>
              <w:rPr>
                <w:rFonts w:hint="default" w:ascii="Times New Roman" w:hAnsi="Times New Roman" w:eastAsia="宋体" w:cs="Times New Roman"/>
                <w:color w:val="auto"/>
                <w:sz w:val="24"/>
                <w:szCs w:val="24"/>
                <w:highlight w:val="none"/>
                <w:lang w:val="zh-CN"/>
              </w:rPr>
            </w:pPr>
          </w:p>
          <w:p>
            <w:pPr>
              <w:spacing w:after="0" w:line="360" w:lineRule="auto"/>
              <w:ind w:firstLine="480" w:firstLineChars="200"/>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color w:val="auto"/>
                <w:sz w:val="24"/>
                <w:szCs w:val="24"/>
                <w:highlight w:val="none"/>
                <w:lang w:val="zh-CN"/>
              </w:rPr>
              <w:t>《</w:t>
            </w:r>
            <w:r>
              <w:rPr>
                <w:rFonts w:hint="default" w:ascii="Times New Roman" w:hAnsi="Times New Roman" w:eastAsia="宋体" w:cs="Times New Roman"/>
                <w:color w:val="auto"/>
                <w:sz w:val="24"/>
                <w:szCs w:val="24"/>
                <w:highlight w:val="none"/>
              </w:rPr>
              <w:t>饭田（长春）橡塑有限公司树脂隔音材生产线建设项目环境影响报告表</w:t>
            </w:r>
            <w:r>
              <w:rPr>
                <w:rFonts w:hint="default" w:ascii="Times New Roman" w:hAnsi="Times New Roman" w:eastAsia="宋体" w:cs="Times New Roman"/>
                <w:color w:val="auto"/>
                <w:sz w:val="24"/>
                <w:szCs w:val="24"/>
                <w:highlight w:val="none"/>
                <w:lang w:val="zh-CN"/>
              </w:rPr>
              <w:t>》</w:t>
            </w:r>
            <w:r>
              <w:rPr>
                <w:rFonts w:hint="default" w:ascii="Times New Roman" w:hAnsi="Times New Roman" w:eastAsia="宋体" w:cs="Times New Roman"/>
                <w:color w:val="auto"/>
                <w:sz w:val="24"/>
                <w:szCs w:val="24"/>
                <w:highlight w:val="none"/>
              </w:rPr>
              <w:t>批复落实情况见</w:t>
            </w:r>
            <w:r>
              <w:rPr>
                <w:rFonts w:hint="eastAsia" w:cs="Times New Roman"/>
                <w:color w:val="auto"/>
                <w:sz w:val="24"/>
                <w:szCs w:val="24"/>
                <w:highlight w:val="none"/>
                <w:lang w:val="en-US" w:eastAsia="zh-CN"/>
              </w:rPr>
              <w:t>下表</w:t>
            </w:r>
            <w:r>
              <w:rPr>
                <w:rFonts w:hint="default" w:ascii="Times New Roman" w:hAnsi="Times New Roman" w:eastAsia="宋体" w:cs="Times New Roman"/>
                <w:color w:val="auto"/>
                <w:sz w:val="24"/>
                <w:szCs w:val="24"/>
                <w:highlight w:val="none"/>
              </w:rPr>
              <w:t>。</w:t>
            </w:r>
          </w:p>
          <w:p>
            <w:pPr>
              <w:spacing w:after="0"/>
              <w:jc w:val="center"/>
              <w:rPr>
                <w:rFonts w:hint="default" w:ascii="Times New Roman" w:hAnsi="Times New Roman" w:eastAsia="宋体" w:cs="Times New Roman"/>
                <w:b/>
                <w:bCs w:val="0"/>
                <w:color w:val="auto"/>
                <w:sz w:val="24"/>
                <w:szCs w:val="24"/>
                <w:highlight w:val="none"/>
              </w:rPr>
            </w:pPr>
            <w:r>
              <w:rPr>
                <w:rFonts w:hint="default" w:ascii="Times New Roman" w:hAnsi="Times New Roman" w:eastAsia="宋体" w:cs="Times New Roman"/>
                <w:b/>
                <w:bCs w:val="0"/>
                <w:color w:val="auto"/>
                <w:sz w:val="24"/>
                <w:szCs w:val="24"/>
                <w:highlight w:val="none"/>
              </w:rPr>
              <w:t>表</w:t>
            </w:r>
            <w:r>
              <w:rPr>
                <w:rFonts w:hint="default" w:ascii="Times New Roman" w:hAnsi="Times New Roman" w:eastAsia="宋体" w:cs="Times New Roman"/>
                <w:b/>
                <w:bCs w:val="0"/>
                <w:color w:val="auto"/>
                <w:sz w:val="24"/>
                <w:szCs w:val="24"/>
                <w:highlight w:val="none"/>
                <w:lang w:val="en-US" w:eastAsia="zh-CN"/>
              </w:rPr>
              <w:t>2</w:t>
            </w:r>
            <w:r>
              <w:rPr>
                <w:rFonts w:hint="eastAsia" w:cs="Times New Roman"/>
                <w:b/>
                <w:bCs w:val="0"/>
                <w:color w:val="auto"/>
                <w:sz w:val="24"/>
                <w:szCs w:val="24"/>
                <w:highlight w:val="none"/>
                <w:lang w:val="en-US" w:eastAsia="zh-CN"/>
              </w:rPr>
              <w:t>-12</w:t>
            </w:r>
            <w:r>
              <w:rPr>
                <w:rFonts w:hint="default" w:ascii="Times New Roman" w:hAnsi="Times New Roman" w:eastAsia="宋体" w:cs="Times New Roman"/>
                <w:b/>
                <w:bCs w:val="0"/>
                <w:color w:val="auto"/>
                <w:sz w:val="24"/>
                <w:szCs w:val="24"/>
                <w:highlight w:val="none"/>
              </w:rPr>
              <w:t xml:space="preserve">  </w:t>
            </w:r>
            <w:r>
              <w:rPr>
                <w:rFonts w:hint="default" w:ascii="Times New Roman" w:hAnsi="Times New Roman" w:eastAsia="宋体" w:cs="Times New Roman"/>
                <w:b/>
                <w:bCs w:val="0"/>
                <w:color w:val="auto"/>
                <w:sz w:val="24"/>
                <w:szCs w:val="24"/>
                <w:highlight w:val="none"/>
                <w:lang w:val="zh-CN"/>
              </w:rPr>
              <w:t>《</w:t>
            </w:r>
            <w:r>
              <w:rPr>
                <w:rFonts w:hint="default" w:ascii="Times New Roman" w:hAnsi="Times New Roman" w:eastAsia="宋体" w:cs="Times New Roman"/>
                <w:b/>
                <w:bCs w:val="0"/>
                <w:color w:val="auto"/>
                <w:sz w:val="24"/>
                <w:szCs w:val="24"/>
                <w:highlight w:val="none"/>
              </w:rPr>
              <w:t>饭田（长春）橡塑有限公司树脂隔音材生产线建设项目环境影响报告表</w:t>
            </w:r>
            <w:r>
              <w:rPr>
                <w:rFonts w:hint="default" w:ascii="Times New Roman" w:hAnsi="Times New Roman" w:eastAsia="宋体" w:cs="Times New Roman"/>
                <w:b/>
                <w:bCs w:val="0"/>
                <w:color w:val="auto"/>
                <w:sz w:val="24"/>
                <w:szCs w:val="24"/>
                <w:highlight w:val="none"/>
                <w:lang w:val="zh-CN"/>
              </w:rPr>
              <w:t>》</w:t>
            </w:r>
            <w:r>
              <w:rPr>
                <w:rFonts w:hint="default" w:ascii="Times New Roman" w:hAnsi="Times New Roman" w:eastAsia="宋体" w:cs="Times New Roman"/>
                <w:b/>
                <w:bCs w:val="0"/>
                <w:color w:val="auto"/>
                <w:sz w:val="24"/>
                <w:szCs w:val="24"/>
                <w:highlight w:val="none"/>
              </w:rPr>
              <w:t>环评批复及落实情况一览表</w:t>
            </w:r>
          </w:p>
          <w:tbl>
            <w:tblPr>
              <w:tblStyle w:val="30"/>
              <w:tblW w:w="809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0"/>
              <w:gridCol w:w="3331"/>
              <w:gridCol w:w="43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60" w:type="dxa"/>
                  <w:noWrap w:val="0"/>
                  <w:vAlign w:val="center"/>
                </w:tcPr>
                <w:p>
                  <w:pPr>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项目</w:t>
                  </w:r>
                </w:p>
              </w:tc>
              <w:tc>
                <w:tcPr>
                  <w:tcW w:w="3331" w:type="dxa"/>
                  <w:noWrap w:val="0"/>
                  <w:vAlign w:val="center"/>
                </w:tcPr>
                <w:p>
                  <w:pPr>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长</w:t>
                  </w:r>
                  <w:r>
                    <w:rPr>
                      <w:rFonts w:hint="default" w:ascii="Times New Roman" w:hAnsi="Times New Roman" w:eastAsia="宋体" w:cs="Times New Roman"/>
                      <w:color w:val="auto"/>
                      <w:sz w:val="21"/>
                      <w:szCs w:val="21"/>
                      <w:highlight w:val="none"/>
                      <w:lang w:eastAsia="zh-CN"/>
                    </w:rPr>
                    <w:t>经</w:t>
                  </w:r>
                  <w:r>
                    <w:rPr>
                      <w:rFonts w:hint="default" w:ascii="Times New Roman" w:hAnsi="Times New Roman" w:eastAsia="宋体" w:cs="Times New Roman"/>
                      <w:color w:val="auto"/>
                      <w:sz w:val="21"/>
                      <w:szCs w:val="21"/>
                      <w:highlight w:val="none"/>
                    </w:rPr>
                    <w:t>环建（表）[201</w:t>
                  </w:r>
                  <w:r>
                    <w:rPr>
                      <w:rFonts w:hint="default" w:ascii="Times New Roman" w:hAnsi="Times New Roman" w:eastAsia="宋体" w:cs="Times New Roman"/>
                      <w:color w:val="auto"/>
                      <w:sz w:val="21"/>
                      <w:szCs w:val="21"/>
                      <w:highlight w:val="none"/>
                      <w:lang w:val="en-US" w:eastAsia="zh-CN"/>
                    </w:rPr>
                    <w:t>7</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rPr>
                    <w:t>号</w:t>
                  </w:r>
                </w:p>
              </w:tc>
              <w:tc>
                <w:tcPr>
                  <w:tcW w:w="4308" w:type="dxa"/>
                  <w:noWrap w:val="0"/>
                  <w:vAlign w:val="center"/>
                </w:tcPr>
                <w:p>
                  <w:pPr>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460" w:type="dxa"/>
                  <w:noWrap w:val="0"/>
                  <w:vAlign w:val="center"/>
                </w:tcPr>
                <w:p>
                  <w:pPr>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3331" w:type="dxa"/>
                  <w:noWrap w:val="0"/>
                  <w:vAlign w:val="center"/>
                </w:tcPr>
                <w:p>
                  <w:pPr>
                    <w:spacing w:after="0"/>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zh-CN"/>
                    </w:rPr>
                    <w:t>项目排放废水主要为职工生活污水、地面清洁废水和定期外排的冷却水，执行</w:t>
                  </w:r>
                  <w:r>
                    <w:rPr>
                      <w:rFonts w:hint="default" w:ascii="Times New Roman" w:hAnsi="Times New Roman" w:eastAsia="宋体" w:cs="Times New Roman"/>
                      <w:color w:val="auto"/>
                      <w:sz w:val="21"/>
                      <w:szCs w:val="21"/>
                      <w:highlight w:val="none"/>
                      <w:lang w:val="zh-CN" w:eastAsia="zh-CN"/>
                    </w:rPr>
                    <w:t>G</w:t>
                  </w:r>
                  <w:r>
                    <w:rPr>
                      <w:rFonts w:hint="default" w:ascii="Times New Roman" w:hAnsi="Times New Roman" w:eastAsia="宋体" w:cs="Times New Roman"/>
                      <w:color w:val="auto"/>
                      <w:sz w:val="21"/>
                      <w:szCs w:val="21"/>
                      <w:highlight w:val="none"/>
                      <w:lang w:val="zh-CN"/>
                    </w:rPr>
                    <w:t>B8978-1996《污水综合排放标准》中三级标准，排入市政下水管网。</w:t>
                  </w:r>
                </w:p>
              </w:tc>
              <w:tc>
                <w:tcPr>
                  <w:tcW w:w="4308" w:type="dxa"/>
                  <w:noWrap w:val="0"/>
                  <w:vAlign w:val="center"/>
                </w:tcPr>
                <w:p>
                  <w:pPr>
                    <w:spacing w:after="0"/>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已落实。</w:t>
                  </w:r>
                </w:p>
                <w:p>
                  <w:pPr>
                    <w:spacing w:after="0"/>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zh-CN"/>
                    </w:rPr>
                    <w:t>根据</w:t>
                  </w:r>
                  <w:r>
                    <w:rPr>
                      <w:rFonts w:hint="default" w:ascii="Times New Roman" w:hAnsi="Times New Roman" w:eastAsia="宋体" w:cs="Times New Roman"/>
                      <w:color w:val="auto"/>
                      <w:sz w:val="21"/>
                      <w:szCs w:val="21"/>
                      <w:highlight w:val="none"/>
                      <w:lang w:val="en-US" w:eastAsia="zh-CN"/>
                    </w:rPr>
                    <w:t>验收</w:t>
                  </w:r>
                  <w:r>
                    <w:rPr>
                      <w:rFonts w:hint="default" w:ascii="Times New Roman" w:hAnsi="Times New Roman" w:eastAsia="宋体" w:cs="Times New Roman"/>
                      <w:color w:val="auto"/>
                      <w:sz w:val="21"/>
                      <w:szCs w:val="21"/>
                      <w:highlight w:val="none"/>
                      <w:lang w:val="zh-CN"/>
                    </w:rPr>
                    <w:t>监测，</w:t>
                  </w:r>
                  <w:r>
                    <w:rPr>
                      <w:rFonts w:hint="default" w:ascii="Times New Roman" w:hAnsi="Times New Roman" w:eastAsia="宋体" w:cs="Times New Roman"/>
                      <w:color w:val="auto"/>
                      <w:sz w:val="21"/>
                      <w:szCs w:val="21"/>
                      <w:highlight w:val="none"/>
                      <w:lang w:val="en-US" w:eastAsia="zh-CN"/>
                    </w:rPr>
                    <w:t>二厂</w:t>
                  </w:r>
                  <w:r>
                    <w:rPr>
                      <w:rFonts w:hint="default" w:ascii="Times New Roman" w:hAnsi="Times New Roman" w:eastAsia="宋体" w:cs="Times New Roman"/>
                      <w:color w:val="auto"/>
                      <w:sz w:val="21"/>
                      <w:szCs w:val="21"/>
                      <w:highlight w:val="none"/>
                      <w:lang w:val="zh-CN"/>
                    </w:rPr>
                    <w:t>废水排放浓度满足</w:t>
                  </w:r>
                  <w:r>
                    <w:rPr>
                      <w:rFonts w:hint="default" w:ascii="Times New Roman" w:hAnsi="Times New Roman" w:eastAsia="宋体" w:cs="Times New Roman"/>
                      <w:color w:val="auto"/>
                      <w:sz w:val="21"/>
                      <w:szCs w:val="21"/>
                      <w:highlight w:val="none"/>
                      <w:lang w:val="zh-CN" w:eastAsia="zh-CN"/>
                    </w:rPr>
                    <w:t>G</w:t>
                  </w:r>
                  <w:r>
                    <w:rPr>
                      <w:rFonts w:hint="default" w:ascii="Times New Roman" w:hAnsi="Times New Roman" w:eastAsia="宋体" w:cs="Times New Roman"/>
                      <w:color w:val="auto"/>
                      <w:sz w:val="21"/>
                      <w:szCs w:val="21"/>
                      <w:highlight w:val="none"/>
                      <w:lang w:val="zh-CN"/>
                    </w:rPr>
                    <w:t>B8978-1996《污水综合排放标准》中三级标准，排入市政下水管网，实际不产生地面清洁废水及冷却水。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58" w:hRule="atLeast"/>
                <w:jc w:val="center"/>
              </w:trPr>
              <w:tc>
                <w:tcPr>
                  <w:tcW w:w="460" w:type="dxa"/>
                  <w:noWrap w:val="0"/>
                  <w:vAlign w:val="center"/>
                </w:tcPr>
                <w:p>
                  <w:pPr>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w:t>
                  </w:r>
                </w:p>
              </w:tc>
              <w:tc>
                <w:tcPr>
                  <w:tcW w:w="3331" w:type="dxa"/>
                  <w:noWrap w:val="0"/>
                  <w:vAlign w:val="center"/>
                </w:tcPr>
                <w:p>
                  <w:pPr>
                    <w:spacing w:after="0"/>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注塑工艺产生的</w:t>
                  </w:r>
                  <w:r>
                    <w:rPr>
                      <w:rFonts w:hint="default" w:ascii="Times New Roman" w:hAnsi="Times New Roman" w:eastAsia="宋体" w:cs="Times New Roman"/>
                      <w:color w:val="auto"/>
                      <w:sz w:val="21"/>
                      <w:szCs w:val="21"/>
                      <w:highlight w:val="none"/>
                      <w:lang w:eastAsia="zh-CN"/>
                    </w:rPr>
                    <w:t>非甲烷总烃</w:t>
                  </w:r>
                  <w:r>
                    <w:rPr>
                      <w:rFonts w:hint="default" w:ascii="Times New Roman" w:hAnsi="Times New Roman" w:eastAsia="宋体" w:cs="Times New Roman"/>
                      <w:color w:val="auto"/>
                      <w:sz w:val="21"/>
                      <w:szCs w:val="21"/>
                      <w:highlight w:val="none"/>
                    </w:rPr>
                    <w:t>集中收集，通过15米高排气简排放</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破碎工序产生的粉尘经布袋除尘器处理后，通过15米高排气简排放。执行</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大气污染物综合排放标准</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GB16297 1996</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新污染源排放限值。</w:t>
                  </w:r>
                </w:p>
              </w:tc>
              <w:tc>
                <w:tcPr>
                  <w:tcW w:w="4308" w:type="dxa"/>
                  <w:noWrap w:val="0"/>
                  <w:vAlign w:val="center"/>
                </w:tcPr>
                <w:p>
                  <w:pPr>
                    <w:pStyle w:val="18"/>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已落实。</w:t>
                  </w:r>
                </w:p>
                <w:p>
                  <w:pPr>
                    <w:pStyle w:val="18"/>
                    <w:jc w:val="both"/>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注塑</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模具清洗</w:t>
                  </w:r>
                  <w:r>
                    <w:rPr>
                      <w:rFonts w:hint="default" w:ascii="Times New Roman" w:hAnsi="Times New Roman" w:eastAsia="宋体" w:cs="Times New Roman"/>
                      <w:color w:val="auto"/>
                      <w:sz w:val="21"/>
                      <w:szCs w:val="21"/>
                      <w:highlight w:val="none"/>
                    </w:rPr>
                    <w:t>工艺产生的</w:t>
                  </w:r>
                  <w:r>
                    <w:rPr>
                      <w:rFonts w:hint="default" w:ascii="Times New Roman" w:hAnsi="Times New Roman" w:eastAsia="宋体" w:cs="Times New Roman"/>
                      <w:color w:val="auto"/>
                      <w:sz w:val="21"/>
                      <w:szCs w:val="21"/>
                      <w:highlight w:val="none"/>
                      <w:lang w:eastAsia="zh-CN"/>
                    </w:rPr>
                    <w:t>非甲烷总烃</w:t>
                  </w:r>
                  <w:r>
                    <w:rPr>
                      <w:rFonts w:hint="default" w:ascii="Times New Roman" w:hAnsi="Times New Roman" w:eastAsia="宋体" w:cs="Times New Roman"/>
                      <w:color w:val="auto"/>
                      <w:sz w:val="21"/>
                      <w:szCs w:val="21"/>
                      <w:highlight w:val="none"/>
                    </w:rPr>
                    <w:t>集中收集，通过15米高排气简排放</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根据验收监测结果可知有组织排放的非甲烷总烃浓度能够满足《合成树脂工业污染物排放标准》（GB31572-2015）标准限值要求</w:t>
                  </w:r>
                  <w:r>
                    <w:rPr>
                      <w:rFonts w:hint="default" w:ascii="Times New Roman" w:hAnsi="Times New Roman" w:eastAsia="宋体" w:cs="Times New Roman"/>
                      <w:color w:val="auto"/>
                      <w:sz w:val="21"/>
                      <w:szCs w:val="21"/>
                      <w:highlight w:val="none"/>
                      <w:lang w:eastAsia="zh-CN"/>
                    </w:rPr>
                    <w:t>；破碎工艺产生的粉尘在密闭设备中循环破碎后，由旋风除尘器收集，实际无废气排放。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21" w:hRule="atLeast"/>
                <w:jc w:val="center"/>
              </w:trPr>
              <w:tc>
                <w:tcPr>
                  <w:tcW w:w="460" w:type="dxa"/>
                  <w:noWrap w:val="0"/>
                  <w:vAlign w:val="center"/>
                </w:tcPr>
                <w:p>
                  <w:pPr>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w:t>
                  </w:r>
                </w:p>
              </w:tc>
              <w:tc>
                <w:tcPr>
                  <w:tcW w:w="3331" w:type="dxa"/>
                  <w:noWrap w:val="0"/>
                  <w:vAlign w:val="center"/>
                </w:tcPr>
                <w:p>
                  <w:pPr>
                    <w:spacing w:after="0"/>
                    <w:jc w:val="both"/>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车间内合理布局，选用低噪声设备，采取减振、隔声、吸声处理等措施、确保厂界噪声满足GB12348-2008《工业企业厂界环境噪声排放标准》中3类区标准要求。</w:t>
                  </w:r>
                </w:p>
                <w:p>
                  <w:pPr>
                    <w:pStyle w:val="2"/>
                    <w:rPr>
                      <w:rFonts w:hint="eastAsia"/>
                      <w:color w:val="auto"/>
                      <w:highlight w:val="none"/>
                      <w:lang w:eastAsia="zh-CN"/>
                    </w:rPr>
                  </w:pPr>
                </w:p>
              </w:tc>
              <w:tc>
                <w:tcPr>
                  <w:tcW w:w="4308" w:type="dxa"/>
                  <w:noWrap w:val="0"/>
                  <w:vAlign w:val="center"/>
                </w:tcPr>
                <w:p>
                  <w:pPr>
                    <w:pStyle w:val="18"/>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已落实。</w:t>
                  </w:r>
                </w:p>
                <w:p>
                  <w:pPr>
                    <w:pStyle w:val="18"/>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车间内布局合理，选用低噪声设备，采取减振、隔声、吸声处理等措施</w:t>
                  </w:r>
                  <w:r>
                    <w:rPr>
                      <w:rFonts w:hint="default" w:ascii="Times New Roman" w:hAnsi="Times New Roman" w:eastAsia="宋体" w:cs="Times New Roman"/>
                      <w:color w:val="auto"/>
                      <w:sz w:val="21"/>
                      <w:szCs w:val="21"/>
                      <w:highlight w:val="none"/>
                      <w:lang w:eastAsia="zh-CN"/>
                    </w:rPr>
                    <w:t>后</w:t>
                  </w:r>
                  <w:r>
                    <w:rPr>
                      <w:rFonts w:hint="default" w:ascii="Times New Roman" w:hAnsi="Times New Roman" w:eastAsia="宋体" w:cs="Times New Roman"/>
                      <w:color w:val="auto"/>
                      <w:sz w:val="21"/>
                      <w:szCs w:val="21"/>
                      <w:highlight w:val="none"/>
                    </w:rPr>
                    <w:t>，</w:t>
                  </w:r>
                  <w:r>
                    <w:rPr>
                      <w:rFonts w:hint="default" w:ascii="Times New Roman" w:hAnsi="Times New Roman" w:cs="Times New Roman"/>
                      <w:color w:val="auto"/>
                      <w:sz w:val="21"/>
                      <w:szCs w:val="21"/>
                      <w:highlight w:val="none"/>
                    </w:rPr>
                    <w:t>根据验收监测结果可知本项目</w:t>
                  </w:r>
                  <w:r>
                    <w:rPr>
                      <w:rFonts w:hint="default" w:ascii="Times New Roman" w:hAnsi="Times New Roman" w:eastAsia="宋体" w:cs="Times New Roman"/>
                      <w:color w:val="auto"/>
                      <w:sz w:val="21"/>
                      <w:szCs w:val="21"/>
                      <w:highlight w:val="none"/>
                    </w:rPr>
                    <w:t>厂界噪声满足GB12348-2008《工业企业厂界环境噪声排放标准》中</w:t>
                  </w:r>
                  <w:r>
                    <w:rPr>
                      <w:rFonts w:hint="default" w:ascii="Times New Roman" w:hAnsi="Times New Roman" w:eastAsia="宋体"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rPr>
                    <w:t>类区标准要求。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460" w:type="dxa"/>
                  <w:noWrap w:val="0"/>
                  <w:vAlign w:val="center"/>
                </w:tcPr>
                <w:p>
                  <w:pPr>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w:t>
                  </w:r>
                </w:p>
              </w:tc>
              <w:tc>
                <w:tcPr>
                  <w:tcW w:w="3331" w:type="dxa"/>
                  <w:noWrap w:val="0"/>
                  <w:vAlign w:val="center"/>
                </w:tcPr>
                <w:p>
                  <w:pPr>
                    <w:spacing w:after="0"/>
                    <w:jc w:val="both"/>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固体废物分类处理，避免二次污染。危险废物必须妥善收集，设置危险废物专用贮存场所单独存放，设立警示标识，委托有资质的危险废物处理单位进行处理。</w:t>
                  </w:r>
                </w:p>
                <w:p>
                  <w:pPr>
                    <w:pStyle w:val="2"/>
                    <w:rPr>
                      <w:rFonts w:hint="eastAsia"/>
                      <w:color w:val="auto"/>
                      <w:highlight w:val="none"/>
                      <w:lang w:eastAsia="zh-CN"/>
                    </w:rPr>
                  </w:pPr>
                </w:p>
              </w:tc>
              <w:tc>
                <w:tcPr>
                  <w:tcW w:w="4308" w:type="dxa"/>
                  <w:noWrap w:val="0"/>
                  <w:vAlign w:val="center"/>
                </w:tcPr>
                <w:p>
                  <w:pPr>
                    <w:pStyle w:val="18"/>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已落实。</w:t>
                  </w:r>
                </w:p>
                <w:p>
                  <w:pPr>
                    <w:pStyle w:val="18"/>
                    <w:jc w:val="both"/>
                    <w:rPr>
                      <w:rFonts w:hint="default" w:ascii="Times New Roman" w:hAnsi="Times New Roman" w:eastAsia="宋体" w:cs="Times New Roman"/>
                      <w:color w:val="auto"/>
                      <w:sz w:val="21"/>
                      <w:szCs w:val="21"/>
                      <w:highlight w:val="none"/>
                      <w:lang w:val="en-US"/>
                    </w:rPr>
                  </w:pPr>
                  <w:r>
                    <w:rPr>
                      <w:rFonts w:hint="default" w:ascii="Times New Roman" w:hAnsi="Times New Roman" w:eastAsia="宋体" w:cs="Times New Roman"/>
                      <w:color w:val="auto"/>
                      <w:sz w:val="21"/>
                      <w:szCs w:val="21"/>
                      <w:highlight w:val="none"/>
                      <w:lang w:eastAsia="zh-CN"/>
                    </w:rPr>
                    <w:t>固体废物已分类处理，危险废物已妥善收集，设置危险废物专用贮存场所单独存放，设立警示标识，委托吉林省蓝天固废处理中心有限公司进行处理。</w:t>
                  </w:r>
                  <w:r>
                    <w:rPr>
                      <w:rFonts w:hint="default" w:ascii="Times New Roman" w:hAnsi="Times New Roman" w:eastAsia="宋体" w:cs="Times New Roman"/>
                      <w:color w:val="auto"/>
                      <w:sz w:val="21"/>
                      <w:szCs w:val="21"/>
                      <w:highlight w:val="none"/>
                      <w:lang w:val="en-US" w:eastAsia="zh-CN"/>
                    </w:rPr>
                    <w:t>生活垃圾由环卫部门清运。</w:t>
                  </w:r>
                </w:p>
              </w:tc>
            </w:tr>
          </w:tbl>
          <w:p>
            <w:pPr>
              <w:adjustRightInd/>
              <w:snapToGrid/>
              <w:spacing w:after="0" w:line="240" w:lineRule="auto"/>
              <w:ind w:firstLine="480" w:firstLineChars="200"/>
              <w:jc w:val="both"/>
              <w:rPr>
                <w:rFonts w:hint="default" w:ascii="Times New Roman" w:hAnsi="Times New Roman" w:eastAsia="宋体" w:cs="Times New Roman"/>
                <w:color w:val="auto"/>
                <w:sz w:val="24"/>
                <w:szCs w:val="24"/>
                <w:highlight w:val="none"/>
                <w:lang w:val="en-US" w:eastAsia="zh-CN"/>
              </w:rPr>
            </w:pPr>
          </w:p>
          <w:p>
            <w:pPr>
              <w:adjustRightInd/>
              <w:snapToGrid/>
              <w:spacing w:after="0" w:line="360" w:lineRule="auto"/>
              <w:ind w:firstLine="482" w:firstLineChars="200"/>
              <w:jc w:val="both"/>
              <w:rPr>
                <w:rFonts w:hint="default" w:ascii="Times New Roman" w:hAnsi="Times New Roman" w:eastAsia="宋体" w:cs="Times New Roman"/>
                <w:b/>
                <w:bCs/>
                <w:color w:val="auto"/>
                <w:kern w:val="0"/>
                <w:sz w:val="24"/>
                <w:szCs w:val="24"/>
                <w:highlight w:val="none"/>
                <w:lang w:val="en-US" w:eastAsia="zh-CN" w:bidi="ar-SA"/>
              </w:rPr>
            </w:pPr>
            <w:r>
              <w:rPr>
                <w:rFonts w:hint="eastAsia" w:ascii="Times New Roman" w:hAnsi="Times New Roman" w:eastAsia="宋体" w:cs="Times New Roman"/>
                <w:b/>
                <w:bCs/>
                <w:color w:val="auto"/>
                <w:kern w:val="0"/>
                <w:sz w:val="24"/>
                <w:szCs w:val="24"/>
                <w:highlight w:val="none"/>
                <w:lang w:val="en-US" w:eastAsia="zh-CN" w:bidi="ar-SA"/>
              </w:rPr>
              <w:t>9、</w:t>
            </w:r>
            <w:r>
              <w:rPr>
                <w:rFonts w:hint="default" w:ascii="Times New Roman" w:hAnsi="Times New Roman" w:eastAsia="宋体" w:cs="Times New Roman"/>
                <w:b/>
                <w:bCs/>
                <w:color w:val="auto"/>
                <w:kern w:val="0"/>
                <w:sz w:val="24"/>
                <w:szCs w:val="24"/>
                <w:highlight w:val="none"/>
                <w:lang w:val="en-US" w:eastAsia="zh-CN" w:bidi="ar-SA"/>
              </w:rPr>
              <w:t>现存环境问题及及整改建议</w:t>
            </w:r>
          </w:p>
          <w:p>
            <w:pPr>
              <w:adjustRightInd/>
              <w:snapToGrid/>
              <w:spacing w:after="0" w:line="360" w:lineRule="auto"/>
              <w:ind w:firstLine="480" w:firstLineChars="200"/>
              <w:jc w:val="both"/>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现</w:t>
            </w:r>
            <w:r>
              <w:rPr>
                <w:rFonts w:hint="default" w:ascii="Times New Roman" w:hAnsi="Times New Roman" w:eastAsia="宋体" w:cs="Times New Roman"/>
                <w:color w:val="auto"/>
                <w:sz w:val="24"/>
                <w:highlight w:val="none"/>
                <w:lang w:val="en-US" w:eastAsia="zh-CN"/>
              </w:rPr>
              <w:t>有机废气未设置集气装置及挥发性有机废气污染治理措施，不符合</w:t>
            </w:r>
            <w:r>
              <w:rPr>
                <w:rFonts w:hint="default" w:ascii="Times New Roman" w:hAnsi="Times New Roman" w:cs="Times New Roman"/>
                <w:i w:val="0"/>
                <w:iCs w:val="0"/>
                <w:color w:val="auto"/>
                <w:sz w:val="24"/>
                <w:highlight w:val="none"/>
                <w:u w:val="none"/>
                <w:shd w:val="clear" w:color="auto" w:fill="auto"/>
                <w:lang w:val="en-US" w:eastAsia="zh-CN"/>
              </w:rPr>
              <w:t>《长春市挥发性有机物污染防治工作实施方案》及《挥发性有机物无组织排放控制标准》（GB37822-2019）相关要求，现厂区已停产，本次环评要求在恢复生产前，对厂区有机废气加装活性炭吸附装置，整改完成后方可运行即</w:t>
            </w:r>
            <w:r>
              <w:rPr>
                <w:rFonts w:hint="default" w:ascii="Times New Roman" w:hAnsi="Times New Roman" w:eastAsia="宋体" w:cs="Times New Roman"/>
                <w:color w:val="auto"/>
                <w:sz w:val="24"/>
                <w:highlight w:val="none"/>
                <w:lang w:val="en-US" w:eastAsia="zh-CN"/>
              </w:rPr>
              <w:t>注塑废气、模具清洗废气经集气装置收集，</w:t>
            </w:r>
            <w:r>
              <w:rPr>
                <w:rFonts w:hint="eastAsia" w:ascii="Times New Roman" w:hAnsi="Times New Roman" w:eastAsia="宋体" w:cs="Times New Roman"/>
                <w:color w:val="auto"/>
                <w:sz w:val="24"/>
                <w:szCs w:val="24"/>
                <w:highlight w:val="none"/>
                <w:lang w:val="en-US" w:eastAsia="zh-CN"/>
              </w:rPr>
              <w:t>现</w:t>
            </w:r>
            <w:r>
              <w:rPr>
                <w:rFonts w:hint="default" w:ascii="Times New Roman" w:hAnsi="Times New Roman" w:eastAsia="宋体" w:cs="Times New Roman"/>
                <w:color w:val="auto"/>
                <w:sz w:val="24"/>
                <w:szCs w:val="24"/>
                <w:highlight w:val="none"/>
                <w:lang w:val="en-US" w:eastAsia="zh-CN"/>
              </w:rPr>
              <w:t>拟整改安装</w:t>
            </w:r>
            <w:r>
              <w:rPr>
                <w:rFonts w:hint="eastAsia"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活性炭吸附装置</w:t>
            </w:r>
            <w:r>
              <w:rPr>
                <w:rFonts w:hint="eastAsia"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对有机废气进行治理，（净化效率90%），污染治理措施安装后，有组织排放浓度为0.26</w:t>
            </w:r>
            <w:r>
              <w:rPr>
                <w:rFonts w:hint="default" w:ascii="Times New Roman" w:hAnsi="Times New Roman" w:eastAsia="宋体" w:cs="Times New Roman"/>
                <w:color w:val="auto"/>
                <w:sz w:val="24"/>
                <w:szCs w:val="24"/>
                <w:highlight w:val="none"/>
              </w:rPr>
              <w:t>mg/m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最大</w:t>
            </w:r>
            <w:r>
              <w:rPr>
                <w:rFonts w:hint="default" w:ascii="Times New Roman" w:hAnsi="Times New Roman" w:eastAsia="宋体" w:cs="Times New Roman"/>
                <w:color w:val="auto"/>
                <w:sz w:val="24"/>
                <w:szCs w:val="24"/>
                <w:highlight w:val="none"/>
                <w:lang w:eastAsia="zh-CN"/>
              </w:rPr>
              <w:t>排放速率为</w:t>
            </w:r>
            <w:r>
              <w:rPr>
                <w:rFonts w:hint="default" w:ascii="Times New Roman" w:hAnsi="Times New Roman" w:eastAsia="宋体" w:cs="Times New Roman"/>
                <w:color w:val="auto"/>
                <w:sz w:val="24"/>
                <w:szCs w:val="24"/>
                <w:highlight w:val="none"/>
                <w:lang w:val="en-US" w:eastAsia="zh-CN"/>
              </w:rPr>
              <w:t>0.0029kg</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h（0.0058t/a）。</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jc w:val="both"/>
              <w:textAlignment w:val="auto"/>
              <w:rPr>
                <w:rFonts w:hint="default" w:ascii="Times New Roman" w:hAnsi="Times New Roman" w:eastAsia="宋体" w:cs="Times New Roman"/>
                <w:i w:val="0"/>
                <w:iCs w:val="0"/>
                <w:color w:val="auto"/>
                <w:highlight w:val="none"/>
                <w:u w:val="none"/>
                <w:lang w:val="en-US" w:eastAsia="zh-CN"/>
              </w:rPr>
            </w:pPr>
            <w:r>
              <w:rPr>
                <w:rFonts w:hint="default" w:ascii="Times New Roman" w:hAnsi="Times New Roman" w:eastAsia="宋体" w:cs="Times New Roman"/>
                <w:color w:val="auto"/>
                <w:sz w:val="24"/>
                <w:highlight w:val="none"/>
                <w:lang w:val="en-US" w:eastAsia="zh-CN"/>
              </w:rPr>
              <w:t>NMHC排放浓度可满足《合成树脂工业污染物排放标准》（GB31572-2015）相应标准后通过15m高排气筒排放。</w:t>
            </w:r>
          </w:p>
          <w:p>
            <w:pPr>
              <w:adjustRightInd/>
              <w:snapToGrid/>
              <w:spacing w:after="0" w:line="360" w:lineRule="auto"/>
              <w:ind w:firstLine="482" w:firstLineChars="200"/>
              <w:jc w:val="both"/>
              <w:rPr>
                <w:rFonts w:hint="default" w:ascii="Times New Roman" w:hAnsi="Times New Roman" w:eastAsia="宋体" w:cs="Times New Roman"/>
                <w:b/>
                <w:bCs/>
                <w:color w:val="auto"/>
                <w:kern w:val="0"/>
                <w:sz w:val="24"/>
                <w:szCs w:val="24"/>
                <w:highlight w:val="none"/>
                <w:lang w:val="en-US" w:eastAsia="zh-CN" w:bidi="ar-SA"/>
              </w:rPr>
            </w:pPr>
            <w:r>
              <w:rPr>
                <w:rFonts w:hint="eastAsia" w:ascii="Times New Roman" w:hAnsi="Times New Roman" w:eastAsia="宋体" w:cs="Times New Roman"/>
                <w:b/>
                <w:bCs/>
                <w:color w:val="auto"/>
                <w:kern w:val="0"/>
                <w:sz w:val="24"/>
                <w:szCs w:val="24"/>
                <w:highlight w:val="none"/>
                <w:lang w:val="en-US" w:eastAsia="zh-CN" w:bidi="ar-SA"/>
              </w:rPr>
              <w:t>10、</w:t>
            </w:r>
            <w:r>
              <w:rPr>
                <w:rFonts w:hint="default" w:ascii="Times New Roman" w:hAnsi="Times New Roman" w:eastAsia="宋体" w:cs="Times New Roman"/>
                <w:b/>
                <w:bCs/>
                <w:color w:val="auto"/>
                <w:kern w:val="0"/>
                <w:sz w:val="24"/>
                <w:szCs w:val="24"/>
                <w:highlight w:val="none"/>
                <w:lang w:val="en-US" w:eastAsia="zh-CN" w:bidi="ar-SA"/>
              </w:rPr>
              <w:t xml:space="preserve"> 现有工程排污许可证申请落实情况</w:t>
            </w:r>
          </w:p>
          <w:p>
            <w:pPr>
              <w:pStyle w:val="97"/>
              <w:pageBreakBefore w:val="0"/>
              <w:widowControl w:val="0"/>
              <w:kinsoku/>
              <w:wordWrap/>
              <w:overflowPunct/>
              <w:topLinePunct w:val="0"/>
              <w:autoSpaceDE/>
              <w:autoSpaceDN/>
              <w:bidi w:val="0"/>
              <w:adjustRightInd w:val="0"/>
              <w:snapToGrid w:val="0"/>
              <w:ind w:right="0"/>
              <w:textAlignment w:val="auto"/>
              <w:rPr>
                <w:rFonts w:hint="default" w:ascii="Times New Roman" w:hAnsi="Times New Roman" w:eastAsia="宋体" w:cs="Times New Roman"/>
                <w:i w:val="0"/>
                <w:iCs w:val="0"/>
                <w:color w:val="auto"/>
                <w:kern w:val="2"/>
                <w:sz w:val="24"/>
                <w:szCs w:val="24"/>
                <w:highlight w:val="none"/>
                <w:u w:val="none"/>
                <w:shd w:val="clear" w:color="auto" w:fill="auto"/>
                <w:lang w:val="en-US" w:eastAsia="zh-CN" w:bidi="ar-SA"/>
              </w:rPr>
            </w:pPr>
            <w:r>
              <w:rPr>
                <w:rFonts w:hint="default" w:ascii="Times New Roman" w:hAnsi="Times New Roman" w:eastAsia="宋体" w:cs="Times New Roman"/>
                <w:color w:val="auto"/>
                <w:sz w:val="24"/>
                <w:szCs w:val="24"/>
                <w:highlight w:val="none"/>
                <w:lang w:val="en-US" w:eastAsia="zh-CN"/>
              </w:rPr>
              <w:t>现有工程</w:t>
            </w:r>
            <w:r>
              <w:rPr>
                <w:rFonts w:hint="default" w:ascii="Times New Roman" w:hAnsi="Times New Roman" w:eastAsia="宋体" w:cs="Times New Roman"/>
                <w:i w:val="0"/>
                <w:iCs w:val="0"/>
                <w:color w:val="auto"/>
                <w:kern w:val="2"/>
                <w:sz w:val="24"/>
                <w:szCs w:val="24"/>
                <w:highlight w:val="none"/>
                <w:u w:val="none"/>
                <w:shd w:val="clear" w:color="auto" w:fill="auto"/>
                <w:lang w:val="en-US" w:eastAsia="zh-CN" w:bidi="ar-SA"/>
              </w:rPr>
              <w:t>已按照《排污许可管理条例》（中华人民共和国国务院令 第736号）及排污许可管理办法（试行）完成排污登记，登记编号为912201010736262822002Z。</w:t>
            </w:r>
          </w:p>
          <w:p>
            <w:pPr>
              <w:pStyle w:val="97"/>
              <w:pageBreakBefore w:val="0"/>
              <w:widowControl w:val="0"/>
              <w:kinsoku/>
              <w:wordWrap/>
              <w:overflowPunct/>
              <w:topLinePunct w:val="0"/>
              <w:autoSpaceDE/>
              <w:autoSpaceDN/>
              <w:bidi w:val="0"/>
              <w:adjustRightInd w:val="0"/>
              <w:snapToGrid w:val="0"/>
              <w:ind w:left="0" w:leftChars="0" w:right="0" w:firstLine="0" w:firstLineChars="0"/>
              <w:textAlignment w:val="auto"/>
              <w:rPr>
                <w:rFonts w:hint="default" w:ascii="Times New Roman" w:hAnsi="Times New Roman" w:eastAsia="宋体" w:cs="Times New Roman"/>
                <w:i w:val="0"/>
                <w:iCs w:val="0"/>
                <w:color w:val="auto"/>
                <w:kern w:val="2"/>
                <w:sz w:val="24"/>
                <w:szCs w:val="24"/>
                <w:highlight w:val="none"/>
                <w:u w:val="none"/>
                <w:shd w:val="clear" w:color="auto" w:fill="auto"/>
                <w:lang w:val="en-US" w:eastAsia="zh-CN" w:bidi="ar-SA"/>
              </w:rPr>
            </w:pPr>
          </w:p>
          <w:p>
            <w:pPr>
              <w:pStyle w:val="97"/>
              <w:pageBreakBefore w:val="0"/>
              <w:widowControl w:val="0"/>
              <w:kinsoku/>
              <w:wordWrap/>
              <w:overflowPunct/>
              <w:topLinePunct w:val="0"/>
              <w:autoSpaceDE/>
              <w:autoSpaceDN/>
              <w:bidi w:val="0"/>
              <w:adjustRightInd w:val="0"/>
              <w:snapToGrid w:val="0"/>
              <w:ind w:left="0" w:leftChars="0" w:right="0" w:firstLine="0" w:firstLineChars="0"/>
              <w:textAlignment w:val="auto"/>
              <w:rPr>
                <w:rFonts w:hint="default" w:ascii="Times New Roman" w:hAnsi="Times New Roman" w:eastAsia="宋体" w:cs="Times New Roman"/>
                <w:i w:val="0"/>
                <w:iCs w:val="0"/>
                <w:color w:val="auto"/>
                <w:kern w:val="2"/>
                <w:sz w:val="24"/>
                <w:szCs w:val="24"/>
                <w:highlight w:val="none"/>
                <w:u w:val="none"/>
                <w:shd w:val="clear" w:color="auto" w:fill="auto"/>
                <w:lang w:val="en-US" w:eastAsia="zh-CN" w:bidi="ar-SA"/>
              </w:rPr>
            </w:pPr>
          </w:p>
          <w:p>
            <w:pPr>
              <w:pStyle w:val="97"/>
              <w:pageBreakBefore w:val="0"/>
              <w:widowControl w:val="0"/>
              <w:kinsoku/>
              <w:wordWrap/>
              <w:overflowPunct/>
              <w:topLinePunct w:val="0"/>
              <w:autoSpaceDE/>
              <w:autoSpaceDN/>
              <w:bidi w:val="0"/>
              <w:adjustRightInd w:val="0"/>
              <w:snapToGrid w:val="0"/>
              <w:ind w:left="0" w:leftChars="0" w:right="0" w:firstLine="0" w:firstLineChars="0"/>
              <w:textAlignment w:val="auto"/>
              <w:rPr>
                <w:rFonts w:hint="default" w:ascii="Times New Roman" w:hAnsi="Times New Roman" w:eastAsia="宋体" w:cs="Times New Roman"/>
                <w:i w:val="0"/>
                <w:iCs w:val="0"/>
                <w:color w:val="auto"/>
                <w:kern w:val="2"/>
                <w:sz w:val="24"/>
                <w:szCs w:val="24"/>
                <w:highlight w:val="none"/>
                <w:u w:val="none"/>
                <w:shd w:val="clear" w:color="auto" w:fill="auto"/>
                <w:lang w:val="en-US" w:eastAsia="zh-CN" w:bidi="ar-SA"/>
              </w:rPr>
            </w:pPr>
          </w:p>
          <w:p>
            <w:pPr>
              <w:pStyle w:val="97"/>
              <w:pageBreakBefore w:val="0"/>
              <w:widowControl w:val="0"/>
              <w:kinsoku/>
              <w:wordWrap/>
              <w:overflowPunct/>
              <w:topLinePunct w:val="0"/>
              <w:autoSpaceDE/>
              <w:autoSpaceDN/>
              <w:bidi w:val="0"/>
              <w:adjustRightInd w:val="0"/>
              <w:snapToGrid w:val="0"/>
              <w:ind w:left="0" w:leftChars="0" w:right="0" w:firstLine="0" w:firstLineChars="0"/>
              <w:textAlignment w:val="auto"/>
              <w:rPr>
                <w:rFonts w:hint="default" w:ascii="Times New Roman" w:hAnsi="Times New Roman" w:eastAsia="宋体" w:cs="Times New Roman"/>
                <w:i w:val="0"/>
                <w:iCs w:val="0"/>
                <w:color w:val="auto"/>
                <w:kern w:val="2"/>
                <w:sz w:val="24"/>
                <w:szCs w:val="24"/>
                <w:highlight w:val="none"/>
                <w:u w:val="none"/>
                <w:shd w:val="clear" w:color="auto" w:fill="auto"/>
                <w:lang w:val="en-US" w:eastAsia="zh-CN" w:bidi="ar-SA"/>
              </w:rPr>
            </w:pPr>
          </w:p>
          <w:p>
            <w:pPr>
              <w:pStyle w:val="97"/>
              <w:pageBreakBefore w:val="0"/>
              <w:widowControl w:val="0"/>
              <w:kinsoku/>
              <w:wordWrap/>
              <w:overflowPunct/>
              <w:topLinePunct w:val="0"/>
              <w:autoSpaceDE/>
              <w:autoSpaceDN/>
              <w:bidi w:val="0"/>
              <w:adjustRightInd w:val="0"/>
              <w:snapToGrid w:val="0"/>
              <w:ind w:left="0" w:leftChars="0" w:right="0" w:firstLine="0" w:firstLineChars="0"/>
              <w:textAlignment w:val="auto"/>
              <w:rPr>
                <w:rFonts w:hint="default" w:ascii="Times New Roman" w:hAnsi="Times New Roman" w:eastAsia="宋体" w:cs="Times New Roman"/>
                <w:i w:val="0"/>
                <w:iCs w:val="0"/>
                <w:color w:val="auto"/>
                <w:kern w:val="2"/>
                <w:sz w:val="24"/>
                <w:szCs w:val="24"/>
                <w:highlight w:val="none"/>
                <w:u w:val="none"/>
                <w:shd w:val="clear" w:color="auto" w:fill="auto"/>
                <w:lang w:val="en-US" w:eastAsia="zh-CN" w:bidi="ar-SA"/>
              </w:rPr>
            </w:pPr>
          </w:p>
          <w:p>
            <w:pPr>
              <w:pStyle w:val="97"/>
              <w:pageBreakBefore w:val="0"/>
              <w:widowControl w:val="0"/>
              <w:kinsoku/>
              <w:wordWrap/>
              <w:overflowPunct/>
              <w:topLinePunct w:val="0"/>
              <w:autoSpaceDE/>
              <w:autoSpaceDN/>
              <w:bidi w:val="0"/>
              <w:adjustRightInd w:val="0"/>
              <w:snapToGrid w:val="0"/>
              <w:ind w:left="0" w:leftChars="0" w:right="0" w:firstLine="0" w:firstLineChars="0"/>
              <w:textAlignment w:val="auto"/>
              <w:rPr>
                <w:rFonts w:hint="default" w:ascii="Times New Roman" w:hAnsi="Times New Roman" w:eastAsia="宋体" w:cs="Times New Roman"/>
                <w:i w:val="0"/>
                <w:iCs w:val="0"/>
                <w:color w:val="auto"/>
                <w:kern w:val="2"/>
                <w:sz w:val="24"/>
                <w:szCs w:val="24"/>
                <w:highlight w:val="none"/>
                <w:u w:val="none"/>
                <w:shd w:val="clear" w:color="auto" w:fill="auto"/>
                <w:lang w:val="en-US" w:eastAsia="zh-CN" w:bidi="ar-SA"/>
              </w:rPr>
            </w:pPr>
          </w:p>
          <w:p>
            <w:pPr>
              <w:pStyle w:val="97"/>
              <w:pageBreakBefore w:val="0"/>
              <w:widowControl w:val="0"/>
              <w:kinsoku/>
              <w:wordWrap/>
              <w:overflowPunct/>
              <w:topLinePunct w:val="0"/>
              <w:autoSpaceDE/>
              <w:autoSpaceDN/>
              <w:bidi w:val="0"/>
              <w:adjustRightInd w:val="0"/>
              <w:snapToGrid w:val="0"/>
              <w:ind w:left="0" w:leftChars="0" w:right="0" w:firstLine="0" w:firstLineChars="0"/>
              <w:textAlignment w:val="auto"/>
              <w:rPr>
                <w:rFonts w:hint="default" w:ascii="Times New Roman" w:hAnsi="Times New Roman" w:eastAsia="宋体" w:cs="Times New Roman"/>
                <w:i w:val="0"/>
                <w:iCs w:val="0"/>
                <w:color w:val="auto"/>
                <w:kern w:val="2"/>
                <w:sz w:val="24"/>
                <w:szCs w:val="24"/>
                <w:highlight w:val="none"/>
                <w:u w:val="none"/>
                <w:shd w:val="clear" w:color="auto" w:fill="auto"/>
                <w:lang w:val="en-US" w:eastAsia="zh-CN" w:bidi="ar-SA"/>
              </w:rPr>
            </w:pPr>
          </w:p>
          <w:p>
            <w:pPr>
              <w:pStyle w:val="97"/>
              <w:pageBreakBefore w:val="0"/>
              <w:widowControl w:val="0"/>
              <w:kinsoku/>
              <w:wordWrap/>
              <w:overflowPunct/>
              <w:topLinePunct w:val="0"/>
              <w:autoSpaceDE/>
              <w:autoSpaceDN/>
              <w:bidi w:val="0"/>
              <w:adjustRightInd w:val="0"/>
              <w:snapToGrid w:val="0"/>
              <w:ind w:left="0" w:leftChars="0" w:right="0" w:firstLine="0" w:firstLineChars="0"/>
              <w:textAlignment w:val="auto"/>
              <w:rPr>
                <w:rFonts w:hint="default" w:ascii="Times New Roman" w:hAnsi="Times New Roman" w:eastAsia="宋体" w:cs="Times New Roman"/>
                <w:i w:val="0"/>
                <w:iCs w:val="0"/>
                <w:color w:val="auto"/>
                <w:kern w:val="2"/>
                <w:sz w:val="24"/>
                <w:szCs w:val="24"/>
                <w:highlight w:val="none"/>
                <w:u w:val="none"/>
                <w:shd w:val="clear" w:color="auto" w:fill="auto"/>
                <w:lang w:val="en-US" w:eastAsia="zh-CN" w:bidi="ar-SA"/>
              </w:rPr>
            </w:pPr>
          </w:p>
          <w:p>
            <w:pPr>
              <w:pStyle w:val="97"/>
              <w:pageBreakBefore w:val="0"/>
              <w:widowControl w:val="0"/>
              <w:kinsoku/>
              <w:wordWrap/>
              <w:overflowPunct/>
              <w:topLinePunct w:val="0"/>
              <w:autoSpaceDE/>
              <w:autoSpaceDN/>
              <w:bidi w:val="0"/>
              <w:adjustRightInd w:val="0"/>
              <w:snapToGrid w:val="0"/>
              <w:ind w:left="0" w:leftChars="0" w:right="0" w:firstLine="0" w:firstLineChars="0"/>
              <w:textAlignment w:val="auto"/>
              <w:rPr>
                <w:rFonts w:hint="default" w:ascii="Times New Roman" w:hAnsi="Times New Roman" w:eastAsia="宋体" w:cs="Times New Roman"/>
                <w:i w:val="0"/>
                <w:iCs w:val="0"/>
                <w:color w:val="auto"/>
                <w:kern w:val="2"/>
                <w:sz w:val="24"/>
                <w:szCs w:val="24"/>
                <w:highlight w:val="none"/>
                <w:u w:val="none"/>
                <w:shd w:val="clear" w:color="auto" w:fill="auto"/>
                <w:lang w:val="en-US" w:eastAsia="zh-CN" w:bidi="ar-SA"/>
              </w:rPr>
            </w:pPr>
          </w:p>
          <w:p>
            <w:pPr>
              <w:pStyle w:val="97"/>
              <w:pageBreakBefore w:val="0"/>
              <w:widowControl w:val="0"/>
              <w:kinsoku/>
              <w:wordWrap/>
              <w:overflowPunct/>
              <w:topLinePunct w:val="0"/>
              <w:autoSpaceDE/>
              <w:autoSpaceDN/>
              <w:bidi w:val="0"/>
              <w:adjustRightInd w:val="0"/>
              <w:snapToGrid w:val="0"/>
              <w:ind w:left="0" w:leftChars="0" w:right="0" w:firstLine="0" w:firstLineChars="0"/>
              <w:textAlignment w:val="auto"/>
              <w:rPr>
                <w:rFonts w:hint="default" w:ascii="Times New Roman" w:hAnsi="Times New Roman" w:eastAsia="宋体" w:cs="Times New Roman"/>
                <w:i w:val="0"/>
                <w:iCs w:val="0"/>
                <w:color w:val="auto"/>
                <w:kern w:val="2"/>
                <w:sz w:val="24"/>
                <w:szCs w:val="24"/>
                <w:highlight w:val="none"/>
                <w:u w:val="none"/>
                <w:shd w:val="clear" w:color="auto" w:fill="auto"/>
                <w:lang w:val="en-US" w:eastAsia="zh-CN" w:bidi="ar-SA"/>
              </w:rPr>
            </w:pPr>
          </w:p>
          <w:p>
            <w:pPr>
              <w:pStyle w:val="97"/>
              <w:pageBreakBefore w:val="0"/>
              <w:widowControl w:val="0"/>
              <w:kinsoku/>
              <w:wordWrap/>
              <w:overflowPunct/>
              <w:topLinePunct w:val="0"/>
              <w:autoSpaceDE/>
              <w:autoSpaceDN/>
              <w:bidi w:val="0"/>
              <w:adjustRightInd w:val="0"/>
              <w:snapToGrid w:val="0"/>
              <w:ind w:left="0" w:leftChars="0" w:right="0" w:firstLine="0" w:firstLineChars="0"/>
              <w:textAlignment w:val="auto"/>
              <w:rPr>
                <w:rFonts w:hint="default" w:ascii="Times New Roman" w:hAnsi="Times New Roman" w:eastAsia="宋体" w:cs="Times New Roman"/>
                <w:i w:val="0"/>
                <w:iCs w:val="0"/>
                <w:color w:val="auto"/>
                <w:kern w:val="2"/>
                <w:sz w:val="24"/>
                <w:szCs w:val="24"/>
                <w:highlight w:val="none"/>
                <w:u w:val="none"/>
                <w:shd w:val="clear" w:color="auto" w:fill="auto"/>
                <w:lang w:val="en-US" w:eastAsia="zh-CN" w:bidi="ar-SA"/>
              </w:rPr>
            </w:pPr>
          </w:p>
          <w:p>
            <w:pPr>
              <w:pStyle w:val="97"/>
              <w:pageBreakBefore w:val="0"/>
              <w:widowControl w:val="0"/>
              <w:kinsoku/>
              <w:wordWrap/>
              <w:overflowPunct/>
              <w:topLinePunct w:val="0"/>
              <w:autoSpaceDE/>
              <w:autoSpaceDN/>
              <w:bidi w:val="0"/>
              <w:adjustRightInd w:val="0"/>
              <w:snapToGrid w:val="0"/>
              <w:ind w:left="0" w:leftChars="0" w:right="0" w:firstLine="0" w:firstLineChars="0"/>
              <w:textAlignment w:val="auto"/>
              <w:rPr>
                <w:rFonts w:hint="default" w:ascii="Times New Roman" w:hAnsi="Times New Roman" w:eastAsia="宋体" w:cs="Times New Roman"/>
                <w:i w:val="0"/>
                <w:iCs w:val="0"/>
                <w:color w:val="auto"/>
                <w:kern w:val="2"/>
                <w:sz w:val="24"/>
                <w:szCs w:val="24"/>
                <w:highlight w:val="none"/>
                <w:u w:val="none"/>
                <w:shd w:val="clear" w:color="auto" w:fill="auto"/>
                <w:lang w:val="en-US" w:eastAsia="zh-CN" w:bidi="ar-SA"/>
              </w:rPr>
            </w:pPr>
          </w:p>
          <w:p>
            <w:pPr>
              <w:pStyle w:val="97"/>
              <w:pageBreakBefore w:val="0"/>
              <w:widowControl w:val="0"/>
              <w:kinsoku/>
              <w:wordWrap/>
              <w:overflowPunct/>
              <w:topLinePunct w:val="0"/>
              <w:autoSpaceDE/>
              <w:autoSpaceDN/>
              <w:bidi w:val="0"/>
              <w:adjustRightInd w:val="0"/>
              <w:snapToGrid w:val="0"/>
              <w:ind w:left="0" w:leftChars="0" w:right="0" w:firstLine="0" w:firstLineChars="0"/>
              <w:textAlignment w:val="auto"/>
              <w:rPr>
                <w:rFonts w:hint="default" w:ascii="Times New Roman" w:hAnsi="Times New Roman" w:eastAsia="宋体" w:cs="Times New Roman"/>
                <w:i w:val="0"/>
                <w:iCs w:val="0"/>
                <w:color w:val="auto"/>
                <w:kern w:val="2"/>
                <w:sz w:val="24"/>
                <w:szCs w:val="24"/>
                <w:highlight w:val="none"/>
                <w:u w:val="none"/>
                <w:shd w:val="clear" w:color="auto" w:fill="auto"/>
                <w:lang w:val="en-US" w:eastAsia="zh-CN" w:bidi="ar-SA"/>
              </w:rPr>
            </w:pPr>
          </w:p>
          <w:p>
            <w:pPr>
              <w:pStyle w:val="97"/>
              <w:pageBreakBefore w:val="0"/>
              <w:widowControl w:val="0"/>
              <w:kinsoku/>
              <w:wordWrap/>
              <w:overflowPunct/>
              <w:topLinePunct w:val="0"/>
              <w:autoSpaceDE/>
              <w:autoSpaceDN/>
              <w:bidi w:val="0"/>
              <w:adjustRightInd w:val="0"/>
              <w:snapToGrid w:val="0"/>
              <w:ind w:left="0" w:leftChars="0" w:right="0" w:firstLine="0" w:firstLineChars="0"/>
              <w:textAlignment w:val="auto"/>
              <w:rPr>
                <w:rFonts w:hint="default" w:ascii="Times New Roman" w:hAnsi="Times New Roman" w:eastAsia="宋体" w:cs="Times New Roman"/>
                <w:i w:val="0"/>
                <w:iCs w:val="0"/>
                <w:color w:val="auto"/>
                <w:kern w:val="2"/>
                <w:sz w:val="24"/>
                <w:szCs w:val="24"/>
                <w:highlight w:val="none"/>
                <w:u w:val="none"/>
                <w:shd w:val="clear" w:color="auto" w:fill="auto"/>
                <w:lang w:val="en-US" w:eastAsia="zh-CN" w:bidi="ar-SA"/>
              </w:rPr>
            </w:pPr>
          </w:p>
          <w:p>
            <w:pPr>
              <w:pStyle w:val="97"/>
              <w:pageBreakBefore w:val="0"/>
              <w:widowControl w:val="0"/>
              <w:kinsoku/>
              <w:wordWrap/>
              <w:overflowPunct/>
              <w:topLinePunct w:val="0"/>
              <w:autoSpaceDE/>
              <w:autoSpaceDN/>
              <w:bidi w:val="0"/>
              <w:adjustRightInd w:val="0"/>
              <w:snapToGrid w:val="0"/>
              <w:ind w:left="0" w:leftChars="0" w:right="0" w:firstLine="0" w:firstLineChars="0"/>
              <w:textAlignment w:val="auto"/>
              <w:rPr>
                <w:rFonts w:hint="default" w:ascii="Times New Roman" w:hAnsi="Times New Roman" w:eastAsia="宋体" w:cs="Times New Roman"/>
                <w:i w:val="0"/>
                <w:iCs w:val="0"/>
                <w:color w:val="auto"/>
                <w:kern w:val="2"/>
                <w:sz w:val="24"/>
                <w:szCs w:val="24"/>
                <w:highlight w:val="none"/>
                <w:u w:val="none"/>
                <w:shd w:val="clear" w:color="auto" w:fill="auto"/>
                <w:lang w:val="en-US" w:eastAsia="zh-CN" w:bidi="ar-SA"/>
              </w:rPr>
            </w:pPr>
          </w:p>
          <w:p>
            <w:pPr>
              <w:pStyle w:val="97"/>
              <w:pageBreakBefore w:val="0"/>
              <w:widowControl w:val="0"/>
              <w:kinsoku/>
              <w:wordWrap/>
              <w:overflowPunct/>
              <w:topLinePunct w:val="0"/>
              <w:autoSpaceDE/>
              <w:autoSpaceDN/>
              <w:bidi w:val="0"/>
              <w:adjustRightInd w:val="0"/>
              <w:snapToGrid w:val="0"/>
              <w:ind w:left="0" w:leftChars="0" w:right="0" w:firstLine="0" w:firstLineChars="0"/>
              <w:textAlignment w:val="auto"/>
              <w:rPr>
                <w:rFonts w:hint="default" w:ascii="Times New Roman" w:hAnsi="Times New Roman" w:eastAsia="宋体" w:cs="Times New Roman"/>
                <w:i w:val="0"/>
                <w:iCs w:val="0"/>
                <w:color w:val="auto"/>
                <w:kern w:val="2"/>
                <w:sz w:val="24"/>
                <w:szCs w:val="24"/>
                <w:highlight w:val="none"/>
                <w:u w:val="none"/>
                <w:shd w:val="clear" w:color="auto" w:fill="auto"/>
                <w:lang w:val="en-US" w:eastAsia="zh-CN" w:bidi="ar-SA"/>
              </w:rPr>
            </w:pPr>
          </w:p>
          <w:p>
            <w:pPr>
              <w:pStyle w:val="97"/>
              <w:pageBreakBefore w:val="0"/>
              <w:widowControl w:val="0"/>
              <w:kinsoku/>
              <w:wordWrap/>
              <w:overflowPunct/>
              <w:topLinePunct w:val="0"/>
              <w:autoSpaceDE/>
              <w:autoSpaceDN/>
              <w:bidi w:val="0"/>
              <w:adjustRightInd w:val="0"/>
              <w:snapToGrid w:val="0"/>
              <w:ind w:left="0" w:leftChars="0" w:right="0" w:firstLine="0" w:firstLineChars="0"/>
              <w:textAlignment w:val="auto"/>
              <w:rPr>
                <w:rFonts w:hint="default" w:ascii="Times New Roman" w:hAnsi="Times New Roman" w:eastAsia="宋体" w:cs="Times New Roman"/>
                <w:i w:val="0"/>
                <w:iCs w:val="0"/>
                <w:color w:val="auto"/>
                <w:kern w:val="2"/>
                <w:sz w:val="24"/>
                <w:szCs w:val="24"/>
                <w:highlight w:val="none"/>
                <w:u w:val="none"/>
                <w:shd w:val="clear" w:color="auto" w:fill="auto"/>
                <w:lang w:val="en-US" w:eastAsia="zh-CN" w:bidi="ar-SA"/>
              </w:rPr>
            </w:pPr>
          </w:p>
          <w:p>
            <w:pPr>
              <w:pStyle w:val="97"/>
              <w:pageBreakBefore w:val="0"/>
              <w:widowControl w:val="0"/>
              <w:kinsoku/>
              <w:wordWrap/>
              <w:overflowPunct/>
              <w:topLinePunct w:val="0"/>
              <w:autoSpaceDE/>
              <w:autoSpaceDN/>
              <w:bidi w:val="0"/>
              <w:adjustRightInd w:val="0"/>
              <w:snapToGrid w:val="0"/>
              <w:ind w:left="0" w:leftChars="0" w:right="0" w:firstLine="0" w:firstLineChars="0"/>
              <w:textAlignment w:val="auto"/>
              <w:rPr>
                <w:rFonts w:hint="default" w:ascii="Times New Roman" w:hAnsi="Times New Roman" w:eastAsia="宋体" w:cs="Times New Roman"/>
                <w:i w:val="0"/>
                <w:iCs w:val="0"/>
                <w:color w:val="auto"/>
                <w:kern w:val="2"/>
                <w:sz w:val="24"/>
                <w:szCs w:val="24"/>
                <w:highlight w:val="none"/>
                <w:u w:val="none"/>
                <w:shd w:val="clear" w:color="auto" w:fill="auto"/>
                <w:lang w:val="en-US" w:eastAsia="zh-CN" w:bidi="ar-SA"/>
              </w:rPr>
            </w:pPr>
          </w:p>
          <w:p>
            <w:pPr>
              <w:pStyle w:val="97"/>
              <w:pageBreakBefore w:val="0"/>
              <w:widowControl w:val="0"/>
              <w:kinsoku/>
              <w:wordWrap/>
              <w:overflowPunct/>
              <w:topLinePunct w:val="0"/>
              <w:autoSpaceDE/>
              <w:autoSpaceDN/>
              <w:bidi w:val="0"/>
              <w:adjustRightInd w:val="0"/>
              <w:snapToGrid w:val="0"/>
              <w:ind w:left="0" w:leftChars="0" w:right="0" w:firstLine="0" w:firstLineChars="0"/>
              <w:textAlignment w:val="auto"/>
              <w:rPr>
                <w:rFonts w:hint="default" w:ascii="Times New Roman" w:hAnsi="Times New Roman" w:eastAsia="宋体" w:cs="Times New Roman"/>
                <w:i w:val="0"/>
                <w:iCs w:val="0"/>
                <w:color w:val="auto"/>
                <w:kern w:val="2"/>
                <w:sz w:val="24"/>
                <w:szCs w:val="24"/>
                <w:highlight w:val="none"/>
                <w:u w:val="none"/>
                <w:shd w:val="clear" w:color="auto" w:fill="auto"/>
                <w:lang w:val="en-US" w:eastAsia="zh-CN" w:bidi="ar-SA"/>
              </w:rPr>
            </w:pPr>
          </w:p>
          <w:p>
            <w:pPr>
              <w:pStyle w:val="97"/>
              <w:pageBreakBefore w:val="0"/>
              <w:widowControl w:val="0"/>
              <w:kinsoku/>
              <w:wordWrap/>
              <w:overflowPunct/>
              <w:topLinePunct w:val="0"/>
              <w:autoSpaceDE/>
              <w:autoSpaceDN/>
              <w:bidi w:val="0"/>
              <w:adjustRightInd w:val="0"/>
              <w:snapToGrid w:val="0"/>
              <w:ind w:left="0" w:leftChars="0" w:right="0" w:firstLine="0" w:firstLineChars="0"/>
              <w:textAlignment w:val="auto"/>
              <w:rPr>
                <w:rFonts w:hint="default" w:ascii="Times New Roman" w:hAnsi="Times New Roman" w:eastAsia="宋体" w:cs="Times New Roman"/>
                <w:i w:val="0"/>
                <w:iCs w:val="0"/>
                <w:color w:val="auto"/>
                <w:kern w:val="2"/>
                <w:sz w:val="24"/>
                <w:szCs w:val="24"/>
                <w:highlight w:val="none"/>
                <w:u w:val="none"/>
                <w:shd w:val="clear" w:color="auto" w:fill="auto"/>
                <w:lang w:val="en-US" w:eastAsia="zh-CN" w:bidi="ar-SA"/>
              </w:rPr>
            </w:pPr>
          </w:p>
          <w:p>
            <w:pPr>
              <w:pStyle w:val="97"/>
              <w:pageBreakBefore w:val="0"/>
              <w:widowControl w:val="0"/>
              <w:kinsoku/>
              <w:wordWrap/>
              <w:overflowPunct/>
              <w:topLinePunct w:val="0"/>
              <w:autoSpaceDE/>
              <w:autoSpaceDN/>
              <w:bidi w:val="0"/>
              <w:adjustRightInd w:val="0"/>
              <w:snapToGrid w:val="0"/>
              <w:ind w:left="0" w:leftChars="0" w:right="0" w:firstLine="0" w:firstLineChars="0"/>
              <w:textAlignment w:val="auto"/>
              <w:rPr>
                <w:rFonts w:hint="default" w:ascii="Times New Roman" w:hAnsi="Times New Roman" w:eastAsia="宋体" w:cs="Times New Roman"/>
                <w:i w:val="0"/>
                <w:iCs w:val="0"/>
                <w:color w:val="auto"/>
                <w:kern w:val="2"/>
                <w:sz w:val="24"/>
                <w:szCs w:val="24"/>
                <w:highlight w:val="none"/>
                <w:u w:val="none"/>
                <w:shd w:val="clear" w:color="auto" w:fill="auto"/>
                <w:lang w:val="en-US" w:eastAsia="zh-CN" w:bidi="ar-SA"/>
              </w:rPr>
            </w:pPr>
          </w:p>
          <w:p>
            <w:pPr>
              <w:pStyle w:val="97"/>
              <w:pageBreakBefore w:val="0"/>
              <w:widowControl w:val="0"/>
              <w:kinsoku/>
              <w:wordWrap/>
              <w:overflowPunct/>
              <w:topLinePunct w:val="0"/>
              <w:autoSpaceDE/>
              <w:autoSpaceDN/>
              <w:bidi w:val="0"/>
              <w:adjustRightInd w:val="0"/>
              <w:snapToGrid w:val="0"/>
              <w:ind w:left="0" w:leftChars="0" w:right="0" w:firstLine="0" w:firstLineChars="0"/>
              <w:textAlignment w:val="auto"/>
              <w:rPr>
                <w:rFonts w:hint="default" w:ascii="Times New Roman" w:hAnsi="Times New Roman" w:eastAsia="宋体" w:cs="Times New Roman"/>
                <w:i w:val="0"/>
                <w:iCs w:val="0"/>
                <w:color w:val="auto"/>
                <w:kern w:val="2"/>
                <w:sz w:val="24"/>
                <w:szCs w:val="24"/>
                <w:highlight w:val="none"/>
                <w:u w:val="none"/>
                <w:shd w:val="clear" w:color="auto" w:fill="auto"/>
                <w:lang w:val="en-US" w:eastAsia="zh-CN" w:bidi="ar-SA"/>
              </w:rPr>
            </w:pPr>
          </w:p>
          <w:p>
            <w:pPr>
              <w:pStyle w:val="97"/>
              <w:pageBreakBefore w:val="0"/>
              <w:widowControl w:val="0"/>
              <w:kinsoku/>
              <w:wordWrap/>
              <w:overflowPunct/>
              <w:topLinePunct w:val="0"/>
              <w:autoSpaceDE/>
              <w:autoSpaceDN/>
              <w:bidi w:val="0"/>
              <w:adjustRightInd w:val="0"/>
              <w:snapToGrid w:val="0"/>
              <w:ind w:left="0" w:leftChars="0" w:right="0" w:firstLine="0" w:firstLineChars="0"/>
              <w:textAlignment w:val="auto"/>
              <w:rPr>
                <w:rFonts w:hint="default" w:ascii="Times New Roman" w:hAnsi="Times New Roman" w:eastAsia="宋体" w:cs="Times New Roman"/>
                <w:i w:val="0"/>
                <w:iCs w:val="0"/>
                <w:color w:val="auto"/>
                <w:kern w:val="2"/>
                <w:sz w:val="24"/>
                <w:szCs w:val="24"/>
                <w:highlight w:val="none"/>
                <w:u w:val="none"/>
                <w:shd w:val="clear" w:color="auto" w:fill="auto"/>
                <w:lang w:val="en-US" w:eastAsia="zh-CN" w:bidi="ar-SA"/>
              </w:rPr>
            </w:pPr>
          </w:p>
          <w:p>
            <w:pPr>
              <w:pStyle w:val="97"/>
              <w:pageBreakBefore w:val="0"/>
              <w:widowControl w:val="0"/>
              <w:kinsoku/>
              <w:wordWrap/>
              <w:overflowPunct/>
              <w:topLinePunct w:val="0"/>
              <w:autoSpaceDE/>
              <w:autoSpaceDN/>
              <w:bidi w:val="0"/>
              <w:adjustRightInd w:val="0"/>
              <w:snapToGrid w:val="0"/>
              <w:ind w:left="0" w:leftChars="0" w:right="0" w:firstLine="0" w:firstLineChars="0"/>
              <w:textAlignment w:val="auto"/>
              <w:rPr>
                <w:rFonts w:hint="default" w:ascii="Times New Roman" w:hAnsi="Times New Roman" w:eastAsia="宋体" w:cs="Times New Roman"/>
                <w:i w:val="0"/>
                <w:iCs w:val="0"/>
                <w:color w:val="auto"/>
                <w:kern w:val="2"/>
                <w:sz w:val="24"/>
                <w:szCs w:val="24"/>
                <w:highlight w:val="none"/>
                <w:u w:val="none"/>
                <w:shd w:val="clear" w:color="auto" w:fill="auto"/>
                <w:lang w:val="en-US" w:eastAsia="zh-CN" w:bidi="ar-SA"/>
              </w:rPr>
            </w:pPr>
          </w:p>
          <w:p>
            <w:pPr>
              <w:pStyle w:val="97"/>
              <w:pageBreakBefore w:val="0"/>
              <w:widowControl w:val="0"/>
              <w:kinsoku/>
              <w:wordWrap/>
              <w:overflowPunct/>
              <w:topLinePunct w:val="0"/>
              <w:autoSpaceDE/>
              <w:autoSpaceDN/>
              <w:bidi w:val="0"/>
              <w:adjustRightInd w:val="0"/>
              <w:snapToGrid w:val="0"/>
              <w:ind w:left="0" w:leftChars="0" w:right="0" w:firstLine="0" w:firstLineChars="0"/>
              <w:textAlignment w:val="auto"/>
              <w:rPr>
                <w:rFonts w:hint="default" w:ascii="Times New Roman" w:hAnsi="Times New Roman" w:eastAsia="宋体" w:cs="Times New Roman"/>
                <w:i w:val="0"/>
                <w:iCs w:val="0"/>
                <w:color w:val="auto"/>
                <w:kern w:val="2"/>
                <w:sz w:val="24"/>
                <w:szCs w:val="24"/>
                <w:highlight w:val="none"/>
                <w:u w:val="none"/>
                <w:shd w:val="clear" w:color="auto" w:fill="auto"/>
                <w:lang w:val="en-US" w:eastAsia="zh-CN" w:bidi="ar-SA"/>
              </w:rPr>
            </w:pPr>
          </w:p>
        </w:tc>
      </w:tr>
    </w:tbl>
    <w:p>
      <w:pPr>
        <w:pStyle w:val="26"/>
        <w:jc w:val="center"/>
        <w:outlineLvl w:val="9"/>
        <w:rPr>
          <w:rFonts w:ascii="Times New Roman" w:hAnsi="Times New Roman"/>
          <w:snapToGrid w:val="0"/>
          <w:color w:val="auto"/>
          <w:sz w:val="36"/>
          <w:szCs w:val="36"/>
          <w:highlight w:val="none"/>
        </w:rPr>
        <w:sectPr>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26"/>
        <w:spacing w:before="0" w:beforeAutospacing="0" w:after="0" w:afterAutospacing="0"/>
        <w:jc w:val="center"/>
        <w:outlineLvl w:val="0"/>
        <w:rPr>
          <w:rFonts w:ascii="Times New Roman" w:hAnsi="Times New Roman"/>
          <w:b/>
          <w:bCs/>
          <w:snapToGrid w:val="0"/>
          <w:color w:val="auto"/>
          <w:sz w:val="30"/>
          <w:szCs w:val="30"/>
          <w:highlight w:val="none"/>
        </w:rPr>
      </w:pPr>
      <w:r>
        <w:rPr>
          <w:rFonts w:ascii="Times New Roman" w:hAnsi="Times New Roman"/>
          <w:b/>
          <w:bCs/>
          <w:snapToGrid w:val="0"/>
          <w:color w:val="auto"/>
          <w:sz w:val="30"/>
          <w:szCs w:val="30"/>
          <w:highlight w:val="none"/>
        </w:rPr>
        <w:t>三、区域环境质量现状、环境保护目标及评价标准</w:t>
      </w: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3"/>
        <w:gridCol w:w="86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453" w:type="dxa"/>
            <w:vAlign w:val="center"/>
          </w:tcPr>
          <w:p>
            <w:pPr>
              <w:adjustRightInd w:val="0"/>
              <w:snapToGrid w:val="0"/>
              <w:jc w:val="center"/>
              <w:rPr>
                <w:b/>
                <w:bCs/>
                <w:color w:val="auto"/>
                <w:kern w:val="0"/>
                <w:sz w:val="24"/>
                <w:highlight w:val="none"/>
              </w:rPr>
            </w:pPr>
            <w:r>
              <w:rPr>
                <w:b/>
                <w:bCs/>
                <w:color w:val="auto"/>
                <w:kern w:val="0"/>
                <w:sz w:val="24"/>
                <w:highlight w:val="none"/>
              </w:rPr>
              <w:t>区域</w:t>
            </w:r>
          </w:p>
          <w:p>
            <w:pPr>
              <w:adjustRightInd w:val="0"/>
              <w:snapToGrid w:val="0"/>
              <w:jc w:val="center"/>
              <w:rPr>
                <w:b/>
                <w:bCs/>
                <w:color w:val="auto"/>
                <w:kern w:val="0"/>
                <w:sz w:val="24"/>
                <w:highlight w:val="none"/>
              </w:rPr>
            </w:pPr>
            <w:r>
              <w:rPr>
                <w:b/>
                <w:bCs/>
                <w:color w:val="auto"/>
                <w:kern w:val="0"/>
                <w:sz w:val="24"/>
                <w:highlight w:val="none"/>
              </w:rPr>
              <w:t>环境</w:t>
            </w:r>
          </w:p>
          <w:p>
            <w:pPr>
              <w:adjustRightInd w:val="0"/>
              <w:snapToGrid w:val="0"/>
              <w:jc w:val="center"/>
              <w:rPr>
                <w:b/>
                <w:bCs/>
                <w:color w:val="auto"/>
                <w:kern w:val="0"/>
                <w:sz w:val="24"/>
                <w:highlight w:val="none"/>
              </w:rPr>
            </w:pPr>
            <w:r>
              <w:rPr>
                <w:b/>
                <w:bCs/>
                <w:color w:val="auto"/>
                <w:kern w:val="0"/>
                <w:sz w:val="24"/>
                <w:highlight w:val="none"/>
              </w:rPr>
              <w:t>质量</w:t>
            </w:r>
          </w:p>
          <w:p>
            <w:pPr>
              <w:adjustRightInd w:val="0"/>
              <w:snapToGrid w:val="0"/>
              <w:jc w:val="center"/>
              <w:rPr>
                <w:color w:val="auto"/>
                <w:kern w:val="0"/>
                <w:sz w:val="24"/>
                <w:highlight w:val="none"/>
              </w:rPr>
            </w:pPr>
            <w:r>
              <w:rPr>
                <w:b/>
                <w:bCs/>
                <w:color w:val="auto"/>
                <w:kern w:val="0"/>
                <w:sz w:val="24"/>
                <w:highlight w:val="none"/>
              </w:rPr>
              <w:t>现状</w:t>
            </w:r>
          </w:p>
        </w:tc>
        <w:tc>
          <w:tcPr>
            <w:tcW w:w="8608" w:type="dxa"/>
            <w:vAlign w:val="center"/>
          </w:tcPr>
          <w:p>
            <w:pPr>
              <w:adjustRightInd w:val="0"/>
              <w:snapToGrid w:val="0"/>
              <w:spacing w:line="360" w:lineRule="auto"/>
              <w:ind w:firstLine="482" w:firstLineChars="200"/>
              <w:rPr>
                <w:color w:val="auto"/>
                <w:sz w:val="24"/>
                <w:highlight w:val="none"/>
              </w:rPr>
            </w:pPr>
            <w:r>
              <w:rPr>
                <w:b/>
                <w:bCs/>
                <w:color w:val="auto"/>
                <w:sz w:val="24"/>
                <w:szCs w:val="21"/>
                <w:highlight w:val="none"/>
              </w:rPr>
              <w:t>1.环境空气质量现状</w:t>
            </w:r>
          </w:p>
          <w:p>
            <w:pPr>
              <w:spacing w:line="360" w:lineRule="auto"/>
              <w:ind w:firstLine="480"/>
              <w:rPr>
                <w:rFonts w:hint="default" w:ascii="Times New Roman" w:hAnsi="Times New Roman" w:eastAsia="宋体" w:cs="Times New Roman"/>
                <w:i w:val="0"/>
                <w:iCs w:val="0"/>
                <w:color w:val="auto"/>
                <w:sz w:val="24"/>
                <w:highlight w:val="none"/>
                <w:u w:val="none"/>
                <w:shd w:val="clear" w:color="auto" w:fill="auto"/>
                <w:lang w:val="en-US" w:eastAsia="zh-CN"/>
              </w:rPr>
            </w:pPr>
            <w:r>
              <w:rPr>
                <w:rFonts w:hint="eastAsia" w:ascii="Times New Roman" w:hAnsi="Times New Roman" w:eastAsia="宋体" w:cs="Times New Roman"/>
                <w:i w:val="0"/>
                <w:iCs w:val="0"/>
                <w:color w:val="auto"/>
                <w:sz w:val="24"/>
                <w:highlight w:val="none"/>
                <w:u w:val="none"/>
                <w:shd w:val="clear" w:color="auto" w:fill="auto"/>
                <w:lang w:val="en-US" w:eastAsia="zh-CN"/>
              </w:rPr>
              <w:t>1.1区域环境质量现状</w:t>
            </w:r>
          </w:p>
          <w:p>
            <w:pPr>
              <w:spacing w:line="360" w:lineRule="auto"/>
              <w:ind w:firstLine="480" w:firstLineChars="200"/>
              <w:rPr>
                <w:color w:val="auto"/>
                <w:sz w:val="24"/>
                <w:highlight w:val="none"/>
              </w:rPr>
            </w:pPr>
            <w:r>
              <w:rPr>
                <w:color w:val="auto"/>
                <w:sz w:val="24"/>
                <w:highlight w:val="none"/>
              </w:rPr>
              <w:t>根据《2021年吉林省生态环境质量状况公报》，2021年长春市城市环境空气质量达标，长春市为达标区，6项基本污染物年均浓度或相应百分位数24h平均或8h平均质量浓度见下表：</w:t>
            </w:r>
          </w:p>
          <w:p>
            <w:pPr>
              <w:pStyle w:val="59"/>
              <w:spacing w:line="400" w:lineRule="exact"/>
              <w:rPr>
                <w:bCs w:val="0"/>
                <w:color w:val="auto"/>
                <w:sz w:val="24"/>
                <w:szCs w:val="21"/>
                <w:highlight w:val="none"/>
              </w:rPr>
            </w:pPr>
            <w:r>
              <w:rPr>
                <w:bCs w:val="0"/>
                <w:color w:val="auto"/>
                <w:sz w:val="24"/>
                <w:szCs w:val="21"/>
                <w:highlight w:val="none"/>
              </w:rPr>
              <w:t>表3</w:t>
            </w:r>
            <w:r>
              <w:rPr>
                <w:bCs w:val="0"/>
                <w:color w:val="auto"/>
                <w:sz w:val="24"/>
                <w:szCs w:val="21"/>
                <w:highlight w:val="none"/>
                <w:lang w:val="en-US"/>
              </w:rPr>
              <w:t>-</w:t>
            </w:r>
            <w:r>
              <w:rPr>
                <w:bCs w:val="0"/>
                <w:color w:val="auto"/>
                <w:sz w:val="24"/>
                <w:szCs w:val="21"/>
                <w:highlight w:val="none"/>
              </w:rPr>
              <w:t>1</w:t>
            </w:r>
            <w:r>
              <w:rPr>
                <w:color w:val="auto"/>
                <w:sz w:val="24"/>
                <w:highlight w:val="none"/>
                <w:lang w:val="en-US"/>
              </w:rPr>
              <w:t xml:space="preserve">  </w:t>
            </w:r>
            <w:r>
              <w:rPr>
                <w:bCs w:val="0"/>
                <w:color w:val="auto"/>
                <w:sz w:val="24"/>
                <w:szCs w:val="21"/>
                <w:highlight w:val="none"/>
                <w:lang w:val="en-US"/>
              </w:rPr>
              <w:t>2021</w:t>
            </w:r>
            <w:r>
              <w:rPr>
                <w:bCs w:val="0"/>
                <w:color w:val="auto"/>
                <w:sz w:val="24"/>
                <w:szCs w:val="21"/>
                <w:highlight w:val="none"/>
              </w:rPr>
              <w:t>年环境空气单项污染物年均浓度</w:t>
            </w:r>
          </w:p>
          <w:tbl>
            <w:tblPr>
              <w:tblStyle w:val="30"/>
              <w:tblW w:w="843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922"/>
              <w:gridCol w:w="1097"/>
              <w:gridCol w:w="964"/>
              <w:gridCol w:w="962"/>
              <w:gridCol w:w="1234"/>
              <w:gridCol w:w="11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48" w:type="pct"/>
                  <w:vAlign w:val="center"/>
                </w:tcPr>
                <w:p>
                  <w:pPr>
                    <w:adjustRightInd w:val="0"/>
                    <w:snapToGrid w:val="0"/>
                    <w:jc w:val="center"/>
                    <w:rPr>
                      <w:color w:val="auto"/>
                      <w:szCs w:val="21"/>
                      <w:highlight w:val="none"/>
                    </w:rPr>
                  </w:pPr>
                  <w:r>
                    <w:rPr>
                      <w:color w:val="auto"/>
                      <w:szCs w:val="21"/>
                      <w:highlight w:val="none"/>
                    </w:rPr>
                    <w:t>评价因子</w:t>
                  </w:r>
                </w:p>
              </w:tc>
              <w:tc>
                <w:tcPr>
                  <w:tcW w:w="1139" w:type="pct"/>
                  <w:vAlign w:val="center"/>
                </w:tcPr>
                <w:p>
                  <w:pPr>
                    <w:adjustRightInd w:val="0"/>
                    <w:snapToGrid w:val="0"/>
                    <w:jc w:val="center"/>
                    <w:rPr>
                      <w:color w:val="auto"/>
                      <w:szCs w:val="21"/>
                      <w:highlight w:val="none"/>
                    </w:rPr>
                  </w:pPr>
                  <w:r>
                    <w:rPr>
                      <w:color w:val="auto"/>
                      <w:szCs w:val="21"/>
                      <w:highlight w:val="none"/>
                    </w:rPr>
                    <w:t>平均时段</w:t>
                  </w:r>
                </w:p>
              </w:tc>
              <w:tc>
                <w:tcPr>
                  <w:tcW w:w="650" w:type="pct"/>
                  <w:vAlign w:val="center"/>
                </w:tcPr>
                <w:p>
                  <w:pPr>
                    <w:adjustRightInd w:val="0"/>
                    <w:snapToGrid w:val="0"/>
                    <w:jc w:val="center"/>
                    <w:rPr>
                      <w:color w:val="auto"/>
                      <w:szCs w:val="21"/>
                      <w:highlight w:val="none"/>
                    </w:rPr>
                  </w:pPr>
                  <w:r>
                    <w:rPr>
                      <w:color w:val="auto"/>
                      <w:szCs w:val="21"/>
                      <w:highlight w:val="none"/>
                    </w:rPr>
                    <w:t>现状浓度</w:t>
                  </w:r>
                </w:p>
              </w:tc>
              <w:tc>
                <w:tcPr>
                  <w:tcW w:w="571" w:type="pct"/>
                  <w:vAlign w:val="center"/>
                </w:tcPr>
                <w:p>
                  <w:pPr>
                    <w:adjustRightInd w:val="0"/>
                    <w:snapToGrid w:val="0"/>
                    <w:jc w:val="center"/>
                    <w:rPr>
                      <w:color w:val="auto"/>
                      <w:szCs w:val="21"/>
                      <w:highlight w:val="none"/>
                    </w:rPr>
                  </w:pPr>
                  <w:r>
                    <w:rPr>
                      <w:color w:val="auto"/>
                      <w:szCs w:val="21"/>
                      <w:highlight w:val="none"/>
                    </w:rPr>
                    <w:t>单位</w:t>
                  </w:r>
                </w:p>
              </w:tc>
              <w:tc>
                <w:tcPr>
                  <w:tcW w:w="570" w:type="pct"/>
                  <w:vAlign w:val="center"/>
                </w:tcPr>
                <w:p>
                  <w:pPr>
                    <w:adjustRightInd w:val="0"/>
                    <w:snapToGrid w:val="0"/>
                    <w:jc w:val="center"/>
                    <w:rPr>
                      <w:color w:val="auto"/>
                      <w:szCs w:val="21"/>
                      <w:highlight w:val="none"/>
                    </w:rPr>
                  </w:pPr>
                  <w:r>
                    <w:rPr>
                      <w:color w:val="auto"/>
                      <w:szCs w:val="21"/>
                      <w:highlight w:val="none"/>
                    </w:rPr>
                    <w:t>标准值</w:t>
                  </w:r>
                </w:p>
              </w:tc>
              <w:tc>
                <w:tcPr>
                  <w:tcW w:w="731" w:type="pct"/>
                  <w:vAlign w:val="center"/>
                </w:tcPr>
                <w:p>
                  <w:pPr>
                    <w:adjustRightInd w:val="0"/>
                    <w:snapToGrid w:val="0"/>
                    <w:jc w:val="center"/>
                    <w:rPr>
                      <w:color w:val="auto"/>
                      <w:szCs w:val="21"/>
                      <w:highlight w:val="none"/>
                    </w:rPr>
                  </w:pPr>
                  <w:r>
                    <w:rPr>
                      <w:color w:val="auto"/>
                      <w:szCs w:val="21"/>
                      <w:highlight w:val="none"/>
                    </w:rPr>
                    <w:t>占标率（%）</w:t>
                  </w:r>
                </w:p>
              </w:tc>
              <w:tc>
                <w:tcPr>
                  <w:tcW w:w="689" w:type="pct"/>
                  <w:vAlign w:val="center"/>
                </w:tcPr>
                <w:p>
                  <w:pPr>
                    <w:adjustRightInd w:val="0"/>
                    <w:snapToGrid w:val="0"/>
                    <w:jc w:val="center"/>
                    <w:rPr>
                      <w:color w:val="auto"/>
                      <w:szCs w:val="21"/>
                      <w:highlight w:val="none"/>
                    </w:rPr>
                  </w:pPr>
                  <w:r>
                    <w:rPr>
                      <w:color w:val="auto"/>
                      <w:szCs w:val="21"/>
                      <w:highlight w:val="none"/>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648" w:type="pct"/>
                  <w:vAlign w:val="center"/>
                </w:tcPr>
                <w:p>
                  <w:pPr>
                    <w:adjustRightInd w:val="0"/>
                    <w:snapToGrid w:val="0"/>
                    <w:jc w:val="center"/>
                    <w:rPr>
                      <w:color w:val="auto"/>
                      <w:szCs w:val="21"/>
                      <w:highlight w:val="none"/>
                    </w:rPr>
                  </w:pPr>
                  <w:r>
                    <w:rPr>
                      <w:color w:val="auto"/>
                      <w:szCs w:val="21"/>
                      <w:highlight w:val="none"/>
                    </w:rPr>
                    <w:t>SO</w:t>
                  </w:r>
                  <w:r>
                    <w:rPr>
                      <w:color w:val="auto"/>
                      <w:szCs w:val="21"/>
                      <w:highlight w:val="none"/>
                      <w:vertAlign w:val="subscript"/>
                    </w:rPr>
                    <w:t>2</w:t>
                  </w:r>
                </w:p>
              </w:tc>
              <w:tc>
                <w:tcPr>
                  <w:tcW w:w="1139" w:type="pct"/>
                  <w:vAlign w:val="center"/>
                </w:tcPr>
                <w:p>
                  <w:pPr>
                    <w:adjustRightInd w:val="0"/>
                    <w:snapToGrid w:val="0"/>
                    <w:jc w:val="center"/>
                    <w:rPr>
                      <w:color w:val="auto"/>
                      <w:szCs w:val="21"/>
                      <w:highlight w:val="none"/>
                    </w:rPr>
                  </w:pPr>
                  <w:r>
                    <w:rPr>
                      <w:color w:val="auto"/>
                      <w:szCs w:val="21"/>
                      <w:highlight w:val="none"/>
                    </w:rPr>
                    <w:t>年平均值</w:t>
                  </w:r>
                </w:p>
              </w:tc>
              <w:tc>
                <w:tcPr>
                  <w:tcW w:w="650" w:type="pct"/>
                  <w:vAlign w:val="center"/>
                </w:tcPr>
                <w:p>
                  <w:pPr>
                    <w:adjustRightInd w:val="0"/>
                    <w:snapToGrid w:val="0"/>
                    <w:jc w:val="center"/>
                    <w:rPr>
                      <w:color w:val="auto"/>
                      <w:szCs w:val="21"/>
                      <w:highlight w:val="none"/>
                    </w:rPr>
                  </w:pPr>
                  <w:r>
                    <w:rPr>
                      <w:color w:val="auto"/>
                      <w:szCs w:val="21"/>
                      <w:highlight w:val="none"/>
                    </w:rPr>
                    <w:t>9</w:t>
                  </w:r>
                </w:p>
              </w:tc>
              <w:tc>
                <w:tcPr>
                  <w:tcW w:w="571" w:type="pct"/>
                  <w:vMerge w:val="restart"/>
                  <w:vAlign w:val="center"/>
                </w:tcPr>
                <w:p>
                  <w:pPr>
                    <w:adjustRightInd w:val="0"/>
                    <w:snapToGrid w:val="0"/>
                    <w:jc w:val="center"/>
                    <w:rPr>
                      <w:color w:val="auto"/>
                      <w:szCs w:val="21"/>
                      <w:highlight w:val="none"/>
                    </w:rPr>
                  </w:pPr>
                  <w:r>
                    <w:rPr>
                      <w:color w:val="auto"/>
                      <w:szCs w:val="21"/>
                      <w:highlight w:val="none"/>
                    </w:rPr>
                    <w:t>μg/m</w:t>
                  </w:r>
                  <w:r>
                    <w:rPr>
                      <w:color w:val="auto"/>
                      <w:szCs w:val="21"/>
                      <w:highlight w:val="none"/>
                      <w:vertAlign w:val="superscript"/>
                    </w:rPr>
                    <w:t>3</w:t>
                  </w:r>
                </w:p>
              </w:tc>
              <w:tc>
                <w:tcPr>
                  <w:tcW w:w="570" w:type="pct"/>
                  <w:vAlign w:val="center"/>
                </w:tcPr>
                <w:p>
                  <w:pPr>
                    <w:adjustRightInd w:val="0"/>
                    <w:snapToGrid w:val="0"/>
                    <w:jc w:val="center"/>
                    <w:rPr>
                      <w:color w:val="auto"/>
                      <w:szCs w:val="21"/>
                      <w:highlight w:val="none"/>
                    </w:rPr>
                  </w:pPr>
                  <w:r>
                    <w:rPr>
                      <w:color w:val="auto"/>
                      <w:szCs w:val="21"/>
                      <w:highlight w:val="none"/>
                    </w:rPr>
                    <w:t>60</w:t>
                  </w:r>
                </w:p>
              </w:tc>
              <w:tc>
                <w:tcPr>
                  <w:tcW w:w="731" w:type="pct"/>
                  <w:vAlign w:val="center"/>
                </w:tcPr>
                <w:p>
                  <w:pPr>
                    <w:adjustRightInd w:val="0"/>
                    <w:snapToGrid w:val="0"/>
                    <w:jc w:val="center"/>
                    <w:rPr>
                      <w:color w:val="auto"/>
                      <w:szCs w:val="21"/>
                      <w:highlight w:val="none"/>
                    </w:rPr>
                  </w:pPr>
                  <w:r>
                    <w:rPr>
                      <w:color w:val="auto"/>
                      <w:szCs w:val="21"/>
                      <w:highlight w:val="none"/>
                    </w:rPr>
                    <w:t>15.0</w:t>
                  </w:r>
                </w:p>
              </w:tc>
              <w:tc>
                <w:tcPr>
                  <w:tcW w:w="689" w:type="pct"/>
                  <w:vAlign w:val="center"/>
                </w:tcPr>
                <w:p>
                  <w:pPr>
                    <w:adjustRightInd w:val="0"/>
                    <w:snapToGrid w:val="0"/>
                    <w:jc w:val="center"/>
                    <w:rPr>
                      <w:color w:val="auto"/>
                      <w:szCs w:val="21"/>
                      <w:highlight w:val="none"/>
                    </w:rPr>
                  </w:pPr>
                  <w:r>
                    <w:rPr>
                      <w:color w:val="auto"/>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648" w:type="pct"/>
                  <w:vAlign w:val="center"/>
                </w:tcPr>
                <w:p>
                  <w:pPr>
                    <w:adjustRightInd w:val="0"/>
                    <w:snapToGrid w:val="0"/>
                    <w:jc w:val="center"/>
                    <w:rPr>
                      <w:color w:val="auto"/>
                      <w:szCs w:val="21"/>
                      <w:highlight w:val="none"/>
                    </w:rPr>
                  </w:pPr>
                  <w:r>
                    <w:rPr>
                      <w:color w:val="auto"/>
                      <w:szCs w:val="21"/>
                      <w:highlight w:val="none"/>
                    </w:rPr>
                    <w:t>NO</w:t>
                  </w:r>
                  <w:r>
                    <w:rPr>
                      <w:color w:val="auto"/>
                      <w:szCs w:val="21"/>
                      <w:highlight w:val="none"/>
                      <w:vertAlign w:val="subscript"/>
                    </w:rPr>
                    <w:t>2</w:t>
                  </w:r>
                </w:p>
              </w:tc>
              <w:tc>
                <w:tcPr>
                  <w:tcW w:w="1139" w:type="pct"/>
                  <w:vAlign w:val="center"/>
                </w:tcPr>
                <w:p>
                  <w:pPr>
                    <w:adjustRightInd w:val="0"/>
                    <w:snapToGrid w:val="0"/>
                    <w:jc w:val="center"/>
                    <w:rPr>
                      <w:color w:val="auto"/>
                      <w:szCs w:val="21"/>
                      <w:highlight w:val="none"/>
                    </w:rPr>
                  </w:pPr>
                  <w:r>
                    <w:rPr>
                      <w:color w:val="auto"/>
                      <w:szCs w:val="21"/>
                      <w:highlight w:val="none"/>
                    </w:rPr>
                    <w:t>年平均值</w:t>
                  </w:r>
                </w:p>
              </w:tc>
              <w:tc>
                <w:tcPr>
                  <w:tcW w:w="650" w:type="pct"/>
                  <w:vAlign w:val="center"/>
                </w:tcPr>
                <w:p>
                  <w:pPr>
                    <w:adjustRightInd w:val="0"/>
                    <w:snapToGrid w:val="0"/>
                    <w:jc w:val="center"/>
                    <w:rPr>
                      <w:color w:val="auto"/>
                      <w:szCs w:val="21"/>
                      <w:highlight w:val="none"/>
                    </w:rPr>
                  </w:pPr>
                  <w:r>
                    <w:rPr>
                      <w:color w:val="auto"/>
                      <w:szCs w:val="21"/>
                      <w:highlight w:val="none"/>
                    </w:rPr>
                    <w:t>31</w:t>
                  </w:r>
                </w:p>
              </w:tc>
              <w:tc>
                <w:tcPr>
                  <w:tcW w:w="571" w:type="pct"/>
                  <w:vMerge w:val="continue"/>
                  <w:vAlign w:val="center"/>
                </w:tcPr>
                <w:p>
                  <w:pPr>
                    <w:adjustRightInd w:val="0"/>
                    <w:snapToGrid w:val="0"/>
                    <w:jc w:val="center"/>
                    <w:rPr>
                      <w:color w:val="auto"/>
                      <w:szCs w:val="21"/>
                      <w:highlight w:val="none"/>
                    </w:rPr>
                  </w:pPr>
                </w:p>
              </w:tc>
              <w:tc>
                <w:tcPr>
                  <w:tcW w:w="570" w:type="pct"/>
                  <w:vAlign w:val="center"/>
                </w:tcPr>
                <w:p>
                  <w:pPr>
                    <w:adjustRightInd w:val="0"/>
                    <w:snapToGrid w:val="0"/>
                    <w:jc w:val="center"/>
                    <w:rPr>
                      <w:color w:val="auto"/>
                      <w:szCs w:val="21"/>
                      <w:highlight w:val="none"/>
                    </w:rPr>
                  </w:pPr>
                  <w:r>
                    <w:rPr>
                      <w:color w:val="auto"/>
                      <w:szCs w:val="21"/>
                      <w:highlight w:val="none"/>
                    </w:rPr>
                    <w:t>40</w:t>
                  </w:r>
                </w:p>
              </w:tc>
              <w:tc>
                <w:tcPr>
                  <w:tcW w:w="731" w:type="pct"/>
                  <w:vAlign w:val="center"/>
                </w:tcPr>
                <w:p>
                  <w:pPr>
                    <w:adjustRightInd w:val="0"/>
                    <w:snapToGrid w:val="0"/>
                    <w:jc w:val="center"/>
                    <w:rPr>
                      <w:color w:val="auto"/>
                      <w:szCs w:val="21"/>
                      <w:highlight w:val="none"/>
                    </w:rPr>
                  </w:pPr>
                  <w:r>
                    <w:rPr>
                      <w:color w:val="auto"/>
                      <w:szCs w:val="21"/>
                      <w:highlight w:val="none"/>
                    </w:rPr>
                    <w:t>77.5</w:t>
                  </w:r>
                </w:p>
              </w:tc>
              <w:tc>
                <w:tcPr>
                  <w:tcW w:w="689" w:type="pct"/>
                  <w:vAlign w:val="center"/>
                </w:tcPr>
                <w:p>
                  <w:pPr>
                    <w:adjustRightInd w:val="0"/>
                    <w:snapToGrid w:val="0"/>
                    <w:jc w:val="center"/>
                    <w:rPr>
                      <w:color w:val="auto"/>
                      <w:szCs w:val="21"/>
                      <w:highlight w:val="none"/>
                    </w:rPr>
                  </w:pPr>
                  <w:r>
                    <w:rPr>
                      <w:color w:val="auto"/>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648" w:type="pct"/>
                  <w:vAlign w:val="center"/>
                </w:tcPr>
                <w:p>
                  <w:pPr>
                    <w:adjustRightInd w:val="0"/>
                    <w:snapToGrid w:val="0"/>
                    <w:jc w:val="center"/>
                    <w:rPr>
                      <w:color w:val="auto"/>
                      <w:szCs w:val="21"/>
                      <w:highlight w:val="none"/>
                    </w:rPr>
                  </w:pPr>
                  <w:r>
                    <w:rPr>
                      <w:color w:val="auto"/>
                      <w:szCs w:val="21"/>
                      <w:highlight w:val="none"/>
                    </w:rPr>
                    <w:t>PM</w:t>
                  </w:r>
                  <w:r>
                    <w:rPr>
                      <w:color w:val="auto"/>
                      <w:szCs w:val="21"/>
                      <w:highlight w:val="none"/>
                      <w:vertAlign w:val="subscript"/>
                    </w:rPr>
                    <w:t>10</w:t>
                  </w:r>
                </w:p>
              </w:tc>
              <w:tc>
                <w:tcPr>
                  <w:tcW w:w="1139" w:type="pct"/>
                  <w:vAlign w:val="center"/>
                </w:tcPr>
                <w:p>
                  <w:pPr>
                    <w:adjustRightInd w:val="0"/>
                    <w:snapToGrid w:val="0"/>
                    <w:jc w:val="center"/>
                    <w:rPr>
                      <w:color w:val="auto"/>
                      <w:szCs w:val="21"/>
                      <w:highlight w:val="none"/>
                    </w:rPr>
                  </w:pPr>
                  <w:r>
                    <w:rPr>
                      <w:color w:val="auto"/>
                      <w:szCs w:val="21"/>
                      <w:highlight w:val="none"/>
                    </w:rPr>
                    <w:t>年平均值</w:t>
                  </w:r>
                </w:p>
              </w:tc>
              <w:tc>
                <w:tcPr>
                  <w:tcW w:w="650" w:type="pct"/>
                  <w:vAlign w:val="center"/>
                </w:tcPr>
                <w:p>
                  <w:pPr>
                    <w:adjustRightInd w:val="0"/>
                    <w:snapToGrid w:val="0"/>
                    <w:jc w:val="center"/>
                    <w:rPr>
                      <w:color w:val="auto"/>
                      <w:szCs w:val="21"/>
                      <w:highlight w:val="none"/>
                    </w:rPr>
                  </w:pPr>
                  <w:r>
                    <w:rPr>
                      <w:color w:val="auto"/>
                      <w:szCs w:val="21"/>
                      <w:highlight w:val="none"/>
                    </w:rPr>
                    <w:t>54</w:t>
                  </w:r>
                </w:p>
              </w:tc>
              <w:tc>
                <w:tcPr>
                  <w:tcW w:w="571" w:type="pct"/>
                  <w:vMerge w:val="continue"/>
                  <w:vAlign w:val="center"/>
                </w:tcPr>
                <w:p>
                  <w:pPr>
                    <w:adjustRightInd w:val="0"/>
                    <w:snapToGrid w:val="0"/>
                    <w:jc w:val="center"/>
                    <w:rPr>
                      <w:color w:val="auto"/>
                      <w:szCs w:val="21"/>
                      <w:highlight w:val="none"/>
                    </w:rPr>
                  </w:pPr>
                </w:p>
              </w:tc>
              <w:tc>
                <w:tcPr>
                  <w:tcW w:w="570" w:type="pct"/>
                  <w:vAlign w:val="center"/>
                </w:tcPr>
                <w:p>
                  <w:pPr>
                    <w:adjustRightInd w:val="0"/>
                    <w:snapToGrid w:val="0"/>
                    <w:jc w:val="center"/>
                    <w:rPr>
                      <w:color w:val="auto"/>
                      <w:szCs w:val="21"/>
                      <w:highlight w:val="none"/>
                    </w:rPr>
                  </w:pPr>
                  <w:r>
                    <w:rPr>
                      <w:color w:val="auto"/>
                      <w:szCs w:val="21"/>
                      <w:highlight w:val="none"/>
                    </w:rPr>
                    <w:t>70</w:t>
                  </w:r>
                </w:p>
              </w:tc>
              <w:tc>
                <w:tcPr>
                  <w:tcW w:w="731" w:type="pct"/>
                  <w:vAlign w:val="center"/>
                </w:tcPr>
                <w:p>
                  <w:pPr>
                    <w:adjustRightInd w:val="0"/>
                    <w:snapToGrid w:val="0"/>
                    <w:jc w:val="center"/>
                    <w:rPr>
                      <w:color w:val="auto"/>
                      <w:szCs w:val="21"/>
                      <w:highlight w:val="none"/>
                    </w:rPr>
                  </w:pPr>
                  <w:r>
                    <w:rPr>
                      <w:color w:val="auto"/>
                      <w:szCs w:val="21"/>
                      <w:highlight w:val="none"/>
                    </w:rPr>
                    <w:t>77.1</w:t>
                  </w:r>
                </w:p>
              </w:tc>
              <w:tc>
                <w:tcPr>
                  <w:tcW w:w="689" w:type="pct"/>
                  <w:vAlign w:val="center"/>
                </w:tcPr>
                <w:p>
                  <w:pPr>
                    <w:adjustRightInd w:val="0"/>
                    <w:snapToGrid w:val="0"/>
                    <w:jc w:val="center"/>
                    <w:rPr>
                      <w:color w:val="auto"/>
                      <w:szCs w:val="21"/>
                      <w:highlight w:val="none"/>
                    </w:rPr>
                  </w:pPr>
                  <w:r>
                    <w:rPr>
                      <w:color w:val="auto"/>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648" w:type="pct"/>
                  <w:vAlign w:val="center"/>
                </w:tcPr>
                <w:p>
                  <w:pPr>
                    <w:adjustRightInd w:val="0"/>
                    <w:snapToGrid w:val="0"/>
                    <w:jc w:val="center"/>
                    <w:rPr>
                      <w:color w:val="auto"/>
                      <w:szCs w:val="21"/>
                      <w:highlight w:val="none"/>
                    </w:rPr>
                  </w:pPr>
                  <w:r>
                    <w:rPr>
                      <w:color w:val="auto"/>
                      <w:szCs w:val="21"/>
                      <w:highlight w:val="none"/>
                    </w:rPr>
                    <w:t>PM</w:t>
                  </w:r>
                  <w:r>
                    <w:rPr>
                      <w:color w:val="auto"/>
                      <w:szCs w:val="21"/>
                      <w:highlight w:val="none"/>
                      <w:vertAlign w:val="subscript"/>
                    </w:rPr>
                    <w:t>2.5</w:t>
                  </w:r>
                </w:p>
              </w:tc>
              <w:tc>
                <w:tcPr>
                  <w:tcW w:w="1139" w:type="pct"/>
                  <w:vAlign w:val="center"/>
                </w:tcPr>
                <w:p>
                  <w:pPr>
                    <w:adjustRightInd w:val="0"/>
                    <w:snapToGrid w:val="0"/>
                    <w:jc w:val="center"/>
                    <w:rPr>
                      <w:color w:val="auto"/>
                      <w:szCs w:val="21"/>
                      <w:highlight w:val="none"/>
                    </w:rPr>
                  </w:pPr>
                  <w:r>
                    <w:rPr>
                      <w:color w:val="auto"/>
                      <w:szCs w:val="21"/>
                      <w:highlight w:val="none"/>
                    </w:rPr>
                    <w:t>年平均值</w:t>
                  </w:r>
                </w:p>
              </w:tc>
              <w:tc>
                <w:tcPr>
                  <w:tcW w:w="650" w:type="pct"/>
                  <w:vAlign w:val="center"/>
                </w:tcPr>
                <w:p>
                  <w:pPr>
                    <w:adjustRightInd w:val="0"/>
                    <w:snapToGrid w:val="0"/>
                    <w:jc w:val="center"/>
                    <w:rPr>
                      <w:color w:val="auto"/>
                      <w:szCs w:val="21"/>
                      <w:highlight w:val="none"/>
                    </w:rPr>
                  </w:pPr>
                  <w:r>
                    <w:rPr>
                      <w:color w:val="auto"/>
                      <w:szCs w:val="21"/>
                      <w:highlight w:val="none"/>
                    </w:rPr>
                    <w:t>31</w:t>
                  </w:r>
                </w:p>
              </w:tc>
              <w:tc>
                <w:tcPr>
                  <w:tcW w:w="571" w:type="pct"/>
                  <w:vMerge w:val="continue"/>
                  <w:vAlign w:val="center"/>
                </w:tcPr>
                <w:p>
                  <w:pPr>
                    <w:adjustRightInd w:val="0"/>
                    <w:snapToGrid w:val="0"/>
                    <w:jc w:val="center"/>
                    <w:rPr>
                      <w:color w:val="auto"/>
                      <w:szCs w:val="21"/>
                      <w:highlight w:val="none"/>
                    </w:rPr>
                  </w:pPr>
                </w:p>
              </w:tc>
              <w:tc>
                <w:tcPr>
                  <w:tcW w:w="570" w:type="pct"/>
                  <w:vAlign w:val="center"/>
                </w:tcPr>
                <w:p>
                  <w:pPr>
                    <w:adjustRightInd w:val="0"/>
                    <w:snapToGrid w:val="0"/>
                    <w:jc w:val="center"/>
                    <w:rPr>
                      <w:color w:val="auto"/>
                      <w:szCs w:val="21"/>
                      <w:highlight w:val="none"/>
                    </w:rPr>
                  </w:pPr>
                  <w:r>
                    <w:rPr>
                      <w:color w:val="auto"/>
                      <w:szCs w:val="21"/>
                      <w:highlight w:val="none"/>
                    </w:rPr>
                    <w:t>35</w:t>
                  </w:r>
                </w:p>
              </w:tc>
              <w:tc>
                <w:tcPr>
                  <w:tcW w:w="731" w:type="pct"/>
                  <w:vAlign w:val="center"/>
                </w:tcPr>
                <w:p>
                  <w:pPr>
                    <w:adjustRightInd w:val="0"/>
                    <w:snapToGrid w:val="0"/>
                    <w:jc w:val="center"/>
                    <w:rPr>
                      <w:color w:val="auto"/>
                      <w:szCs w:val="21"/>
                      <w:highlight w:val="none"/>
                    </w:rPr>
                  </w:pPr>
                  <w:r>
                    <w:rPr>
                      <w:color w:val="auto"/>
                      <w:szCs w:val="21"/>
                      <w:highlight w:val="none"/>
                    </w:rPr>
                    <w:t>88.6</w:t>
                  </w:r>
                </w:p>
              </w:tc>
              <w:tc>
                <w:tcPr>
                  <w:tcW w:w="689" w:type="pct"/>
                  <w:vAlign w:val="center"/>
                </w:tcPr>
                <w:p>
                  <w:pPr>
                    <w:adjustRightInd w:val="0"/>
                    <w:snapToGrid w:val="0"/>
                    <w:jc w:val="center"/>
                    <w:rPr>
                      <w:color w:val="auto"/>
                      <w:szCs w:val="21"/>
                      <w:highlight w:val="none"/>
                    </w:rPr>
                  </w:pPr>
                  <w:r>
                    <w:rPr>
                      <w:color w:val="auto"/>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48" w:type="pct"/>
                  <w:vAlign w:val="center"/>
                </w:tcPr>
                <w:p>
                  <w:pPr>
                    <w:adjustRightInd w:val="0"/>
                    <w:snapToGrid w:val="0"/>
                    <w:jc w:val="center"/>
                    <w:rPr>
                      <w:color w:val="auto"/>
                      <w:szCs w:val="21"/>
                      <w:highlight w:val="none"/>
                    </w:rPr>
                  </w:pPr>
                  <w:r>
                    <w:rPr>
                      <w:color w:val="auto"/>
                      <w:szCs w:val="21"/>
                      <w:highlight w:val="none"/>
                    </w:rPr>
                    <w:t>O</w:t>
                  </w:r>
                  <w:r>
                    <w:rPr>
                      <w:color w:val="auto"/>
                      <w:szCs w:val="21"/>
                      <w:highlight w:val="none"/>
                      <w:vertAlign w:val="subscript"/>
                    </w:rPr>
                    <w:t>3</w:t>
                  </w:r>
                </w:p>
              </w:tc>
              <w:tc>
                <w:tcPr>
                  <w:tcW w:w="1139" w:type="pct"/>
                  <w:vAlign w:val="center"/>
                </w:tcPr>
                <w:p>
                  <w:pPr>
                    <w:adjustRightInd w:val="0"/>
                    <w:snapToGrid w:val="0"/>
                    <w:jc w:val="center"/>
                    <w:rPr>
                      <w:color w:val="auto"/>
                      <w:szCs w:val="21"/>
                      <w:highlight w:val="none"/>
                    </w:rPr>
                  </w:pPr>
                  <w:r>
                    <w:rPr>
                      <w:color w:val="auto"/>
                      <w:szCs w:val="21"/>
                      <w:highlight w:val="none"/>
                    </w:rPr>
                    <w:t>日最大8小时平均第90百分位数</w:t>
                  </w:r>
                </w:p>
              </w:tc>
              <w:tc>
                <w:tcPr>
                  <w:tcW w:w="650" w:type="pct"/>
                  <w:vAlign w:val="center"/>
                </w:tcPr>
                <w:p>
                  <w:pPr>
                    <w:adjustRightInd w:val="0"/>
                    <w:snapToGrid w:val="0"/>
                    <w:jc w:val="center"/>
                    <w:rPr>
                      <w:color w:val="auto"/>
                      <w:szCs w:val="21"/>
                      <w:highlight w:val="none"/>
                    </w:rPr>
                  </w:pPr>
                  <w:r>
                    <w:rPr>
                      <w:color w:val="auto"/>
                      <w:szCs w:val="21"/>
                      <w:highlight w:val="none"/>
                    </w:rPr>
                    <w:t>116</w:t>
                  </w:r>
                </w:p>
              </w:tc>
              <w:tc>
                <w:tcPr>
                  <w:tcW w:w="571" w:type="pct"/>
                  <w:vMerge w:val="continue"/>
                  <w:vAlign w:val="center"/>
                </w:tcPr>
                <w:p>
                  <w:pPr>
                    <w:adjustRightInd w:val="0"/>
                    <w:snapToGrid w:val="0"/>
                    <w:jc w:val="center"/>
                    <w:rPr>
                      <w:color w:val="auto"/>
                      <w:szCs w:val="21"/>
                      <w:highlight w:val="none"/>
                    </w:rPr>
                  </w:pPr>
                </w:p>
              </w:tc>
              <w:tc>
                <w:tcPr>
                  <w:tcW w:w="570" w:type="pct"/>
                  <w:vAlign w:val="center"/>
                </w:tcPr>
                <w:p>
                  <w:pPr>
                    <w:adjustRightInd w:val="0"/>
                    <w:snapToGrid w:val="0"/>
                    <w:jc w:val="center"/>
                    <w:rPr>
                      <w:color w:val="auto"/>
                      <w:szCs w:val="21"/>
                      <w:highlight w:val="none"/>
                    </w:rPr>
                  </w:pPr>
                  <w:r>
                    <w:rPr>
                      <w:color w:val="auto"/>
                      <w:szCs w:val="21"/>
                      <w:highlight w:val="none"/>
                    </w:rPr>
                    <w:t>160</w:t>
                  </w:r>
                </w:p>
              </w:tc>
              <w:tc>
                <w:tcPr>
                  <w:tcW w:w="731" w:type="pct"/>
                  <w:vAlign w:val="center"/>
                </w:tcPr>
                <w:p>
                  <w:pPr>
                    <w:adjustRightInd w:val="0"/>
                    <w:snapToGrid w:val="0"/>
                    <w:jc w:val="center"/>
                    <w:rPr>
                      <w:color w:val="auto"/>
                      <w:szCs w:val="21"/>
                      <w:highlight w:val="none"/>
                    </w:rPr>
                  </w:pPr>
                  <w:r>
                    <w:rPr>
                      <w:color w:val="auto"/>
                      <w:szCs w:val="21"/>
                      <w:highlight w:val="none"/>
                    </w:rPr>
                    <w:t>72.5</w:t>
                  </w:r>
                </w:p>
              </w:tc>
              <w:tc>
                <w:tcPr>
                  <w:tcW w:w="689" w:type="pct"/>
                  <w:vAlign w:val="center"/>
                </w:tcPr>
                <w:p>
                  <w:pPr>
                    <w:adjustRightInd w:val="0"/>
                    <w:snapToGrid w:val="0"/>
                    <w:jc w:val="center"/>
                    <w:rPr>
                      <w:color w:val="auto"/>
                      <w:szCs w:val="21"/>
                      <w:highlight w:val="none"/>
                    </w:rPr>
                  </w:pPr>
                  <w:r>
                    <w:rPr>
                      <w:color w:val="auto"/>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48" w:type="pct"/>
                  <w:vAlign w:val="center"/>
                </w:tcPr>
                <w:p>
                  <w:pPr>
                    <w:adjustRightInd w:val="0"/>
                    <w:snapToGrid w:val="0"/>
                    <w:jc w:val="center"/>
                    <w:rPr>
                      <w:color w:val="auto"/>
                      <w:szCs w:val="21"/>
                      <w:highlight w:val="none"/>
                    </w:rPr>
                  </w:pPr>
                  <w:r>
                    <w:rPr>
                      <w:color w:val="auto"/>
                      <w:szCs w:val="21"/>
                      <w:highlight w:val="none"/>
                    </w:rPr>
                    <w:t>CO</w:t>
                  </w:r>
                </w:p>
              </w:tc>
              <w:tc>
                <w:tcPr>
                  <w:tcW w:w="1139" w:type="pct"/>
                  <w:vAlign w:val="center"/>
                </w:tcPr>
                <w:p>
                  <w:pPr>
                    <w:adjustRightInd w:val="0"/>
                    <w:snapToGrid w:val="0"/>
                    <w:jc w:val="center"/>
                    <w:rPr>
                      <w:color w:val="auto"/>
                      <w:szCs w:val="21"/>
                      <w:highlight w:val="none"/>
                    </w:rPr>
                  </w:pPr>
                  <w:r>
                    <w:rPr>
                      <w:color w:val="auto"/>
                      <w:szCs w:val="21"/>
                      <w:highlight w:val="none"/>
                    </w:rPr>
                    <w:t>24小时平均第95百分位数</w:t>
                  </w:r>
                </w:p>
              </w:tc>
              <w:tc>
                <w:tcPr>
                  <w:tcW w:w="650" w:type="pct"/>
                  <w:vAlign w:val="center"/>
                </w:tcPr>
                <w:p>
                  <w:pPr>
                    <w:adjustRightInd w:val="0"/>
                    <w:snapToGrid w:val="0"/>
                    <w:jc w:val="center"/>
                    <w:rPr>
                      <w:color w:val="auto"/>
                      <w:szCs w:val="21"/>
                      <w:highlight w:val="none"/>
                    </w:rPr>
                  </w:pPr>
                  <w:r>
                    <w:rPr>
                      <w:color w:val="auto"/>
                      <w:szCs w:val="21"/>
                      <w:highlight w:val="none"/>
                    </w:rPr>
                    <w:t>1.0</w:t>
                  </w:r>
                </w:p>
              </w:tc>
              <w:tc>
                <w:tcPr>
                  <w:tcW w:w="571" w:type="pct"/>
                  <w:vAlign w:val="center"/>
                </w:tcPr>
                <w:p>
                  <w:pPr>
                    <w:adjustRightInd w:val="0"/>
                    <w:snapToGrid w:val="0"/>
                    <w:jc w:val="center"/>
                    <w:rPr>
                      <w:color w:val="auto"/>
                      <w:szCs w:val="21"/>
                      <w:highlight w:val="none"/>
                    </w:rPr>
                  </w:pPr>
                  <w:r>
                    <w:rPr>
                      <w:color w:val="auto"/>
                      <w:szCs w:val="21"/>
                      <w:highlight w:val="none"/>
                    </w:rPr>
                    <w:t>mg/m</w:t>
                  </w:r>
                  <w:r>
                    <w:rPr>
                      <w:color w:val="auto"/>
                      <w:szCs w:val="21"/>
                      <w:highlight w:val="none"/>
                      <w:vertAlign w:val="superscript"/>
                    </w:rPr>
                    <w:t>3</w:t>
                  </w:r>
                </w:p>
              </w:tc>
              <w:tc>
                <w:tcPr>
                  <w:tcW w:w="570" w:type="pct"/>
                  <w:vAlign w:val="center"/>
                </w:tcPr>
                <w:p>
                  <w:pPr>
                    <w:adjustRightInd w:val="0"/>
                    <w:snapToGrid w:val="0"/>
                    <w:jc w:val="center"/>
                    <w:rPr>
                      <w:color w:val="auto"/>
                      <w:szCs w:val="21"/>
                      <w:highlight w:val="none"/>
                    </w:rPr>
                  </w:pPr>
                  <w:r>
                    <w:rPr>
                      <w:color w:val="auto"/>
                      <w:szCs w:val="21"/>
                      <w:highlight w:val="none"/>
                    </w:rPr>
                    <w:t>4</w:t>
                  </w:r>
                </w:p>
              </w:tc>
              <w:tc>
                <w:tcPr>
                  <w:tcW w:w="731" w:type="pct"/>
                  <w:vAlign w:val="center"/>
                </w:tcPr>
                <w:p>
                  <w:pPr>
                    <w:adjustRightInd w:val="0"/>
                    <w:snapToGrid w:val="0"/>
                    <w:jc w:val="center"/>
                    <w:rPr>
                      <w:color w:val="auto"/>
                      <w:szCs w:val="21"/>
                      <w:highlight w:val="none"/>
                    </w:rPr>
                  </w:pPr>
                  <w:r>
                    <w:rPr>
                      <w:color w:val="auto"/>
                      <w:szCs w:val="21"/>
                      <w:highlight w:val="none"/>
                    </w:rPr>
                    <w:t>25.0</w:t>
                  </w:r>
                </w:p>
              </w:tc>
              <w:tc>
                <w:tcPr>
                  <w:tcW w:w="689" w:type="pct"/>
                  <w:vAlign w:val="center"/>
                </w:tcPr>
                <w:p>
                  <w:pPr>
                    <w:adjustRightInd w:val="0"/>
                    <w:snapToGrid w:val="0"/>
                    <w:jc w:val="center"/>
                    <w:rPr>
                      <w:color w:val="auto"/>
                      <w:szCs w:val="21"/>
                      <w:highlight w:val="none"/>
                    </w:rPr>
                  </w:pPr>
                  <w:r>
                    <w:rPr>
                      <w:color w:val="auto"/>
                      <w:szCs w:val="21"/>
                      <w:highlight w:val="none"/>
                    </w:rPr>
                    <w:t>达标</w:t>
                  </w:r>
                </w:p>
              </w:tc>
            </w:tr>
          </w:tbl>
          <w:p>
            <w:pPr>
              <w:adjustRightInd w:val="0"/>
              <w:snapToGrid w:val="0"/>
              <w:spacing w:line="240" w:lineRule="auto"/>
              <w:ind w:firstLine="480" w:firstLineChars="200"/>
              <w:rPr>
                <w:color w:val="auto"/>
                <w:sz w:val="24"/>
                <w:szCs w:val="21"/>
                <w:highlight w:val="none"/>
              </w:rPr>
            </w:pPr>
          </w:p>
          <w:p>
            <w:pPr>
              <w:adjustRightInd w:val="0"/>
              <w:snapToGrid w:val="0"/>
              <w:spacing w:line="360" w:lineRule="auto"/>
              <w:ind w:firstLine="480" w:firstLineChars="200"/>
              <w:rPr>
                <w:color w:val="auto"/>
                <w:sz w:val="24"/>
                <w:szCs w:val="21"/>
                <w:highlight w:val="none"/>
              </w:rPr>
            </w:pPr>
            <w:r>
              <w:rPr>
                <w:color w:val="auto"/>
                <w:sz w:val="24"/>
                <w:szCs w:val="21"/>
                <w:highlight w:val="none"/>
              </w:rPr>
              <w:t>根据上表，2021年长春市环境空气质量可吸入颗粒物PM</w:t>
            </w:r>
            <w:r>
              <w:rPr>
                <w:color w:val="auto"/>
                <w:sz w:val="24"/>
                <w:szCs w:val="21"/>
                <w:highlight w:val="none"/>
                <w:vertAlign w:val="subscript"/>
              </w:rPr>
              <w:t>10</w:t>
            </w:r>
            <w:r>
              <w:rPr>
                <w:color w:val="auto"/>
                <w:sz w:val="24"/>
                <w:szCs w:val="21"/>
                <w:highlight w:val="none"/>
              </w:rPr>
              <w:t>、细颗粒物PM</w:t>
            </w:r>
            <w:r>
              <w:rPr>
                <w:color w:val="auto"/>
                <w:sz w:val="24"/>
                <w:szCs w:val="21"/>
                <w:highlight w:val="none"/>
                <w:vertAlign w:val="subscript"/>
              </w:rPr>
              <w:t>2.5</w:t>
            </w:r>
            <w:r>
              <w:rPr>
                <w:color w:val="auto"/>
                <w:sz w:val="24"/>
                <w:szCs w:val="21"/>
                <w:highlight w:val="none"/>
              </w:rPr>
              <w:t>、SO</w:t>
            </w:r>
            <w:r>
              <w:rPr>
                <w:color w:val="auto"/>
                <w:sz w:val="24"/>
                <w:szCs w:val="21"/>
                <w:highlight w:val="none"/>
                <w:vertAlign w:val="subscript"/>
              </w:rPr>
              <w:t>2</w:t>
            </w:r>
            <w:r>
              <w:rPr>
                <w:color w:val="auto"/>
                <w:sz w:val="24"/>
                <w:szCs w:val="21"/>
                <w:highlight w:val="none"/>
              </w:rPr>
              <w:t>、NO</w:t>
            </w:r>
            <w:r>
              <w:rPr>
                <w:color w:val="auto"/>
                <w:sz w:val="24"/>
                <w:szCs w:val="21"/>
                <w:highlight w:val="none"/>
                <w:vertAlign w:val="subscript"/>
              </w:rPr>
              <w:t>2</w:t>
            </w:r>
            <w:r>
              <w:rPr>
                <w:color w:val="auto"/>
                <w:sz w:val="24"/>
                <w:szCs w:val="21"/>
                <w:highlight w:val="none"/>
              </w:rPr>
              <w:t>的年均浓度及CO的24小时平均浓度第95百分位数、O</w:t>
            </w:r>
            <w:r>
              <w:rPr>
                <w:color w:val="auto"/>
                <w:sz w:val="24"/>
                <w:szCs w:val="21"/>
                <w:highlight w:val="none"/>
                <w:vertAlign w:val="subscript"/>
              </w:rPr>
              <w:t>3</w:t>
            </w:r>
            <w:r>
              <w:rPr>
                <w:color w:val="auto"/>
                <w:sz w:val="24"/>
                <w:szCs w:val="21"/>
                <w:highlight w:val="none"/>
              </w:rPr>
              <w:t>的日最大8小时平均浓度第90百分位数均优于国家《环境空气质量标准》(GB3095-2012)及修改单二级标准限值。</w:t>
            </w:r>
          </w:p>
          <w:p>
            <w:pPr>
              <w:spacing w:line="360" w:lineRule="auto"/>
              <w:ind w:firstLine="480"/>
              <w:rPr>
                <w:rFonts w:hint="default" w:ascii="Times New Roman" w:hAnsi="Times New Roman" w:eastAsia="宋体" w:cs="Times New Roman"/>
                <w:i w:val="0"/>
                <w:iCs w:val="0"/>
                <w:color w:val="auto"/>
                <w:sz w:val="24"/>
                <w:highlight w:val="none"/>
                <w:u w:val="none"/>
                <w:shd w:val="clear" w:color="auto" w:fill="auto"/>
                <w:lang w:val="en-US" w:eastAsia="zh-CN"/>
              </w:rPr>
            </w:pPr>
            <w:r>
              <w:rPr>
                <w:rFonts w:hint="default" w:ascii="Times New Roman" w:hAnsi="Times New Roman" w:eastAsia="宋体" w:cs="Times New Roman"/>
                <w:i w:val="0"/>
                <w:iCs w:val="0"/>
                <w:color w:val="auto"/>
                <w:sz w:val="24"/>
                <w:highlight w:val="none"/>
                <w:u w:val="none"/>
                <w:shd w:val="clear" w:color="auto" w:fill="auto"/>
                <w:lang w:val="en-US" w:eastAsia="zh-CN"/>
              </w:rPr>
              <w:t>1.2其他污染物环境质量现状</w:t>
            </w:r>
          </w:p>
          <w:p>
            <w:pPr>
              <w:spacing w:line="360" w:lineRule="auto"/>
              <w:ind w:firstLine="480"/>
              <w:rPr>
                <w:rFonts w:hint="default" w:ascii="Times New Roman" w:hAnsi="Times New Roman" w:eastAsia="宋体" w:cs="Times New Roman"/>
                <w:i w:val="0"/>
                <w:iCs w:val="0"/>
                <w:color w:val="auto"/>
                <w:sz w:val="24"/>
                <w:highlight w:val="none"/>
                <w:u w:val="none"/>
                <w:shd w:val="clear" w:color="auto" w:fill="auto"/>
                <w:lang w:val="en-US" w:eastAsia="zh-CN"/>
              </w:rPr>
            </w:pPr>
            <w:r>
              <w:rPr>
                <w:rFonts w:hint="eastAsia" w:cs="Times New Roman"/>
                <w:i w:val="0"/>
                <w:iCs w:val="0"/>
                <w:color w:val="auto"/>
                <w:sz w:val="24"/>
                <w:highlight w:val="none"/>
                <w:u w:val="none"/>
                <w:shd w:val="clear" w:color="auto" w:fill="auto"/>
                <w:lang w:val="en-US" w:eastAsia="zh-CN"/>
              </w:rPr>
              <w:t>（1）</w:t>
            </w:r>
            <w:r>
              <w:rPr>
                <w:rFonts w:hint="default" w:ascii="Times New Roman" w:hAnsi="Times New Roman" w:eastAsia="宋体" w:cs="Times New Roman"/>
                <w:i w:val="0"/>
                <w:iCs w:val="0"/>
                <w:color w:val="auto"/>
                <w:sz w:val="24"/>
                <w:highlight w:val="none"/>
                <w:u w:val="none"/>
                <w:shd w:val="clear" w:color="auto" w:fill="auto"/>
                <w:lang w:val="en-US" w:eastAsia="zh-CN"/>
              </w:rPr>
              <w:t>监测点位</w:t>
            </w:r>
          </w:p>
          <w:p>
            <w:pPr>
              <w:spacing w:line="360" w:lineRule="auto"/>
              <w:ind w:firstLine="480"/>
              <w:rPr>
                <w:rFonts w:hint="default" w:ascii="Times New Roman" w:hAnsi="Times New Roman" w:eastAsia="宋体" w:cs="Times New Roman"/>
                <w:i w:val="0"/>
                <w:iCs w:val="0"/>
                <w:color w:val="auto"/>
                <w:sz w:val="24"/>
                <w:highlight w:val="none"/>
                <w:u w:val="none"/>
                <w:shd w:val="clear" w:color="auto" w:fill="auto"/>
                <w:lang w:val="en-US" w:eastAsia="zh-CN"/>
              </w:rPr>
            </w:pPr>
            <w:r>
              <w:rPr>
                <w:rFonts w:hint="eastAsia" w:ascii="Times New Roman" w:hAnsi="Times New Roman" w:eastAsia="宋体" w:cs="Times New Roman"/>
                <w:i w:val="0"/>
                <w:iCs w:val="0"/>
                <w:color w:val="auto"/>
                <w:sz w:val="24"/>
                <w:highlight w:val="none"/>
                <w:u w:val="none"/>
                <w:shd w:val="clear" w:color="auto" w:fill="auto"/>
                <w:lang w:val="en-US" w:eastAsia="zh-CN"/>
              </w:rPr>
              <w:t>本</w:t>
            </w:r>
            <w:r>
              <w:rPr>
                <w:rFonts w:hint="default" w:ascii="Times New Roman" w:hAnsi="Times New Roman" w:eastAsia="宋体" w:cs="Times New Roman"/>
                <w:i w:val="0"/>
                <w:iCs w:val="0"/>
                <w:color w:val="auto"/>
                <w:sz w:val="24"/>
                <w:highlight w:val="none"/>
                <w:u w:val="none"/>
                <w:shd w:val="clear" w:color="auto" w:fill="auto"/>
                <w:lang w:val="en-US" w:eastAsia="zh-CN"/>
              </w:rPr>
              <w:t>项目</w:t>
            </w:r>
            <w:r>
              <w:rPr>
                <w:rFonts w:hint="eastAsia" w:ascii="Times New Roman" w:hAnsi="Times New Roman" w:eastAsia="宋体" w:cs="Times New Roman"/>
                <w:i w:val="0"/>
                <w:iCs w:val="0"/>
                <w:color w:val="auto"/>
                <w:sz w:val="24"/>
                <w:highlight w:val="none"/>
                <w:u w:val="none"/>
                <w:shd w:val="clear" w:color="auto" w:fill="auto"/>
                <w:lang w:val="en-US" w:eastAsia="zh-CN"/>
              </w:rPr>
              <w:t>环境空气补充监测数据</w:t>
            </w:r>
            <w:r>
              <w:rPr>
                <w:rFonts w:hint="default" w:ascii="Times New Roman" w:hAnsi="Times New Roman" w:eastAsia="宋体" w:cs="Times New Roman"/>
                <w:i w:val="0"/>
                <w:iCs w:val="0"/>
                <w:color w:val="auto"/>
                <w:sz w:val="24"/>
                <w:highlight w:val="none"/>
                <w:u w:val="none"/>
                <w:shd w:val="clear" w:color="auto" w:fill="auto"/>
                <w:lang w:val="en-US" w:eastAsia="zh-CN"/>
              </w:rPr>
              <w:t>引用</w:t>
            </w:r>
            <w:r>
              <w:rPr>
                <w:rFonts w:hint="eastAsia" w:ascii="Times New Roman" w:hAnsi="Times New Roman" w:eastAsia="宋体" w:cs="Times New Roman"/>
                <w:i w:val="0"/>
                <w:iCs w:val="0"/>
                <w:color w:val="auto"/>
                <w:sz w:val="24"/>
                <w:highlight w:val="none"/>
                <w:u w:val="none"/>
                <w:shd w:val="clear" w:color="auto" w:fill="auto"/>
                <w:lang w:val="en-US" w:eastAsia="zh-CN"/>
              </w:rPr>
              <w:t>吉林省源地环保科技咨询有限公司</w:t>
            </w:r>
            <w:r>
              <w:rPr>
                <w:rFonts w:hint="default" w:ascii="Times New Roman" w:hAnsi="Times New Roman" w:eastAsia="宋体" w:cs="Times New Roman"/>
                <w:i w:val="0"/>
                <w:iCs w:val="0"/>
                <w:color w:val="auto"/>
                <w:sz w:val="24"/>
                <w:highlight w:val="none"/>
                <w:u w:val="none"/>
                <w:shd w:val="clear" w:color="auto" w:fill="auto"/>
                <w:lang w:val="en-US" w:eastAsia="zh-CN"/>
              </w:rPr>
              <w:t>出具的</w:t>
            </w:r>
            <w:r>
              <w:rPr>
                <w:rFonts w:hint="eastAsia" w:ascii="Times New Roman" w:hAnsi="Times New Roman" w:eastAsia="宋体" w:cs="Times New Roman"/>
                <w:i w:val="0"/>
                <w:iCs w:val="0"/>
                <w:color w:val="auto"/>
                <w:sz w:val="24"/>
                <w:highlight w:val="none"/>
                <w:u w:val="none"/>
                <w:shd w:val="clear" w:color="auto" w:fill="auto"/>
                <w:lang w:val="en-US" w:eastAsia="zh-CN"/>
              </w:rPr>
              <w:t>《长春市常春汽车内饰件有限公司新增内饰扩能项目及涂装环保设施改造项目》检测报告</w:t>
            </w:r>
            <w:r>
              <w:rPr>
                <w:rFonts w:hint="default" w:ascii="Times New Roman" w:hAnsi="Times New Roman" w:eastAsia="宋体" w:cs="Times New Roman"/>
                <w:i w:val="0"/>
                <w:iCs w:val="0"/>
                <w:color w:val="auto"/>
                <w:sz w:val="24"/>
                <w:highlight w:val="none"/>
                <w:u w:val="none"/>
                <w:shd w:val="clear" w:color="auto" w:fill="auto"/>
                <w:lang w:val="en-US" w:eastAsia="zh-CN"/>
              </w:rPr>
              <w:t>。本次共</w:t>
            </w:r>
            <w:r>
              <w:rPr>
                <w:rFonts w:hint="eastAsia" w:ascii="Times New Roman" w:hAnsi="Times New Roman" w:eastAsia="宋体" w:cs="Times New Roman"/>
                <w:i w:val="0"/>
                <w:iCs w:val="0"/>
                <w:color w:val="auto"/>
                <w:sz w:val="24"/>
                <w:highlight w:val="none"/>
                <w:u w:val="none"/>
                <w:shd w:val="clear" w:color="auto" w:fill="auto"/>
                <w:lang w:val="en-US" w:eastAsia="zh-CN"/>
              </w:rPr>
              <w:t>引用1</w:t>
            </w:r>
            <w:r>
              <w:rPr>
                <w:rFonts w:hint="default" w:ascii="Times New Roman" w:hAnsi="Times New Roman" w:eastAsia="宋体" w:cs="Times New Roman"/>
                <w:i w:val="0"/>
                <w:iCs w:val="0"/>
                <w:color w:val="auto"/>
                <w:sz w:val="24"/>
                <w:highlight w:val="none"/>
                <w:u w:val="none"/>
                <w:shd w:val="clear" w:color="auto" w:fill="auto"/>
                <w:lang w:val="en-US" w:eastAsia="zh-CN"/>
              </w:rPr>
              <w:t>个环境空气质量监测点，监测点布设见表</w:t>
            </w:r>
            <w:r>
              <w:rPr>
                <w:rFonts w:hint="eastAsia" w:ascii="Times New Roman" w:hAnsi="Times New Roman" w:eastAsia="宋体" w:cs="Times New Roman"/>
                <w:i w:val="0"/>
                <w:iCs w:val="0"/>
                <w:color w:val="auto"/>
                <w:sz w:val="24"/>
                <w:highlight w:val="none"/>
                <w:u w:val="none"/>
                <w:shd w:val="clear" w:color="auto" w:fill="auto"/>
                <w:lang w:val="en-US" w:eastAsia="zh-CN"/>
              </w:rPr>
              <w:t>25</w:t>
            </w:r>
            <w:r>
              <w:rPr>
                <w:rFonts w:hint="default" w:ascii="Times New Roman" w:hAnsi="Times New Roman" w:eastAsia="宋体" w:cs="Times New Roman"/>
                <w:i w:val="0"/>
                <w:iCs w:val="0"/>
                <w:color w:val="auto"/>
                <w:sz w:val="24"/>
                <w:highlight w:val="none"/>
                <w:u w:val="none"/>
                <w:shd w:val="clear" w:color="auto" w:fill="auto"/>
                <w:lang w:val="en-US" w:eastAsia="zh-CN"/>
              </w:rPr>
              <w:t>和附图</w:t>
            </w:r>
            <w:r>
              <w:rPr>
                <w:rFonts w:hint="eastAsia" w:ascii="Times New Roman" w:hAnsi="Times New Roman" w:eastAsia="宋体" w:cs="Times New Roman"/>
                <w:i w:val="0"/>
                <w:iCs w:val="0"/>
                <w:color w:val="auto"/>
                <w:sz w:val="24"/>
                <w:highlight w:val="none"/>
                <w:u w:val="none"/>
                <w:shd w:val="clear" w:color="auto" w:fill="auto"/>
                <w:lang w:val="en-US" w:eastAsia="zh-CN"/>
              </w:rPr>
              <w:t>7</w:t>
            </w:r>
            <w:r>
              <w:rPr>
                <w:rFonts w:hint="default" w:ascii="Times New Roman" w:hAnsi="Times New Roman" w:eastAsia="宋体" w:cs="Times New Roman"/>
                <w:i w:val="0"/>
                <w:iCs w:val="0"/>
                <w:color w:val="auto"/>
                <w:sz w:val="24"/>
                <w:highlight w:val="none"/>
                <w:u w:val="none"/>
                <w:shd w:val="clear" w:color="auto" w:fill="auto"/>
                <w:lang w:val="en-US" w:eastAsia="zh-CN"/>
              </w:rPr>
              <w:t>。</w:t>
            </w:r>
          </w:p>
          <w:p>
            <w:pPr>
              <w:pStyle w:val="8"/>
              <w:bidi w:val="0"/>
              <w:rPr>
                <w:rFonts w:hint="default" w:ascii="Times New Roman" w:hAnsi="Times New Roman" w:cs="Times New Roman"/>
                <w:b/>
                <w:bCs w:val="0"/>
                <w:i w:val="0"/>
                <w:iCs w:val="0"/>
                <w:color w:val="auto"/>
                <w:highlight w:val="none"/>
                <w:u w:val="none"/>
                <w:shd w:val="clear" w:color="auto" w:fill="auto"/>
                <w:lang w:val="en-US" w:eastAsia="zh-CN"/>
              </w:rPr>
            </w:pPr>
            <w:r>
              <w:rPr>
                <w:rFonts w:hint="default" w:ascii="Times New Roman" w:hAnsi="Times New Roman" w:cs="Times New Roman"/>
                <w:b/>
                <w:bCs w:val="0"/>
                <w:i w:val="0"/>
                <w:iCs w:val="0"/>
                <w:color w:val="auto"/>
                <w:highlight w:val="none"/>
                <w:u w:val="none"/>
                <w:shd w:val="clear" w:color="auto" w:fill="auto"/>
                <w:lang w:val="en-US" w:eastAsia="zh-CN"/>
              </w:rPr>
              <w:t>表</w:t>
            </w:r>
            <w:r>
              <w:rPr>
                <w:rFonts w:hint="eastAsia" w:cs="Times New Roman"/>
                <w:b/>
                <w:bCs w:val="0"/>
                <w:i w:val="0"/>
                <w:iCs w:val="0"/>
                <w:color w:val="auto"/>
                <w:highlight w:val="none"/>
                <w:u w:val="none"/>
                <w:shd w:val="clear" w:color="auto" w:fill="auto"/>
                <w:lang w:val="en-US" w:eastAsia="zh-CN"/>
              </w:rPr>
              <w:t>3-2</w:t>
            </w:r>
            <w:r>
              <w:rPr>
                <w:rFonts w:hint="default" w:ascii="Times New Roman" w:hAnsi="Times New Roman" w:cs="Times New Roman"/>
                <w:b/>
                <w:bCs w:val="0"/>
                <w:i w:val="0"/>
                <w:iCs w:val="0"/>
                <w:color w:val="auto"/>
                <w:highlight w:val="none"/>
                <w:u w:val="none"/>
                <w:shd w:val="clear" w:color="auto" w:fill="auto"/>
                <w:lang w:val="en-US" w:eastAsia="zh-CN"/>
              </w:rPr>
              <w:t xml:space="preserve">  环境空气质量监测点位置表</w:t>
            </w:r>
          </w:p>
          <w:tbl>
            <w:tblPr>
              <w:tblStyle w:val="30"/>
              <w:tblW w:w="835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329"/>
              <w:gridCol w:w="930"/>
              <w:gridCol w:w="888"/>
              <w:gridCol w:w="859"/>
              <w:gridCol w:w="1156"/>
              <w:gridCol w:w="1156"/>
              <w:gridCol w:w="13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714" w:type="dxa"/>
                  <w:vMerge w:val="restart"/>
                  <w:noWrap w:val="0"/>
                  <w:vAlign w:val="center"/>
                </w:tcPr>
                <w:p>
                  <w:pPr>
                    <w:jc w:val="center"/>
                    <w:rPr>
                      <w:rFonts w:hint="default" w:ascii="Times New Roman" w:hAnsi="Times New Roman" w:cs="Times New Roman"/>
                      <w:i w:val="0"/>
                      <w:iCs w:val="0"/>
                      <w:color w:val="auto"/>
                      <w:sz w:val="21"/>
                      <w:szCs w:val="21"/>
                      <w:highlight w:val="none"/>
                      <w:u w:val="none"/>
                      <w:shd w:val="clear" w:color="auto" w:fill="auto"/>
                    </w:rPr>
                  </w:pPr>
                  <w:r>
                    <w:rPr>
                      <w:rFonts w:hint="default" w:ascii="Times New Roman" w:hAnsi="Times New Roman" w:cs="Times New Roman"/>
                      <w:i w:val="0"/>
                      <w:iCs w:val="0"/>
                      <w:color w:val="auto"/>
                      <w:sz w:val="21"/>
                      <w:szCs w:val="21"/>
                      <w:highlight w:val="none"/>
                      <w:u w:val="none"/>
                      <w:shd w:val="clear" w:color="auto" w:fill="auto"/>
                    </w:rPr>
                    <w:t>序号</w:t>
                  </w:r>
                </w:p>
              </w:tc>
              <w:tc>
                <w:tcPr>
                  <w:tcW w:w="1329" w:type="dxa"/>
                  <w:vMerge w:val="restart"/>
                  <w:noWrap w:val="0"/>
                  <w:vAlign w:val="center"/>
                </w:tcPr>
                <w:p>
                  <w:pPr>
                    <w:jc w:val="center"/>
                    <w:rPr>
                      <w:rFonts w:hint="default" w:ascii="Times New Roman" w:hAnsi="Times New Roman" w:eastAsia="宋体" w:cs="Times New Roman"/>
                      <w:i w:val="0"/>
                      <w:iCs w:val="0"/>
                      <w:color w:val="auto"/>
                      <w:sz w:val="21"/>
                      <w:szCs w:val="21"/>
                      <w:highlight w:val="none"/>
                      <w:u w:val="none"/>
                      <w:shd w:val="clear" w:color="auto" w:fill="auto"/>
                      <w:lang w:val="en-US" w:eastAsia="zh-CN"/>
                    </w:rPr>
                  </w:pPr>
                  <w:r>
                    <w:rPr>
                      <w:rFonts w:hint="default" w:ascii="Times New Roman" w:hAnsi="Times New Roman" w:cs="Times New Roman"/>
                      <w:i w:val="0"/>
                      <w:iCs w:val="0"/>
                      <w:color w:val="auto"/>
                      <w:sz w:val="21"/>
                      <w:szCs w:val="21"/>
                      <w:highlight w:val="none"/>
                      <w:u w:val="none"/>
                      <w:shd w:val="clear" w:color="auto" w:fill="auto"/>
                    </w:rPr>
                    <w:t>监测点</w:t>
                  </w:r>
                  <w:r>
                    <w:rPr>
                      <w:rFonts w:hint="default" w:ascii="Times New Roman" w:hAnsi="Times New Roman" w:cs="Times New Roman"/>
                      <w:i w:val="0"/>
                      <w:iCs w:val="0"/>
                      <w:color w:val="auto"/>
                      <w:sz w:val="21"/>
                      <w:szCs w:val="21"/>
                      <w:highlight w:val="none"/>
                      <w:u w:val="none"/>
                      <w:shd w:val="clear" w:color="auto" w:fill="auto"/>
                      <w:lang w:val="en-US" w:eastAsia="zh-CN"/>
                    </w:rPr>
                    <w:t>位名称</w:t>
                  </w:r>
                </w:p>
              </w:tc>
              <w:tc>
                <w:tcPr>
                  <w:tcW w:w="1818" w:type="dxa"/>
                  <w:gridSpan w:val="2"/>
                  <w:noWrap w:val="0"/>
                  <w:vAlign w:val="center"/>
                </w:tcPr>
                <w:p>
                  <w:pPr>
                    <w:jc w:val="center"/>
                    <w:rPr>
                      <w:rFonts w:hint="default" w:ascii="Times New Roman" w:hAnsi="Times New Roman" w:eastAsia="宋体" w:cs="Times New Roman"/>
                      <w:i w:val="0"/>
                      <w:iCs w:val="0"/>
                      <w:color w:val="auto"/>
                      <w:sz w:val="21"/>
                      <w:szCs w:val="21"/>
                      <w:highlight w:val="none"/>
                      <w:u w:val="none"/>
                      <w:shd w:val="clear" w:color="auto" w:fill="auto"/>
                      <w:lang w:val="en-US" w:eastAsia="zh-CN"/>
                    </w:rPr>
                  </w:pPr>
                  <w:r>
                    <w:rPr>
                      <w:rFonts w:hint="default" w:ascii="Times New Roman" w:hAnsi="Times New Roman" w:cs="Times New Roman"/>
                      <w:i w:val="0"/>
                      <w:iCs w:val="0"/>
                      <w:color w:val="auto"/>
                      <w:sz w:val="21"/>
                      <w:szCs w:val="21"/>
                      <w:highlight w:val="none"/>
                      <w:u w:val="none"/>
                      <w:shd w:val="clear" w:color="auto" w:fill="auto"/>
                      <w:lang w:val="en-US" w:eastAsia="zh-CN"/>
                    </w:rPr>
                    <w:t>监测点位坐标（m）</w:t>
                  </w:r>
                </w:p>
              </w:tc>
              <w:tc>
                <w:tcPr>
                  <w:tcW w:w="859" w:type="dxa"/>
                  <w:vMerge w:val="restart"/>
                  <w:noWrap w:val="0"/>
                  <w:vAlign w:val="center"/>
                </w:tcPr>
                <w:p>
                  <w:pPr>
                    <w:jc w:val="center"/>
                    <w:rPr>
                      <w:rFonts w:hint="default" w:ascii="Times New Roman" w:hAnsi="Times New Roman" w:cs="Times New Roman"/>
                      <w:i w:val="0"/>
                      <w:iCs w:val="0"/>
                      <w:color w:val="auto"/>
                      <w:sz w:val="21"/>
                      <w:szCs w:val="21"/>
                      <w:highlight w:val="none"/>
                      <w:u w:val="none"/>
                      <w:shd w:val="clear" w:color="auto" w:fill="auto"/>
                      <w:lang w:val="en-US" w:eastAsia="zh-CN"/>
                    </w:rPr>
                  </w:pPr>
                  <w:r>
                    <w:rPr>
                      <w:rFonts w:hint="default" w:ascii="Times New Roman" w:hAnsi="Times New Roman" w:cs="Times New Roman"/>
                      <w:i w:val="0"/>
                      <w:iCs w:val="0"/>
                      <w:color w:val="auto"/>
                      <w:sz w:val="21"/>
                      <w:szCs w:val="21"/>
                      <w:highlight w:val="none"/>
                      <w:u w:val="none"/>
                      <w:shd w:val="clear" w:color="auto" w:fill="auto"/>
                      <w:lang w:val="en-US" w:eastAsia="zh-CN"/>
                    </w:rPr>
                    <w:t>监测</w:t>
                  </w:r>
                </w:p>
                <w:p>
                  <w:pPr>
                    <w:jc w:val="center"/>
                    <w:rPr>
                      <w:rFonts w:hint="default" w:ascii="Times New Roman" w:hAnsi="Times New Roman" w:eastAsia="宋体" w:cs="Times New Roman"/>
                      <w:i w:val="0"/>
                      <w:iCs w:val="0"/>
                      <w:color w:val="auto"/>
                      <w:sz w:val="21"/>
                      <w:szCs w:val="21"/>
                      <w:highlight w:val="none"/>
                      <w:u w:val="none"/>
                      <w:shd w:val="clear" w:color="auto" w:fill="auto"/>
                      <w:lang w:val="en-US" w:eastAsia="zh-CN"/>
                    </w:rPr>
                  </w:pPr>
                  <w:r>
                    <w:rPr>
                      <w:rFonts w:hint="default" w:ascii="Times New Roman" w:hAnsi="Times New Roman" w:cs="Times New Roman"/>
                      <w:i w:val="0"/>
                      <w:iCs w:val="0"/>
                      <w:color w:val="auto"/>
                      <w:sz w:val="21"/>
                      <w:szCs w:val="21"/>
                      <w:highlight w:val="none"/>
                      <w:u w:val="none"/>
                      <w:shd w:val="clear" w:color="auto" w:fill="auto"/>
                      <w:lang w:val="en-US" w:eastAsia="zh-CN"/>
                    </w:rPr>
                    <w:t>因子</w:t>
                  </w:r>
                </w:p>
              </w:tc>
              <w:tc>
                <w:tcPr>
                  <w:tcW w:w="1156" w:type="dxa"/>
                  <w:vMerge w:val="restart"/>
                  <w:noWrap w:val="0"/>
                  <w:vAlign w:val="center"/>
                </w:tcPr>
                <w:p>
                  <w:pPr>
                    <w:jc w:val="center"/>
                    <w:rPr>
                      <w:rFonts w:hint="default" w:ascii="Times New Roman" w:hAnsi="Times New Roman" w:cs="Times New Roman"/>
                      <w:i w:val="0"/>
                      <w:iCs w:val="0"/>
                      <w:color w:val="auto"/>
                      <w:sz w:val="21"/>
                      <w:szCs w:val="21"/>
                      <w:highlight w:val="none"/>
                      <w:u w:val="none"/>
                      <w:shd w:val="clear" w:color="auto" w:fill="auto"/>
                      <w:lang w:val="en-US" w:eastAsia="zh-CN"/>
                    </w:rPr>
                  </w:pPr>
                  <w:r>
                    <w:rPr>
                      <w:rFonts w:hint="default" w:ascii="Times New Roman" w:hAnsi="Times New Roman" w:cs="Times New Roman"/>
                      <w:i w:val="0"/>
                      <w:iCs w:val="0"/>
                      <w:color w:val="auto"/>
                      <w:sz w:val="21"/>
                      <w:szCs w:val="21"/>
                      <w:highlight w:val="none"/>
                      <w:u w:val="none"/>
                      <w:shd w:val="clear" w:color="auto" w:fill="auto"/>
                      <w:lang w:val="en-US" w:eastAsia="zh-CN"/>
                    </w:rPr>
                    <w:t>监测时段</w:t>
                  </w:r>
                </w:p>
              </w:tc>
              <w:tc>
                <w:tcPr>
                  <w:tcW w:w="1156" w:type="dxa"/>
                  <w:vMerge w:val="restart"/>
                  <w:noWrap w:val="0"/>
                  <w:vAlign w:val="center"/>
                </w:tcPr>
                <w:p>
                  <w:pPr>
                    <w:jc w:val="center"/>
                    <w:rPr>
                      <w:rFonts w:hint="default" w:ascii="Times New Roman" w:hAnsi="Times New Roman" w:cs="Times New Roman"/>
                      <w:i w:val="0"/>
                      <w:iCs w:val="0"/>
                      <w:color w:val="auto"/>
                      <w:sz w:val="21"/>
                      <w:szCs w:val="21"/>
                      <w:highlight w:val="none"/>
                      <w:u w:val="none"/>
                      <w:shd w:val="clear" w:color="auto" w:fill="auto"/>
                      <w:lang w:val="en-US" w:eastAsia="zh-CN"/>
                    </w:rPr>
                  </w:pPr>
                  <w:r>
                    <w:rPr>
                      <w:rFonts w:hint="default" w:ascii="Times New Roman" w:hAnsi="Times New Roman" w:cs="Times New Roman"/>
                      <w:i w:val="0"/>
                      <w:iCs w:val="0"/>
                      <w:color w:val="auto"/>
                      <w:sz w:val="21"/>
                      <w:szCs w:val="21"/>
                      <w:highlight w:val="none"/>
                      <w:u w:val="none"/>
                      <w:shd w:val="clear" w:color="auto" w:fill="auto"/>
                      <w:lang w:val="en-US" w:eastAsia="zh-CN"/>
                    </w:rPr>
                    <w:t>相对厂址</w:t>
                  </w:r>
                </w:p>
                <w:p>
                  <w:pPr>
                    <w:jc w:val="center"/>
                    <w:rPr>
                      <w:rFonts w:hint="default" w:ascii="Times New Roman" w:hAnsi="Times New Roman" w:eastAsia="宋体" w:cs="Times New Roman"/>
                      <w:i w:val="0"/>
                      <w:iCs w:val="0"/>
                      <w:color w:val="auto"/>
                      <w:sz w:val="21"/>
                      <w:szCs w:val="21"/>
                      <w:highlight w:val="none"/>
                      <w:u w:val="none"/>
                      <w:shd w:val="clear" w:color="auto" w:fill="auto"/>
                      <w:lang w:val="en-US" w:eastAsia="zh-CN"/>
                    </w:rPr>
                  </w:pPr>
                  <w:r>
                    <w:rPr>
                      <w:rFonts w:hint="default" w:ascii="Times New Roman" w:hAnsi="Times New Roman" w:cs="Times New Roman"/>
                      <w:i w:val="0"/>
                      <w:iCs w:val="0"/>
                      <w:color w:val="auto"/>
                      <w:sz w:val="21"/>
                      <w:szCs w:val="21"/>
                      <w:highlight w:val="none"/>
                      <w:u w:val="none"/>
                      <w:shd w:val="clear" w:color="auto" w:fill="auto"/>
                      <w:lang w:val="en-US" w:eastAsia="zh-CN"/>
                    </w:rPr>
                    <w:t>方位</w:t>
                  </w:r>
                </w:p>
              </w:tc>
              <w:tc>
                <w:tcPr>
                  <w:tcW w:w="1326" w:type="dxa"/>
                  <w:vMerge w:val="restart"/>
                  <w:noWrap w:val="0"/>
                  <w:vAlign w:val="center"/>
                </w:tcPr>
                <w:p>
                  <w:pPr>
                    <w:jc w:val="center"/>
                    <w:rPr>
                      <w:rFonts w:hint="default" w:ascii="Times New Roman" w:hAnsi="Times New Roman" w:cs="Times New Roman"/>
                      <w:i w:val="0"/>
                      <w:iCs w:val="0"/>
                      <w:color w:val="auto"/>
                      <w:sz w:val="21"/>
                      <w:szCs w:val="21"/>
                      <w:highlight w:val="none"/>
                      <w:u w:val="none"/>
                      <w:shd w:val="clear" w:color="auto" w:fill="auto"/>
                      <w:lang w:val="en-US" w:eastAsia="zh-CN"/>
                    </w:rPr>
                  </w:pPr>
                  <w:r>
                    <w:rPr>
                      <w:rFonts w:hint="default" w:ascii="Times New Roman" w:hAnsi="Times New Roman" w:cs="Times New Roman"/>
                      <w:i w:val="0"/>
                      <w:iCs w:val="0"/>
                      <w:color w:val="auto"/>
                      <w:sz w:val="21"/>
                      <w:szCs w:val="21"/>
                      <w:highlight w:val="none"/>
                      <w:u w:val="none"/>
                      <w:shd w:val="clear" w:color="auto" w:fill="auto"/>
                      <w:lang w:val="en-US" w:eastAsia="zh-CN"/>
                    </w:rPr>
                    <w:t>相对厂界</w:t>
                  </w:r>
                </w:p>
                <w:p>
                  <w:pPr>
                    <w:jc w:val="center"/>
                    <w:rPr>
                      <w:rFonts w:hint="default" w:ascii="Times New Roman" w:hAnsi="Times New Roman" w:cs="Times New Roman"/>
                      <w:i w:val="0"/>
                      <w:iCs w:val="0"/>
                      <w:color w:val="auto"/>
                      <w:sz w:val="21"/>
                      <w:szCs w:val="21"/>
                      <w:highlight w:val="none"/>
                      <w:u w:val="none"/>
                      <w:shd w:val="clear" w:color="auto" w:fill="auto"/>
                      <w:lang w:val="en-US"/>
                    </w:rPr>
                  </w:pPr>
                  <w:r>
                    <w:rPr>
                      <w:rFonts w:hint="default" w:ascii="Times New Roman" w:hAnsi="Times New Roman" w:cs="Times New Roman"/>
                      <w:i w:val="0"/>
                      <w:iCs w:val="0"/>
                      <w:color w:val="auto"/>
                      <w:sz w:val="21"/>
                      <w:szCs w:val="21"/>
                      <w:highlight w:val="none"/>
                      <w:u w:val="none"/>
                      <w:shd w:val="clear" w:color="auto" w:fill="auto"/>
                      <w:lang w:val="en-US" w:eastAsia="zh-CN"/>
                    </w:rPr>
                    <w:t>距离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714" w:type="dxa"/>
                  <w:vMerge w:val="continue"/>
                  <w:noWrap w:val="0"/>
                  <w:vAlign w:val="center"/>
                </w:tcPr>
                <w:p>
                  <w:pPr>
                    <w:jc w:val="center"/>
                    <w:rPr>
                      <w:rFonts w:hint="default" w:ascii="Times New Roman" w:hAnsi="Times New Roman" w:cs="Times New Roman"/>
                      <w:i w:val="0"/>
                      <w:iCs w:val="0"/>
                      <w:color w:val="auto"/>
                      <w:sz w:val="21"/>
                      <w:szCs w:val="21"/>
                      <w:highlight w:val="none"/>
                      <w:u w:val="none"/>
                      <w:shd w:val="clear" w:color="auto" w:fill="auto"/>
                    </w:rPr>
                  </w:pPr>
                </w:p>
              </w:tc>
              <w:tc>
                <w:tcPr>
                  <w:tcW w:w="1329" w:type="dxa"/>
                  <w:vMerge w:val="continue"/>
                  <w:noWrap w:val="0"/>
                  <w:vAlign w:val="center"/>
                </w:tcPr>
                <w:p>
                  <w:pPr>
                    <w:jc w:val="center"/>
                    <w:rPr>
                      <w:rFonts w:hint="default" w:ascii="Times New Roman" w:hAnsi="Times New Roman" w:cs="Times New Roman"/>
                      <w:i w:val="0"/>
                      <w:iCs w:val="0"/>
                      <w:color w:val="auto"/>
                      <w:sz w:val="21"/>
                      <w:szCs w:val="21"/>
                      <w:highlight w:val="none"/>
                      <w:u w:val="none"/>
                      <w:shd w:val="clear" w:color="auto" w:fill="auto"/>
                    </w:rPr>
                  </w:pPr>
                </w:p>
              </w:tc>
              <w:tc>
                <w:tcPr>
                  <w:tcW w:w="930" w:type="dxa"/>
                  <w:noWrap w:val="0"/>
                  <w:vAlign w:val="center"/>
                </w:tcPr>
                <w:p>
                  <w:pPr>
                    <w:jc w:val="center"/>
                    <w:rPr>
                      <w:rFonts w:hint="default" w:ascii="Times New Roman" w:hAnsi="Times New Roman" w:cs="Times New Roman"/>
                      <w:i w:val="0"/>
                      <w:iCs w:val="0"/>
                      <w:color w:val="auto"/>
                      <w:sz w:val="21"/>
                      <w:szCs w:val="21"/>
                      <w:highlight w:val="none"/>
                      <w:u w:val="none"/>
                      <w:shd w:val="clear" w:color="auto" w:fill="auto"/>
                      <w:lang w:val="en-US" w:eastAsia="zh-CN"/>
                    </w:rPr>
                  </w:pPr>
                  <w:r>
                    <w:rPr>
                      <w:rFonts w:hint="default" w:ascii="Times New Roman" w:hAnsi="Times New Roman" w:cs="Times New Roman"/>
                      <w:i w:val="0"/>
                      <w:iCs w:val="0"/>
                      <w:color w:val="auto"/>
                      <w:sz w:val="21"/>
                      <w:szCs w:val="21"/>
                      <w:highlight w:val="none"/>
                      <w:u w:val="none"/>
                      <w:shd w:val="clear" w:color="auto" w:fill="auto"/>
                      <w:lang w:val="en-US" w:eastAsia="zh-CN"/>
                    </w:rPr>
                    <w:t>X</w:t>
                  </w:r>
                </w:p>
              </w:tc>
              <w:tc>
                <w:tcPr>
                  <w:tcW w:w="888" w:type="dxa"/>
                  <w:noWrap w:val="0"/>
                  <w:vAlign w:val="center"/>
                </w:tcPr>
                <w:p>
                  <w:pPr>
                    <w:jc w:val="center"/>
                    <w:rPr>
                      <w:rFonts w:hint="default" w:ascii="Times New Roman" w:hAnsi="Times New Roman" w:cs="Times New Roman"/>
                      <w:i w:val="0"/>
                      <w:iCs w:val="0"/>
                      <w:color w:val="auto"/>
                      <w:sz w:val="21"/>
                      <w:szCs w:val="21"/>
                      <w:highlight w:val="none"/>
                      <w:u w:val="none"/>
                      <w:shd w:val="clear" w:color="auto" w:fill="auto"/>
                      <w:lang w:val="en-US" w:eastAsia="zh-CN"/>
                    </w:rPr>
                  </w:pPr>
                  <w:r>
                    <w:rPr>
                      <w:rFonts w:hint="default" w:ascii="Times New Roman" w:hAnsi="Times New Roman" w:cs="Times New Roman"/>
                      <w:i w:val="0"/>
                      <w:iCs w:val="0"/>
                      <w:color w:val="auto"/>
                      <w:sz w:val="21"/>
                      <w:szCs w:val="21"/>
                      <w:highlight w:val="none"/>
                      <w:u w:val="none"/>
                      <w:shd w:val="clear" w:color="auto" w:fill="auto"/>
                      <w:lang w:val="en-US" w:eastAsia="zh-CN"/>
                    </w:rPr>
                    <w:t>Y</w:t>
                  </w:r>
                </w:p>
              </w:tc>
              <w:tc>
                <w:tcPr>
                  <w:tcW w:w="859" w:type="dxa"/>
                  <w:vMerge w:val="continue"/>
                  <w:tcBorders>
                    <w:bottom w:val="single" w:color="auto" w:sz="4" w:space="0"/>
                  </w:tcBorders>
                  <w:noWrap w:val="0"/>
                  <w:vAlign w:val="center"/>
                </w:tcPr>
                <w:p>
                  <w:pPr>
                    <w:jc w:val="center"/>
                    <w:rPr>
                      <w:rFonts w:hint="default" w:ascii="Times New Roman" w:hAnsi="Times New Roman" w:cs="Times New Roman"/>
                      <w:i w:val="0"/>
                      <w:iCs w:val="0"/>
                      <w:color w:val="auto"/>
                      <w:sz w:val="21"/>
                      <w:szCs w:val="21"/>
                      <w:highlight w:val="none"/>
                      <w:u w:val="none"/>
                      <w:shd w:val="clear" w:color="auto" w:fill="auto"/>
                      <w:lang w:val="en-US" w:eastAsia="zh-CN"/>
                    </w:rPr>
                  </w:pPr>
                </w:p>
              </w:tc>
              <w:tc>
                <w:tcPr>
                  <w:tcW w:w="1156" w:type="dxa"/>
                  <w:vMerge w:val="continue"/>
                  <w:noWrap w:val="0"/>
                  <w:vAlign w:val="center"/>
                </w:tcPr>
                <w:p>
                  <w:pPr>
                    <w:jc w:val="center"/>
                    <w:rPr>
                      <w:rFonts w:hint="default" w:ascii="Times New Roman" w:hAnsi="Times New Roman" w:cs="Times New Roman"/>
                      <w:i w:val="0"/>
                      <w:iCs w:val="0"/>
                      <w:color w:val="auto"/>
                      <w:sz w:val="21"/>
                      <w:szCs w:val="21"/>
                      <w:highlight w:val="none"/>
                      <w:u w:val="none"/>
                      <w:shd w:val="clear" w:color="auto" w:fill="auto"/>
                      <w:lang w:val="en-US" w:eastAsia="zh-CN"/>
                    </w:rPr>
                  </w:pPr>
                </w:p>
              </w:tc>
              <w:tc>
                <w:tcPr>
                  <w:tcW w:w="1156" w:type="dxa"/>
                  <w:vMerge w:val="continue"/>
                  <w:noWrap w:val="0"/>
                  <w:vAlign w:val="center"/>
                </w:tcPr>
                <w:p>
                  <w:pPr>
                    <w:jc w:val="center"/>
                    <w:rPr>
                      <w:rFonts w:hint="default" w:ascii="Times New Roman" w:hAnsi="Times New Roman" w:cs="Times New Roman"/>
                      <w:i w:val="0"/>
                      <w:iCs w:val="0"/>
                      <w:color w:val="auto"/>
                      <w:sz w:val="21"/>
                      <w:szCs w:val="21"/>
                      <w:highlight w:val="none"/>
                      <w:u w:val="none"/>
                      <w:shd w:val="clear" w:color="auto" w:fill="auto"/>
                      <w:lang w:val="en-US" w:eastAsia="zh-CN"/>
                    </w:rPr>
                  </w:pPr>
                </w:p>
              </w:tc>
              <w:tc>
                <w:tcPr>
                  <w:tcW w:w="1326" w:type="dxa"/>
                  <w:vMerge w:val="continue"/>
                  <w:noWrap w:val="0"/>
                  <w:vAlign w:val="center"/>
                </w:tcPr>
                <w:p>
                  <w:pPr>
                    <w:jc w:val="center"/>
                    <w:rPr>
                      <w:rFonts w:hint="default" w:ascii="Times New Roman" w:hAnsi="Times New Roman" w:cs="Times New Roman"/>
                      <w:i w:val="0"/>
                      <w:iCs w:val="0"/>
                      <w:color w:val="auto"/>
                      <w:sz w:val="21"/>
                      <w:szCs w:val="21"/>
                      <w:highlight w:val="none"/>
                      <w:u w:val="none"/>
                      <w:shd w:val="clear" w:color="auto" w:fill="auto"/>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14" w:type="dxa"/>
                  <w:noWrap w:val="0"/>
                  <w:vAlign w:val="center"/>
                </w:tcPr>
                <w:p>
                  <w:pPr>
                    <w:jc w:val="center"/>
                    <w:rPr>
                      <w:rFonts w:hint="default" w:ascii="Times New Roman" w:hAnsi="Times New Roman" w:cs="Times New Roman"/>
                      <w:i w:val="0"/>
                      <w:iCs w:val="0"/>
                      <w:color w:val="auto"/>
                      <w:sz w:val="21"/>
                      <w:szCs w:val="21"/>
                      <w:highlight w:val="none"/>
                      <w:u w:val="none"/>
                      <w:shd w:val="clear" w:color="auto" w:fill="auto"/>
                    </w:rPr>
                  </w:pPr>
                  <w:r>
                    <w:rPr>
                      <w:rFonts w:hint="default" w:ascii="Times New Roman" w:hAnsi="Times New Roman" w:cs="Times New Roman"/>
                      <w:i w:val="0"/>
                      <w:iCs w:val="0"/>
                      <w:color w:val="auto"/>
                      <w:sz w:val="21"/>
                      <w:szCs w:val="21"/>
                      <w:highlight w:val="none"/>
                      <w:u w:val="none"/>
                      <w:shd w:val="clear" w:color="auto" w:fill="auto"/>
                    </w:rPr>
                    <w:t>A1</w:t>
                  </w:r>
                </w:p>
              </w:tc>
              <w:tc>
                <w:tcPr>
                  <w:tcW w:w="1329" w:type="dxa"/>
                  <w:noWrap w:val="0"/>
                  <w:vAlign w:val="center"/>
                </w:tcPr>
                <w:p>
                  <w:pPr>
                    <w:pStyle w:val="71"/>
                    <w:kinsoku w:val="0"/>
                    <w:overflowPunct w:val="0"/>
                    <w:spacing w:line="241" w:lineRule="exact"/>
                    <w:ind w:right="1"/>
                    <w:jc w:val="center"/>
                    <w:rPr>
                      <w:rFonts w:hint="default" w:ascii="Times New Roman" w:hAnsi="Times New Roman" w:eastAsia="宋体" w:cs="Times New Roman"/>
                      <w:i w:val="0"/>
                      <w:iCs w:val="0"/>
                      <w:color w:val="auto"/>
                      <w:sz w:val="21"/>
                      <w:szCs w:val="21"/>
                      <w:highlight w:val="none"/>
                      <w:u w:val="none"/>
                      <w:shd w:val="clear" w:color="auto" w:fill="auto"/>
                      <w:lang w:val="en-US" w:eastAsia="zh-CN"/>
                    </w:rPr>
                  </w:pPr>
                  <w:r>
                    <w:rPr>
                      <w:rFonts w:hint="eastAsia" w:ascii="Times New Roman" w:hAnsi="Times New Roman" w:eastAsia="宋体" w:cs="Times New Roman"/>
                      <w:i w:val="0"/>
                      <w:iCs w:val="0"/>
                      <w:color w:val="auto"/>
                      <w:sz w:val="21"/>
                      <w:szCs w:val="21"/>
                      <w:highlight w:val="none"/>
                      <w:u w:val="none"/>
                      <w:shd w:val="clear" w:color="auto" w:fill="auto"/>
                      <w:lang w:val="en-US" w:eastAsia="zh-CN"/>
                    </w:rPr>
                    <w:t>三道林子村</w:t>
                  </w:r>
                </w:p>
              </w:tc>
              <w:tc>
                <w:tcPr>
                  <w:tcW w:w="930"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1"/>
                      <w:szCs w:val="21"/>
                      <w:highlight w:val="none"/>
                      <w:u w:val="none"/>
                      <w:shd w:val="clear" w:color="auto" w:fill="auto"/>
                    </w:rPr>
                  </w:pPr>
                  <w:r>
                    <w:rPr>
                      <w:rFonts w:hint="default" w:ascii="Times New Roman" w:hAnsi="Times New Roman" w:cs="Times New Roman"/>
                      <w:i w:val="0"/>
                      <w:iCs w:val="0"/>
                      <w:color w:val="auto"/>
                      <w:sz w:val="21"/>
                      <w:szCs w:val="21"/>
                      <w:highlight w:val="none"/>
                      <w:u w:val="none"/>
                      <w:shd w:val="clear" w:color="auto" w:fill="auto"/>
                    </w:rPr>
                    <w:t>1</w:t>
                  </w:r>
                  <w:r>
                    <w:rPr>
                      <w:rFonts w:hint="eastAsia" w:cs="Times New Roman"/>
                      <w:i w:val="0"/>
                      <w:iCs w:val="0"/>
                      <w:color w:val="auto"/>
                      <w:sz w:val="21"/>
                      <w:szCs w:val="21"/>
                      <w:highlight w:val="none"/>
                      <w:u w:val="none"/>
                      <w:shd w:val="clear" w:color="auto" w:fill="auto"/>
                      <w:lang w:val="en-US" w:eastAsia="zh-CN"/>
                    </w:rPr>
                    <w:t>4</w:t>
                  </w:r>
                  <w:r>
                    <w:rPr>
                      <w:rFonts w:hint="default" w:ascii="Times New Roman" w:hAnsi="Times New Roman" w:cs="Times New Roman"/>
                      <w:i w:val="0"/>
                      <w:iCs w:val="0"/>
                      <w:color w:val="auto"/>
                      <w:sz w:val="21"/>
                      <w:szCs w:val="21"/>
                      <w:highlight w:val="none"/>
                      <w:u w:val="none"/>
                      <w:shd w:val="clear" w:color="auto" w:fill="auto"/>
                    </w:rPr>
                    <w:t>91.06</w:t>
                  </w:r>
                </w:p>
              </w:tc>
              <w:tc>
                <w:tcPr>
                  <w:tcW w:w="888"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1"/>
                      <w:szCs w:val="21"/>
                      <w:highlight w:val="none"/>
                      <w:u w:val="none"/>
                      <w:shd w:val="clear" w:color="auto" w:fill="auto"/>
                    </w:rPr>
                  </w:pPr>
                  <w:r>
                    <w:rPr>
                      <w:rFonts w:hint="default" w:ascii="Times New Roman" w:hAnsi="Times New Roman" w:cs="Times New Roman"/>
                      <w:i w:val="0"/>
                      <w:iCs w:val="0"/>
                      <w:color w:val="auto"/>
                      <w:sz w:val="21"/>
                      <w:szCs w:val="21"/>
                      <w:highlight w:val="none"/>
                      <w:u w:val="none"/>
                      <w:shd w:val="clear" w:color="auto" w:fill="auto"/>
                    </w:rPr>
                    <w:t>760.74</w:t>
                  </w:r>
                </w:p>
              </w:tc>
              <w:tc>
                <w:tcPr>
                  <w:tcW w:w="859" w:type="dxa"/>
                  <w:tcBorders>
                    <w:top w:val="single" w:color="auto" w:sz="4" w:space="0"/>
                    <w:left w:val="single" w:color="auto" w:sz="4" w:space="0"/>
                    <w:right w:val="single" w:color="auto" w:sz="4" w:space="0"/>
                  </w:tcBorders>
                  <w:noWrap w:val="0"/>
                  <w:vAlign w:val="center"/>
                </w:tcPr>
                <w:p>
                  <w:pPr>
                    <w:pStyle w:val="71"/>
                    <w:kinsoku w:val="0"/>
                    <w:overflowPunct w:val="0"/>
                    <w:spacing w:line="239" w:lineRule="exact"/>
                    <w:jc w:val="center"/>
                    <w:rPr>
                      <w:rFonts w:hint="default" w:ascii="Times New Roman" w:hAnsi="Times New Roman" w:cs="Times New Roman"/>
                      <w:i w:val="0"/>
                      <w:iCs w:val="0"/>
                      <w:color w:val="auto"/>
                      <w:sz w:val="21"/>
                      <w:szCs w:val="21"/>
                      <w:highlight w:val="none"/>
                      <w:u w:val="none"/>
                      <w:shd w:val="clear" w:color="auto" w:fill="auto"/>
                      <w:lang w:val="en-US" w:eastAsia="zh-CN"/>
                    </w:rPr>
                  </w:pPr>
                  <w:r>
                    <w:rPr>
                      <w:rFonts w:hint="default" w:ascii="Times New Roman" w:hAnsi="Times New Roman" w:cs="Times New Roman"/>
                      <w:i w:val="0"/>
                      <w:iCs w:val="0"/>
                      <w:color w:val="auto"/>
                      <w:sz w:val="21"/>
                      <w:szCs w:val="21"/>
                      <w:highlight w:val="none"/>
                      <w:u w:val="none"/>
                      <w:shd w:val="clear" w:color="auto" w:fill="auto"/>
                      <w:lang w:val="en-US" w:eastAsia="zh-CN"/>
                    </w:rPr>
                    <w:t>TSP</w:t>
                  </w:r>
                </w:p>
                <w:p>
                  <w:pPr>
                    <w:pStyle w:val="71"/>
                    <w:kinsoku w:val="0"/>
                    <w:overflowPunct w:val="0"/>
                    <w:spacing w:line="239" w:lineRule="exact"/>
                    <w:jc w:val="center"/>
                    <w:rPr>
                      <w:rFonts w:hint="default" w:ascii="Times New Roman" w:hAnsi="Times New Roman" w:eastAsia="宋体" w:cs="Times New Roman"/>
                      <w:i w:val="0"/>
                      <w:iCs w:val="0"/>
                      <w:color w:val="auto"/>
                      <w:sz w:val="21"/>
                      <w:szCs w:val="21"/>
                      <w:highlight w:val="none"/>
                      <w:u w:val="none"/>
                      <w:shd w:val="clear" w:color="auto" w:fill="auto"/>
                      <w:lang w:val="en-US" w:eastAsia="zh-CN"/>
                    </w:rPr>
                  </w:pPr>
                  <w:r>
                    <w:rPr>
                      <w:rFonts w:hint="default" w:ascii="Times New Roman" w:hAnsi="Times New Roman" w:cs="Times New Roman"/>
                      <w:i w:val="0"/>
                      <w:iCs w:val="0"/>
                      <w:color w:val="auto"/>
                      <w:sz w:val="21"/>
                      <w:szCs w:val="21"/>
                      <w:highlight w:val="none"/>
                      <w:u w:val="none"/>
                      <w:shd w:val="clear" w:color="auto" w:fill="auto"/>
                      <w:lang w:val="en-US" w:eastAsia="zh-CN"/>
                    </w:rPr>
                    <w:t>NMHC</w:t>
                  </w:r>
                </w:p>
              </w:tc>
              <w:tc>
                <w:tcPr>
                  <w:tcW w:w="1156" w:type="dxa"/>
                  <w:tcBorders>
                    <w:left w:val="single" w:color="auto" w:sz="4" w:space="0"/>
                  </w:tcBorders>
                  <w:noWrap w:val="0"/>
                  <w:vAlign w:val="center"/>
                </w:tcPr>
                <w:p>
                  <w:pPr>
                    <w:pStyle w:val="71"/>
                    <w:kinsoku w:val="0"/>
                    <w:overflowPunct w:val="0"/>
                    <w:spacing w:line="239" w:lineRule="exact"/>
                    <w:jc w:val="center"/>
                    <w:rPr>
                      <w:rFonts w:hint="default" w:ascii="Times New Roman" w:hAnsi="Times New Roman" w:eastAsia="宋体" w:cs="Times New Roman"/>
                      <w:i w:val="0"/>
                      <w:iCs w:val="0"/>
                      <w:color w:val="auto"/>
                      <w:sz w:val="21"/>
                      <w:szCs w:val="21"/>
                      <w:highlight w:val="none"/>
                      <w:u w:val="none"/>
                      <w:shd w:val="clear" w:color="auto" w:fill="auto"/>
                      <w:lang w:val="en-US" w:eastAsia="zh-CN"/>
                    </w:rPr>
                  </w:pPr>
                  <w:r>
                    <w:rPr>
                      <w:rFonts w:hint="default" w:ascii="Times New Roman" w:hAnsi="Times New Roman" w:cs="Times New Roman"/>
                      <w:i w:val="0"/>
                      <w:iCs w:val="0"/>
                      <w:color w:val="auto"/>
                      <w:sz w:val="21"/>
                      <w:szCs w:val="21"/>
                      <w:highlight w:val="none"/>
                      <w:u w:val="none"/>
                      <w:shd w:val="clear" w:color="auto" w:fill="auto"/>
                      <w:lang w:val="en-US" w:eastAsia="zh-CN"/>
                    </w:rPr>
                    <w:t>连续</w:t>
                  </w:r>
                  <w:r>
                    <w:rPr>
                      <w:rFonts w:hint="eastAsia" w:cs="Times New Roman"/>
                      <w:i w:val="0"/>
                      <w:iCs w:val="0"/>
                      <w:color w:val="auto"/>
                      <w:sz w:val="21"/>
                      <w:szCs w:val="21"/>
                      <w:highlight w:val="none"/>
                      <w:u w:val="none"/>
                      <w:shd w:val="clear" w:color="auto" w:fill="auto"/>
                      <w:lang w:val="en-US" w:eastAsia="zh-CN"/>
                    </w:rPr>
                    <w:t>3</w:t>
                  </w:r>
                  <w:r>
                    <w:rPr>
                      <w:rFonts w:hint="default" w:ascii="Times New Roman" w:hAnsi="Times New Roman" w:cs="Times New Roman"/>
                      <w:i w:val="0"/>
                      <w:iCs w:val="0"/>
                      <w:color w:val="auto"/>
                      <w:sz w:val="21"/>
                      <w:szCs w:val="21"/>
                      <w:highlight w:val="none"/>
                      <w:u w:val="none"/>
                      <w:shd w:val="clear" w:color="auto" w:fill="auto"/>
                      <w:lang w:val="en-US" w:eastAsia="zh-CN"/>
                    </w:rPr>
                    <w:t>d</w:t>
                  </w:r>
                </w:p>
              </w:tc>
              <w:tc>
                <w:tcPr>
                  <w:tcW w:w="1156" w:type="dxa"/>
                  <w:noWrap w:val="0"/>
                  <w:vAlign w:val="center"/>
                </w:tcPr>
                <w:p>
                  <w:pPr>
                    <w:pStyle w:val="71"/>
                    <w:kinsoku w:val="0"/>
                    <w:overflowPunct w:val="0"/>
                    <w:spacing w:line="241" w:lineRule="exact"/>
                    <w:jc w:val="center"/>
                    <w:rPr>
                      <w:rFonts w:hint="default" w:ascii="Times New Roman" w:hAnsi="Times New Roman" w:eastAsia="宋体" w:cs="Times New Roman"/>
                      <w:i w:val="0"/>
                      <w:iCs w:val="0"/>
                      <w:color w:val="auto"/>
                      <w:sz w:val="21"/>
                      <w:szCs w:val="21"/>
                      <w:highlight w:val="none"/>
                      <w:u w:val="none"/>
                      <w:shd w:val="clear" w:color="auto" w:fill="auto"/>
                      <w:lang w:val="en-US" w:eastAsia="zh-CN"/>
                    </w:rPr>
                  </w:pPr>
                  <w:r>
                    <w:rPr>
                      <w:rFonts w:hint="default" w:ascii="Times New Roman" w:hAnsi="Times New Roman" w:cs="Times New Roman"/>
                      <w:i w:val="0"/>
                      <w:iCs w:val="0"/>
                      <w:color w:val="auto"/>
                      <w:sz w:val="21"/>
                      <w:szCs w:val="21"/>
                      <w:highlight w:val="none"/>
                      <w:u w:val="none"/>
                      <w:shd w:val="clear" w:color="auto" w:fill="auto"/>
                      <w:lang w:val="en-US" w:eastAsia="zh-CN"/>
                    </w:rPr>
                    <w:t>东</w:t>
                  </w:r>
                </w:p>
              </w:tc>
              <w:tc>
                <w:tcPr>
                  <w:tcW w:w="1326" w:type="dxa"/>
                  <w:noWrap w:val="0"/>
                  <w:vAlign w:val="center"/>
                </w:tcPr>
                <w:p>
                  <w:pPr>
                    <w:pStyle w:val="71"/>
                    <w:kinsoku w:val="0"/>
                    <w:overflowPunct w:val="0"/>
                    <w:spacing w:before="15"/>
                    <w:jc w:val="center"/>
                    <w:rPr>
                      <w:rFonts w:hint="default" w:ascii="Times New Roman" w:hAnsi="Times New Roman" w:cs="Times New Roman"/>
                      <w:i w:val="0"/>
                      <w:iCs w:val="0"/>
                      <w:color w:val="auto"/>
                      <w:sz w:val="21"/>
                      <w:szCs w:val="21"/>
                      <w:highlight w:val="none"/>
                      <w:u w:val="none"/>
                      <w:shd w:val="clear" w:color="auto" w:fill="auto"/>
                      <w:lang w:val="en-US" w:eastAsia="zh-CN"/>
                    </w:rPr>
                  </w:pPr>
                  <w:r>
                    <w:rPr>
                      <w:rFonts w:hint="eastAsia" w:ascii="Times New Roman" w:hAnsi="Times New Roman" w:cs="Times New Roman"/>
                      <w:i w:val="0"/>
                      <w:iCs w:val="0"/>
                      <w:color w:val="auto"/>
                      <w:sz w:val="21"/>
                      <w:szCs w:val="21"/>
                      <w:highlight w:val="none"/>
                      <w:u w:val="none"/>
                      <w:shd w:val="clear" w:color="auto" w:fill="auto"/>
                      <w:lang w:val="en-US" w:eastAsia="zh-CN"/>
                    </w:rPr>
                    <w:t>1.</w:t>
                  </w:r>
                  <w:r>
                    <w:rPr>
                      <w:rFonts w:hint="eastAsia" w:cs="Times New Roman"/>
                      <w:i w:val="0"/>
                      <w:iCs w:val="0"/>
                      <w:color w:val="auto"/>
                      <w:sz w:val="21"/>
                      <w:szCs w:val="21"/>
                      <w:highlight w:val="none"/>
                      <w:u w:val="none"/>
                      <w:shd w:val="clear" w:color="auto" w:fill="auto"/>
                      <w:lang w:val="en-US" w:eastAsia="zh-CN"/>
                    </w:rPr>
                    <w:t>4</w:t>
                  </w:r>
                  <w:r>
                    <w:rPr>
                      <w:rFonts w:hint="default" w:ascii="Times New Roman" w:hAnsi="Times New Roman" w:cs="Times New Roman"/>
                      <w:i w:val="0"/>
                      <w:iCs w:val="0"/>
                      <w:color w:val="auto"/>
                      <w:sz w:val="21"/>
                      <w:szCs w:val="21"/>
                      <w:highlight w:val="none"/>
                      <w:u w:val="none"/>
                      <w:shd w:val="clear" w:color="auto" w:fill="auto"/>
                      <w:lang w:val="en-US" w:eastAsia="zh-CN"/>
                    </w:rPr>
                    <w:t>km</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ascii="Times New Roman" w:hAnsi="Times New Roman" w:cs="Times New Roman"/>
                <w:i w:val="0"/>
                <w:iCs w:val="0"/>
                <w:color w:val="auto"/>
                <w:sz w:val="24"/>
                <w:highlight w:val="none"/>
                <w:u w:val="none"/>
                <w:shd w:val="clear" w:color="auto" w:fill="auto"/>
                <w:lang w:bidi="ar"/>
              </w:rPr>
            </w:pPr>
            <w:r>
              <w:rPr>
                <w:rFonts w:hint="eastAsia" w:cs="Times New Roman"/>
                <w:i w:val="0"/>
                <w:iCs w:val="0"/>
                <w:color w:val="auto"/>
                <w:sz w:val="24"/>
                <w:highlight w:val="none"/>
                <w:u w:val="none"/>
                <w:shd w:val="clear" w:color="auto" w:fill="auto"/>
                <w:lang w:val="en-US" w:eastAsia="zh-CN"/>
              </w:rPr>
              <w:t>（2）</w:t>
            </w:r>
            <w:r>
              <w:rPr>
                <w:rFonts w:hint="default" w:ascii="Times New Roman" w:hAnsi="Times New Roman" w:cs="Times New Roman"/>
                <w:i w:val="0"/>
                <w:iCs w:val="0"/>
                <w:color w:val="auto"/>
                <w:sz w:val="24"/>
                <w:highlight w:val="none"/>
                <w:u w:val="none"/>
                <w:shd w:val="clear" w:color="auto" w:fill="auto"/>
                <w:lang w:bidi="ar"/>
              </w:rPr>
              <w:t>监测项目</w:t>
            </w:r>
          </w:p>
          <w:p>
            <w:pPr>
              <w:spacing w:line="360" w:lineRule="auto"/>
              <w:ind w:firstLine="480" w:firstLineChars="200"/>
              <w:rPr>
                <w:rFonts w:hint="default" w:ascii="Times New Roman" w:hAnsi="Times New Roman" w:cs="Times New Roman"/>
                <w:i w:val="0"/>
                <w:iCs w:val="0"/>
                <w:color w:val="auto"/>
                <w:sz w:val="24"/>
                <w:highlight w:val="none"/>
                <w:u w:val="none"/>
                <w:shd w:val="clear" w:color="auto" w:fill="auto"/>
              </w:rPr>
            </w:pPr>
            <w:r>
              <w:rPr>
                <w:rFonts w:hint="default" w:ascii="Times New Roman" w:hAnsi="Times New Roman" w:cs="Times New Roman"/>
                <w:i w:val="0"/>
                <w:iCs w:val="0"/>
                <w:color w:val="auto"/>
                <w:sz w:val="24"/>
                <w:highlight w:val="none"/>
                <w:u w:val="none"/>
                <w:shd w:val="clear" w:color="auto" w:fill="auto"/>
              </w:rPr>
              <w:t>监测项目为</w:t>
            </w:r>
            <w:r>
              <w:rPr>
                <w:rFonts w:hint="default" w:ascii="Times New Roman" w:hAnsi="Times New Roman" w:cs="Times New Roman"/>
                <w:i w:val="0"/>
                <w:iCs w:val="0"/>
                <w:color w:val="auto"/>
                <w:sz w:val="24"/>
                <w:highlight w:val="none"/>
                <w:u w:val="none"/>
                <w:shd w:val="clear" w:color="auto" w:fill="auto"/>
                <w:lang w:val="en-US" w:eastAsia="zh-CN"/>
              </w:rPr>
              <w:t>NMHC、TSP</w:t>
            </w:r>
            <w:r>
              <w:rPr>
                <w:rFonts w:hint="default" w:ascii="Times New Roman" w:hAnsi="Times New Roman" w:cs="Times New Roman"/>
                <w:i w:val="0"/>
                <w:iCs w:val="0"/>
                <w:color w:val="auto"/>
                <w:sz w:val="24"/>
                <w:highlight w:val="none"/>
                <w:u w:val="none"/>
                <w:shd w:val="clear" w:color="auto" w:fill="auto"/>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ascii="Times New Roman" w:hAnsi="Times New Roman" w:cs="Times New Roman"/>
                <w:i w:val="0"/>
                <w:iCs w:val="0"/>
                <w:color w:val="auto"/>
                <w:sz w:val="24"/>
                <w:highlight w:val="none"/>
                <w:u w:val="none"/>
                <w:shd w:val="clear" w:color="auto" w:fill="auto"/>
              </w:rPr>
            </w:pPr>
            <w:r>
              <w:rPr>
                <w:rFonts w:hint="eastAsia" w:cs="Times New Roman"/>
                <w:i w:val="0"/>
                <w:iCs w:val="0"/>
                <w:color w:val="auto"/>
                <w:sz w:val="24"/>
                <w:highlight w:val="none"/>
                <w:u w:val="none"/>
                <w:shd w:val="clear" w:color="auto" w:fill="auto"/>
                <w:lang w:val="en-US" w:eastAsia="zh-CN"/>
              </w:rPr>
              <w:t>（3）</w:t>
            </w:r>
            <w:r>
              <w:rPr>
                <w:rFonts w:hint="default" w:ascii="Times New Roman" w:hAnsi="Times New Roman" w:cs="Times New Roman"/>
                <w:i w:val="0"/>
                <w:iCs w:val="0"/>
                <w:color w:val="auto"/>
                <w:sz w:val="24"/>
                <w:highlight w:val="none"/>
                <w:u w:val="none"/>
                <w:shd w:val="clear" w:color="auto" w:fill="auto"/>
              </w:rPr>
              <w:t>监测单位及监测时间</w:t>
            </w:r>
          </w:p>
          <w:p>
            <w:pPr>
              <w:spacing w:line="360" w:lineRule="auto"/>
              <w:ind w:firstLine="480" w:firstLineChars="200"/>
              <w:rPr>
                <w:rFonts w:hint="default" w:ascii="Times New Roman" w:hAnsi="Times New Roman" w:eastAsia="宋体" w:cs="Times New Roman"/>
                <w:i w:val="0"/>
                <w:iCs w:val="0"/>
                <w:color w:val="auto"/>
                <w:sz w:val="24"/>
                <w:highlight w:val="none"/>
                <w:u w:val="none"/>
                <w:shd w:val="clear" w:color="auto" w:fill="auto"/>
                <w:lang w:eastAsia="zh-CN" w:bidi="ar"/>
              </w:rPr>
            </w:pPr>
            <w:r>
              <w:rPr>
                <w:rFonts w:hint="default" w:ascii="Times New Roman" w:hAnsi="Times New Roman" w:cs="Times New Roman"/>
                <w:i w:val="0"/>
                <w:iCs w:val="0"/>
                <w:color w:val="auto"/>
                <w:sz w:val="24"/>
                <w:highlight w:val="none"/>
                <w:u w:val="none"/>
                <w:shd w:val="clear" w:color="auto" w:fill="auto"/>
              </w:rPr>
              <w:t>监测单位及时间：</w:t>
            </w:r>
            <w:r>
              <w:rPr>
                <w:rFonts w:hint="eastAsia" w:ascii="Times New Roman" w:hAnsi="Times New Roman" w:cs="Times New Roman"/>
                <w:b w:val="0"/>
                <w:bCs w:val="0"/>
                <w:i w:val="0"/>
                <w:iCs w:val="0"/>
                <w:color w:val="auto"/>
                <w:sz w:val="24"/>
                <w:szCs w:val="24"/>
                <w:highlight w:val="none"/>
                <w:u w:val="none"/>
                <w:lang w:val="en-US" w:eastAsia="zh-CN"/>
              </w:rPr>
              <w:t>吉林省源地环保科技咨询有限公司</w:t>
            </w:r>
            <w:r>
              <w:rPr>
                <w:rFonts w:hint="default" w:ascii="Times New Roman" w:hAnsi="Times New Roman" w:cs="Times New Roman"/>
                <w:i w:val="0"/>
                <w:iCs w:val="0"/>
                <w:color w:val="auto"/>
                <w:sz w:val="24"/>
                <w:highlight w:val="none"/>
                <w:u w:val="none"/>
                <w:shd w:val="clear" w:color="auto" w:fill="auto"/>
              </w:rPr>
              <w:t>于</w:t>
            </w:r>
            <w:r>
              <w:rPr>
                <w:rFonts w:hint="default" w:ascii="Times New Roman" w:hAnsi="Times New Roman" w:cs="Times New Roman"/>
                <w:i w:val="0"/>
                <w:iCs w:val="0"/>
                <w:color w:val="auto"/>
                <w:sz w:val="24"/>
                <w:highlight w:val="none"/>
                <w:u w:val="none"/>
                <w:shd w:val="clear" w:color="auto" w:fill="auto"/>
                <w:lang w:val="en-US" w:eastAsia="zh-CN"/>
              </w:rPr>
              <w:t>202</w:t>
            </w:r>
            <w:r>
              <w:rPr>
                <w:rFonts w:hint="eastAsia" w:ascii="Times New Roman" w:hAnsi="Times New Roman" w:cs="Times New Roman"/>
                <w:i w:val="0"/>
                <w:iCs w:val="0"/>
                <w:color w:val="auto"/>
                <w:sz w:val="24"/>
                <w:highlight w:val="none"/>
                <w:u w:val="none"/>
                <w:shd w:val="clear" w:color="auto" w:fill="auto"/>
                <w:lang w:val="en-US" w:eastAsia="zh-CN"/>
              </w:rPr>
              <w:t>1</w:t>
            </w:r>
            <w:r>
              <w:rPr>
                <w:rFonts w:hint="default" w:ascii="Times New Roman" w:hAnsi="Times New Roman" w:cs="Times New Roman"/>
                <w:i w:val="0"/>
                <w:iCs w:val="0"/>
                <w:color w:val="auto"/>
                <w:sz w:val="24"/>
                <w:highlight w:val="none"/>
                <w:u w:val="none"/>
                <w:shd w:val="clear" w:color="auto" w:fill="auto"/>
              </w:rPr>
              <w:t>年</w:t>
            </w:r>
            <w:r>
              <w:rPr>
                <w:rFonts w:hint="eastAsia" w:ascii="Times New Roman" w:hAnsi="Times New Roman" w:cs="Times New Roman"/>
                <w:i w:val="0"/>
                <w:iCs w:val="0"/>
                <w:color w:val="auto"/>
                <w:sz w:val="24"/>
                <w:highlight w:val="none"/>
                <w:u w:val="none"/>
                <w:shd w:val="clear" w:color="auto" w:fill="auto"/>
                <w:lang w:val="en-US" w:eastAsia="zh-CN"/>
              </w:rPr>
              <w:t>4</w:t>
            </w:r>
            <w:r>
              <w:rPr>
                <w:rFonts w:hint="default" w:ascii="Times New Roman" w:hAnsi="Times New Roman" w:cs="Times New Roman"/>
                <w:i w:val="0"/>
                <w:iCs w:val="0"/>
                <w:color w:val="auto"/>
                <w:sz w:val="24"/>
                <w:highlight w:val="none"/>
                <w:u w:val="none"/>
                <w:shd w:val="clear" w:color="auto" w:fill="auto"/>
              </w:rPr>
              <w:t>月</w:t>
            </w:r>
            <w:r>
              <w:rPr>
                <w:rFonts w:hint="eastAsia" w:ascii="Times New Roman" w:hAnsi="Times New Roman" w:cs="Times New Roman"/>
                <w:i w:val="0"/>
                <w:iCs w:val="0"/>
                <w:color w:val="auto"/>
                <w:sz w:val="24"/>
                <w:highlight w:val="none"/>
                <w:u w:val="none"/>
                <w:shd w:val="clear" w:color="auto" w:fill="auto"/>
                <w:lang w:val="en-US" w:eastAsia="zh-CN"/>
              </w:rPr>
              <w:t>3</w:t>
            </w:r>
            <w:r>
              <w:rPr>
                <w:rFonts w:hint="default" w:ascii="Times New Roman" w:hAnsi="Times New Roman" w:cs="Times New Roman"/>
                <w:i w:val="0"/>
                <w:iCs w:val="0"/>
                <w:color w:val="auto"/>
                <w:sz w:val="24"/>
                <w:highlight w:val="none"/>
                <w:u w:val="none"/>
                <w:shd w:val="clear" w:color="auto" w:fill="auto"/>
              </w:rPr>
              <w:t>日</w:t>
            </w:r>
            <w:r>
              <w:rPr>
                <w:rFonts w:hint="eastAsia" w:cs="Times New Roman"/>
                <w:i w:val="0"/>
                <w:iCs w:val="0"/>
                <w:color w:val="auto"/>
                <w:sz w:val="24"/>
                <w:highlight w:val="none"/>
                <w:u w:val="none"/>
                <w:shd w:val="clear" w:color="auto" w:fill="auto"/>
                <w:lang w:val="en-US" w:eastAsia="zh-CN"/>
              </w:rPr>
              <w:t>-</w:t>
            </w:r>
            <w:r>
              <w:rPr>
                <w:rFonts w:hint="eastAsia" w:ascii="Times New Roman" w:hAnsi="Times New Roman" w:cs="Times New Roman"/>
                <w:i w:val="0"/>
                <w:iCs w:val="0"/>
                <w:color w:val="auto"/>
                <w:sz w:val="24"/>
                <w:highlight w:val="none"/>
                <w:u w:val="none"/>
                <w:shd w:val="clear" w:color="auto" w:fill="auto"/>
                <w:lang w:val="en-US" w:eastAsia="zh-CN"/>
              </w:rPr>
              <w:t>6</w:t>
            </w:r>
            <w:r>
              <w:rPr>
                <w:rFonts w:hint="default" w:ascii="Times New Roman" w:hAnsi="Times New Roman" w:cs="Times New Roman"/>
                <w:i w:val="0"/>
                <w:iCs w:val="0"/>
                <w:color w:val="auto"/>
                <w:sz w:val="24"/>
                <w:highlight w:val="none"/>
                <w:u w:val="none"/>
                <w:shd w:val="clear" w:color="auto" w:fill="auto"/>
              </w:rPr>
              <w:t>日连续</w:t>
            </w:r>
            <w:r>
              <w:rPr>
                <w:rFonts w:hint="eastAsia" w:ascii="Times New Roman" w:hAnsi="Times New Roman" w:eastAsia="宋体" w:cs="Times New Roman"/>
                <w:i w:val="0"/>
                <w:iCs w:val="0"/>
                <w:color w:val="auto"/>
                <w:sz w:val="24"/>
                <w:highlight w:val="none"/>
                <w:u w:val="none"/>
                <w:shd w:val="clear" w:color="auto" w:fill="auto"/>
                <w:lang w:val="en-US" w:eastAsia="zh-CN"/>
              </w:rPr>
              <w:t>3</w:t>
            </w:r>
            <w:r>
              <w:rPr>
                <w:rFonts w:hint="default" w:ascii="Times New Roman" w:hAnsi="Times New Roman" w:eastAsia="Times New Roman" w:cs="Times New Roman"/>
                <w:i w:val="0"/>
                <w:iCs w:val="0"/>
                <w:color w:val="auto"/>
                <w:sz w:val="24"/>
                <w:highlight w:val="none"/>
                <w:u w:val="none"/>
                <w:shd w:val="clear" w:color="auto" w:fill="auto"/>
              </w:rPr>
              <w:t>d</w:t>
            </w:r>
            <w:r>
              <w:rPr>
                <w:rFonts w:hint="default" w:ascii="Times New Roman" w:hAnsi="Times New Roman" w:cs="Times New Roman"/>
                <w:i w:val="0"/>
                <w:iCs w:val="0"/>
                <w:color w:val="auto"/>
                <w:sz w:val="24"/>
                <w:highlight w:val="none"/>
                <w:u w:val="none"/>
                <w:shd w:val="clear" w:color="auto" w:fill="auto"/>
              </w:rPr>
              <w:t>进行监测</w:t>
            </w:r>
            <w:r>
              <w:rPr>
                <w:rFonts w:hint="default" w:ascii="Times New Roman" w:hAnsi="Times New Roman" w:cs="Times New Roman"/>
                <w:i w:val="0"/>
                <w:iCs w:val="0"/>
                <w:color w:val="auto"/>
                <w:sz w:val="24"/>
                <w:highlight w:val="none"/>
                <w:u w:val="none"/>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ascii="Times New Roman" w:hAnsi="Times New Roman" w:cs="Times New Roman"/>
                <w:i w:val="0"/>
                <w:iCs w:val="0"/>
                <w:color w:val="auto"/>
                <w:sz w:val="24"/>
                <w:highlight w:val="none"/>
                <w:u w:val="none"/>
                <w:shd w:val="clear" w:color="auto" w:fill="auto"/>
                <w:lang w:bidi="ar"/>
              </w:rPr>
            </w:pPr>
            <w:r>
              <w:rPr>
                <w:rFonts w:hint="eastAsia" w:cs="Times New Roman"/>
                <w:i w:val="0"/>
                <w:iCs w:val="0"/>
                <w:color w:val="auto"/>
                <w:sz w:val="24"/>
                <w:highlight w:val="none"/>
                <w:u w:val="none"/>
                <w:shd w:val="clear" w:color="auto" w:fill="auto"/>
                <w:lang w:val="en-US" w:eastAsia="zh-CN"/>
              </w:rPr>
              <w:t>（4）</w:t>
            </w:r>
            <w:r>
              <w:rPr>
                <w:rFonts w:hint="default" w:ascii="Times New Roman" w:hAnsi="Times New Roman" w:cs="Times New Roman"/>
                <w:i w:val="0"/>
                <w:iCs w:val="0"/>
                <w:color w:val="auto"/>
                <w:sz w:val="24"/>
                <w:highlight w:val="none"/>
                <w:u w:val="none"/>
                <w:shd w:val="clear" w:color="auto" w:fill="auto"/>
              </w:rPr>
              <w:t>评价标准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i w:val="0"/>
                <w:iCs w:val="0"/>
                <w:color w:val="auto"/>
                <w:sz w:val="24"/>
                <w:highlight w:val="none"/>
                <w:u w:val="none"/>
                <w:shd w:val="clear" w:color="auto" w:fill="auto"/>
              </w:rPr>
            </w:pPr>
            <w:r>
              <w:rPr>
                <w:rFonts w:hint="default" w:ascii="Times New Roman" w:hAnsi="Times New Roman" w:cs="Times New Roman"/>
                <w:i w:val="0"/>
                <w:iCs w:val="0"/>
                <w:color w:val="auto"/>
                <w:sz w:val="24"/>
                <w:highlight w:val="none"/>
                <w:u w:val="none"/>
                <w:shd w:val="clear" w:color="auto" w:fill="auto"/>
                <w:lang w:val="en-US" w:eastAsia="zh-CN"/>
              </w:rPr>
              <w:t>本</w:t>
            </w:r>
            <w:r>
              <w:rPr>
                <w:rFonts w:hint="default" w:ascii="Times New Roman" w:hAnsi="Times New Roman" w:cs="Times New Roman"/>
                <w:i w:val="0"/>
                <w:iCs w:val="0"/>
                <w:color w:val="auto"/>
                <w:sz w:val="24"/>
                <w:highlight w:val="none"/>
                <w:u w:val="none"/>
                <w:shd w:val="clear" w:color="auto" w:fill="auto"/>
              </w:rPr>
              <w:t>项目所在区域为环境空气质量二类区</w:t>
            </w:r>
            <w:r>
              <w:rPr>
                <w:rFonts w:hint="default" w:ascii="Times New Roman" w:hAnsi="Times New Roman" w:cs="Times New Roman"/>
                <w:i w:val="0"/>
                <w:iCs w:val="0"/>
                <w:color w:val="auto"/>
                <w:sz w:val="24"/>
                <w:highlight w:val="none"/>
                <w:u w:val="none"/>
                <w:shd w:val="clear" w:color="auto" w:fill="auto"/>
                <w:lang w:eastAsia="zh-CN"/>
              </w:rPr>
              <w:t>，</w:t>
            </w:r>
            <w:r>
              <w:rPr>
                <w:rFonts w:hint="eastAsia" w:ascii="Times New Roman" w:hAnsi="Times New Roman" w:cs="Times New Roman"/>
                <w:i w:val="0"/>
                <w:iCs w:val="0"/>
                <w:color w:val="auto"/>
                <w:sz w:val="24"/>
                <w:highlight w:val="none"/>
                <w:u w:val="none"/>
                <w:shd w:val="clear" w:color="auto" w:fill="auto"/>
                <w:lang w:val="en-US" w:eastAsia="zh-CN"/>
              </w:rPr>
              <w:t>TSP</w:t>
            </w:r>
            <w:r>
              <w:rPr>
                <w:rFonts w:hint="default" w:ascii="Times New Roman" w:hAnsi="Times New Roman" w:cs="Times New Roman"/>
                <w:i w:val="0"/>
                <w:iCs w:val="0"/>
                <w:color w:val="auto"/>
                <w:sz w:val="24"/>
                <w:highlight w:val="none"/>
                <w:u w:val="none"/>
                <w:shd w:val="clear" w:color="auto" w:fill="auto"/>
              </w:rPr>
              <w:t>执行《环境空气质量标准》</w:t>
            </w:r>
            <w:r>
              <w:rPr>
                <w:rFonts w:hint="default" w:ascii="Times New Roman" w:hAnsi="Times New Roman" w:cs="Times New Roman"/>
                <w:i w:val="0"/>
                <w:iCs w:val="0"/>
                <w:color w:val="auto"/>
                <w:sz w:val="24"/>
                <w:highlight w:val="none"/>
                <w:u w:val="none"/>
                <w:shd w:val="clear" w:color="auto" w:fill="auto"/>
                <w:lang w:eastAsia="zh-CN"/>
              </w:rPr>
              <w:t>（</w:t>
            </w:r>
            <w:r>
              <w:rPr>
                <w:rFonts w:hint="default" w:ascii="Times New Roman" w:hAnsi="Times New Roman" w:cs="Times New Roman"/>
                <w:i w:val="0"/>
                <w:iCs w:val="0"/>
                <w:color w:val="auto"/>
                <w:sz w:val="24"/>
                <w:highlight w:val="none"/>
                <w:u w:val="none"/>
                <w:shd w:val="clear" w:color="auto" w:fill="auto"/>
              </w:rPr>
              <w:t>GB3095-2012</w:t>
            </w:r>
            <w:r>
              <w:rPr>
                <w:rFonts w:hint="default" w:ascii="Times New Roman" w:hAnsi="Times New Roman" w:cs="Times New Roman"/>
                <w:i w:val="0"/>
                <w:iCs w:val="0"/>
                <w:color w:val="auto"/>
                <w:sz w:val="24"/>
                <w:highlight w:val="none"/>
                <w:u w:val="none"/>
                <w:shd w:val="clear" w:color="auto" w:fill="auto"/>
                <w:lang w:eastAsia="zh-CN"/>
              </w:rPr>
              <w:t>）</w:t>
            </w:r>
            <w:r>
              <w:rPr>
                <w:rFonts w:hint="default" w:ascii="Times New Roman" w:hAnsi="Times New Roman" w:cs="Times New Roman"/>
                <w:i w:val="0"/>
                <w:iCs w:val="0"/>
                <w:color w:val="auto"/>
                <w:sz w:val="24"/>
                <w:highlight w:val="none"/>
                <w:u w:val="none"/>
                <w:shd w:val="clear" w:color="auto" w:fill="auto"/>
              </w:rPr>
              <w:t>中的二级标准。</w:t>
            </w:r>
            <w:r>
              <w:rPr>
                <w:rFonts w:hint="default" w:ascii="Times New Roman" w:hAnsi="Times New Roman" w:cs="Times New Roman"/>
                <w:i w:val="0"/>
                <w:iCs w:val="0"/>
                <w:color w:val="auto"/>
                <w:sz w:val="24"/>
                <w:highlight w:val="none"/>
                <w:u w:val="none"/>
                <w:shd w:val="clear" w:color="auto" w:fill="auto"/>
                <w:lang w:val="en-US" w:eastAsia="zh-CN"/>
              </w:rPr>
              <w:t>非甲烷总烃执行《大气污染物综合排放详解》中相应标准限值。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ascii="Times New Roman" w:hAnsi="Times New Roman" w:cs="Times New Roman"/>
                <w:i w:val="0"/>
                <w:iCs w:val="0"/>
                <w:color w:val="auto"/>
                <w:sz w:val="24"/>
                <w:highlight w:val="none"/>
                <w:u w:val="none"/>
                <w:shd w:val="clear" w:color="auto" w:fill="auto"/>
              </w:rPr>
            </w:pPr>
            <w:r>
              <w:rPr>
                <w:rFonts w:hint="eastAsia" w:cs="Times New Roman"/>
                <w:i w:val="0"/>
                <w:iCs w:val="0"/>
                <w:color w:val="auto"/>
                <w:sz w:val="24"/>
                <w:highlight w:val="none"/>
                <w:u w:val="none"/>
                <w:shd w:val="clear" w:color="auto" w:fill="auto"/>
                <w:lang w:val="en-US" w:eastAsia="zh-CN"/>
              </w:rPr>
              <w:t>（5）</w:t>
            </w:r>
            <w:r>
              <w:rPr>
                <w:rFonts w:hint="default" w:ascii="Times New Roman" w:hAnsi="Times New Roman" w:cs="Times New Roman"/>
                <w:i w:val="0"/>
                <w:iCs w:val="0"/>
                <w:color w:val="auto"/>
                <w:sz w:val="24"/>
                <w:highlight w:val="none"/>
                <w:u w:val="none"/>
                <w:shd w:val="clear" w:color="auto" w:fill="auto"/>
              </w:rPr>
              <w:t>评价方法</w:t>
            </w:r>
          </w:p>
          <w:p>
            <w:pPr>
              <w:spacing w:line="360" w:lineRule="auto"/>
              <w:ind w:firstLine="480" w:firstLineChars="200"/>
              <w:rPr>
                <w:rFonts w:hint="default" w:ascii="Times New Roman" w:hAnsi="Times New Roman" w:cs="Times New Roman"/>
                <w:i w:val="0"/>
                <w:iCs w:val="0"/>
                <w:color w:val="auto"/>
                <w:sz w:val="24"/>
                <w:highlight w:val="none"/>
                <w:u w:val="none"/>
                <w:shd w:val="clear" w:color="auto" w:fill="auto"/>
              </w:rPr>
            </w:pPr>
            <w:r>
              <w:rPr>
                <w:rFonts w:hint="default" w:ascii="Times New Roman" w:hAnsi="Times New Roman" w:cs="Times New Roman"/>
                <w:i w:val="0"/>
                <w:iCs w:val="0"/>
                <w:color w:val="auto"/>
                <w:sz w:val="24"/>
                <w:highlight w:val="none"/>
                <w:u w:val="none"/>
                <w:shd w:val="clear" w:color="auto" w:fill="auto"/>
              </w:rPr>
              <w:t>采用占标率法，以列表的方式给出各监测点大气污染物的不同取值时间的质量浓度变化范围，计算并列表给出各取值时间最大质量浓度值占相应标准质量浓度限值的百分比和超标率，并评价达标情况。数学表达式如下：</w:t>
            </w:r>
          </w:p>
          <w:p>
            <w:pPr>
              <w:spacing w:line="360" w:lineRule="auto"/>
              <w:ind w:firstLine="480" w:firstLineChars="200"/>
              <w:jc w:val="center"/>
              <w:rPr>
                <w:rFonts w:hint="default" w:ascii="Times New Roman" w:hAnsi="Times New Roman" w:cs="Times New Roman"/>
                <w:i w:val="0"/>
                <w:iCs w:val="0"/>
                <w:color w:val="auto"/>
                <w:sz w:val="24"/>
                <w:highlight w:val="none"/>
                <w:u w:val="none"/>
                <w:shd w:val="clear" w:color="auto" w:fill="auto"/>
              </w:rPr>
            </w:pPr>
            <w:bookmarkStart w:id="3" w:name="_Toc396135151"/>
            <w:r>
              <w:rPr>
                <w:rFonts w:hint="default" w:ascii="Times New Roman" w:hAnsi="Times New Roman" w:cs="Times New Roman"/>
                <w:i w:val="0"/>
                <w:iCs w:val="0"/>
                <w:color w:val="auto"/>
                <w:sz w:val="24"/>
                <w:highlight w:val="none"/>
                <w:u w:val="none"/>
                <w:shd w:val="clear" w:color="auto" w:fill="auto"/>
              </w:rPr>
              <w:t>I＝C</w:t>
            </w:r>
            <w:r>
              <w:rPr>
                <w:rFonts w:hint="default" w:ascii="Times New Roman" w:hAnsi="Times New Roman" w:cs="Times New Roman"/>
                <w:i w:val="0"/>
                <w:iCs w:val="0"/>
                <w:color w:val="auto"/>
                <w:sz w:val="24"/>
                <w:highlight w:val="none"/>
                <w:u w:val="none"/>
                <w:shd w:val="clear" w:color="auto" w:fill="auto"/>
                <w:vertAlign w:val="subscript"/>
              </w:rPr>
              <w:t>i</w:t>
            </w:r>
            <w:r>
              <w:rPr>
                <w:rFonts w:hint="default" w:ascii="Times New Roman" w:hAnsi="Times New Roman" w:cs="Times New Roman"/>
                <w:i w:val="0"/>
                <w:iCs w:val="0"/>
                <w:color w:val="auto"/>
                <w:sz w:val="24"/>
                <w:highlight w:val="none"/>
                <w:u w:val="none"/>
                <w:shd w:val="clear" w:color="auto" w:fill="auto"/>
              </w:rPr>
              <w:t>/C</w:t>
            </w:r>
            <w:r>
              <w:rPr>
                <w:rFonts w:hint="default" w:ascii="Times New Roman" w:hAnsi="Times New Roman" w:cs="Times New Roman"/>
                <w:i w:val="0"/>
                <w:iCs w:val="0"/>
                <w:color w:val="auto"/>
                <w:sz w:val="24"/>
                <w:highlight w:val="none"/>
                <w:u w:val="none"/>
                <w:shd w:val="clear" w:color="auto" w:fill="auto"/>
                <w:vertAlign w:val="subscript"/>
              </w:rPr>
              <w:t>oi</w:t>
            </w:r>
            <w:bookmarkEnd w:id="3"/>
            <w:r>
              <w:rPr>
                <w:rFonts w:hint="default" w:ascii="Times New Roman" w:hAnsi="Times New Roman" w:cs="Times New Roman"/>
                <w:i w:val="0"/>
                <w:iCs w:val="0"/>
                <w:color w:val="auto"/>
                <w:sz w:val="24"/>
                <w:highlight w:val="none"/>
                <w:u w:val="none"/>
                <w:shd w:val="clear" w:color="auto" w:fill="auto"/>
              </w:rPr>
              <w:t>×100%</w:t>
            </w:r>
          </w:p>
          <w:p>
            <w:pPr>
              <w:spacing w:line="360" w:lineRule="auto"/>
              <w:ind w:firstLine="480" w:firstLineChars="200"/>
              <w:rPr>
                <w:rFonts w:hint="default" w:ascii="Times New Roman" w:hAnsi="Times New Roman" w:cs="Times New Roman"/>
                <w:i w:val="0"/>
                <w:iCs w:val="0"/>
                <w:color w:val="auto"/>
                <w:sz w:val="24"/>
                <w:highlight w:val="none"/>
                <w:u w:val="none"/>
                <w:shd w:val="clear" w:color="auto" w:fill="auto"/>
              </w:rPr>
            </w:pPr>
            <w:r>
              <w:rPr>
                <w:rFonts w:hint="default" w:ascii="Times New Roman" w:hAnsi="Times New Roman" w:cs="Times New Roman"/>
                <w:i w:val="0"/>
                <w:iCs w:val="0"/>
                <w:color w:val="auto"/>
                <w:sz w:val="24"/>
                <w:highlight w:val="none"/>
                <w:u w:val="none"/>
                <w:shd w:val="clear" w:color="auto" w:fill="auto"/>
              </w:rPr>
              <w:t>式中：I—i污染物的占标率，%；</w:t>
            </w:r>
          </w:p>
          <w:p>
            <w:pPr>
              <w:spacing w:line="360" w:lineRule="auto"/>
              <w:ind w:firstLine="1200" w:firstLineChars="500"/>
              <w:rPr>
                <w:rFonts w:hint="default" w:ascii="Times New Roman" w:hAnsi="Times New Roman" w:cs="Times New Roman"/>
                <w:i w:val="0"/>
                <w:iCs w:val="0"/>
                <w:color w:val="auto"/>
                <w:sz w:val="24"/>
                <w:highlight w:val="none"/>
                <w:u w:val="none"/>
                <w:shd w:val="clear" w:color="auto" w:fill="auto"/>
              </w:rPr>
            </w:pPr>
            <w:r>
              <w:rPr>
                <w:rFonts w:hint="default" w:ascii="Times New Roman" w:hAnsi="Times New Roman" w:cs="Times New Roman"/>
                <w:i w:val="0"/>
                <w:iCs w:val="0"/>
                <w:color w:val="auto"/>
                <w:sz w:val="24"/>
                <w:highlight w:val="none"/>
                <w:u w:val="none"/>
                <w:shd w:val="clear" w:color="auto" w:fill="auto"/>
              </w:rPr>
              <w:t>C</w:t>
            </w:r>
            <w:r>
              <w:rPr>
                <w:rFonts w:hint="default" w:ascii="Times New Roman" w:hAnsi="Times New Roman" w:cs="Times New Roman"/>
                <w:i w:val="0"/>
                <w:iCs w:val="0"/>
                <w:color w:val="auto"/>
                <w:sz w:val="24"/>
                <w:highlight w:val="none"/>
                <w:u w:val="none"/>
                <w:shd w:val="clear" w:color="auto" w:fill="auto"/>
                <w:vertAlign w:val="subscript"/>
              </w:rPr>
              <w:t>i</w:t>
            </w:r>
            <w:r>
              <w:rPr>
                <w:rFonts w:hint="default" w:ascii="Times New Roman" w:hAnsi="Times New Roman" w:cs="Times New Roman"/>
                <w:i w:val="0"/>
                <w:iCs w:val="0"/>
                <w:color w:val="auto"/>
                <w:sz w:val="24"/>
                <w:highlight w:val="none"/>
                <w:u w:val="none"/>
                <w:shd w:val="clear" w:color="auto" w:fill="auto"/>
              </w:rPr>
              <w:t xml:space="preserve"> —i污染物各取值时间最大质量浓度值，μg/m</w:t>
            </w:r>
            <w:r>
              <w:rPr>
                <w:rFonts w:hint="default" w:ascii="Times New Roman" w:hAnsi="Times New Roman" w:cs="Times New Roman"/>
                <w:i w:val="0"/>
                <w:iCs w:val="0"/>
                <w:color w:val="auto"/>
                <w:sz w:val="24"/>
                <w:highlight w:val="none"/>
                <w:u w:val="none"/>
                <w:shd w:val="clear" w:color="auto" w:fill="auto"/>
                <w:vertAlign w:val="superscript"/>
              </w:rPr>
              <w:t>3</w:t>
            </w:r>
            <w:r>
              <w:rPr>
                <w:rFonts w:hint="default" w:ascii="Times New Roman" w:hAnsi="Times New Roman" w:cs="Times New Roman"/>
                <w:i w:val="0"/>
                <w:iCs w:val="0"/>
                <w:color w:val="auto"/>
                <w:sz w:val="24"/>
                <w:highlight w:val="none"/>
                <w:u w:val="none"/>
                <w:shd w:val="clear" w:color="auto" w:fill="auto"/>
              </w:rPr>
              <w:t>；</w:t>
            </w:r>
          </w:p>
          <w:p>
            <w:pPr>
              <w:adjustRightInd w:val="0"/>
              <w:snapToGrid w:val="0"/>
              <w:spacing w:line="360" w:lineRule="auto"/>
              <w:ind w:firstLine="1200" w:firstLineChars="500"/>
              <w:rPr>
                <w:rFonts w:hint="default" w:ascii="Times New Roman" w:hAnsi="Times New Roman" w:cs="Times New Roman"/>
                <w:i w:val="0"/>
                <w:iCs w:val="0"/>
                <w:color w:val="auto"/>
                <w:sz w:val="24"/>
                <w:highlight w:val="none"/>
                <w:u w:val="none"/>
                <w:shd w:val="clear" w:color="auto" w:fill="auto"/>
              </w:rPr>
            </w:pPr>
            <w:r>
              <w:rPr>
                <w:rFonts w:hint="default" w:ascii="Times New Roman" w:hAnsi="Times New Roman" w:cs="Times New Roman"/>
                <w:i w:val="0"/>
                <w:iCs w:val="0"/>
                <w:color w:val="auto"/>
                <w:sz w:val="24"/>
                <w:highlight w:val="none"/>
                <w:u w:val="none"/>
                <w:shd w:val="clear" w:color="auto" w:fill="auto"/>
              </w:rPr>
              <w:t>C</w:t>
            </w:r>
            <w:r>
              <w:rPr>
                <w:rFonts w:hint="default" w:ascii="Times New Roman" w:hAnsi="Times New Roman" w:cs="Times New Roman"/>
                <w:i w:val="0"/>
                <w:iCs w:val="0"/>
                <w:color w:val="auto"/>
                <w:sz w:val="24"/>
                <w:highlight w:val="none"/>
                <w:u w:val="none"/>
                <w:shd w:val="clear" w:color="auto" w:fill="auto"/>
                <w:vertAlign w:val="subscript"/>
              </w:rPr>
              <w:t>oi</w:t>
            </w:r>
            <w:r>
              <w:rPr>
                <w:rFonts w:hint="default" w:ascii="Times New Roman" w:hAnsi="Times New Roman" w:cs="Times New Roman"/>
                <w:i w:val="0"/>
                <w:iCs w:val="0"/>
                <w:color w:val="auto"/>
                <w:sz w:val="24"/>
                <w:highlight w:val="none"/>
                <w:u w:val="none"/>
                <w:shd w:val="clear" w:color="auto" w:fill="auto"/>
              </w:rPr>
              <w:t xml:space="preserve"> —i污染物的环境质量标准，μg/m</w:t>
            </w:r>
            <w:r>
              <w:rPr>
                <w:rFonts w:hint="default" w:ascii="Times New Roman" w:hAnsi="Times New Roman" w:cs="Times New Roman"/>
                <w:i w:val="0"/>
                <w:iCs w:val="0"/>
                <w:color w:val="auto"/>
                <w:sz w:val="24"/>
                <w:highlight w:val="none"/>
                <w:u w:val="none"/>
                <w:shd w:val="clear" w:color="auto" w:fill="auto"/>
                <w:vertAlign w:val="superscript"/>
              </w:rPr>
              <w:t>3</w:t>
            </w:r>
            <w:r>
              <w:rPr>
                <w:rFonts w:hint="default" w:ascii="Times New Roman" w:hAnsi="Times New Roman" w:cs="Times New Roman"/>
                <w:i w:val="0"/>
                <w:iCs w:val="0"/>
                <w:color w:val="auto"/>
                <w:sz w:val="24"/>
                <w:highlight w:val="none"/>
                <w:u w:val="none"/>
                <w:shd w:val="clear" w:color="auto" w:fill="auto"/>
              </w:rPr>
              <w:t>。</w:t>
            </w:r>
          </w:p>
          <w:p>
            <w:pPr>
              <w:spacing w:line="360" w:lineRule="auto"/>
              <w:ind w:firstLine="482"/>
              <w:rPr>
                <w:rFonts w:hint="default" w:ascii="Times New Roman" w:hAnsi="Times New Roman" w:cs="Times New Roman"/>
                <w:i w:val="0"/>
                <w:iCs w:val="0"/>
                <w:color w:val="auto"/>
                <w:sz w:val="24"/>
                <w:highlight w:val="none"/>
                <w:u w:val="none"/>
                <w:shd w:val="clear" w:color="auto" w:fill="auto"/>
                <w:lang w:bidi="ar"/>
              </w:rPr>
            </w:pPr>
            <w:r>
              <w:rPr>
                <w:rFonts w:hint="default" w:ascii="Times New Roman" w:hAnsi="Times New Roman" w:cs="Times New Roman"/>
                <w:i w:val="0"/>
                <w:iCs w:val="0"/>
                <w:color w:val="auto"/>
                <w:sz w:val="24"/>
                <w:highlight w:val="none"/>
                <w:u w:val="none"/>
                <w:shd w:val="clear" w:color="auto" w:fill="auto"/>
              </w:rPr>
              <w:t>污染物的最大浓度占标率若＞100%，表明该项指标超过了相应的环境空气质量标准，不能满足使用功能要求。污染物的最大浓度占标率若≤100%，表明能满足使用功能要求。通过对监测数据的整理做出环境空气的质量评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ascii="Times New Roman" w:hAnsi="Times New Roman" w:cs="Times New Roman"/>
                <w:i w:val="0"/>
                <w:iCs w:val="0"/>
                <w:color w:val="auto"/>
                <w:sz w:val="24"/>
                <w:highlight w:val="none"/>
                <w:u w:val="none"/>
                <w:shd w:val="clear" w:color="auto" w:fill="auto"/>
                <w:lang w:bidi="ar"/>
              </w:rPr>
            </w:pPr>
            <w:r>
              <w:rPr>
                <w:rFonts w:hint="eastAsia" w:cs="Times New Roman"/>
                <w:i w:val="0"/>
                <w:iCs w:val="0"/>
                <w:color w:val="auto"/>
                <w:sz w:val="24"/>
                <w:highlight w:val="none"/>
                <w:u w:val="none"/>
                <w:shd w:val="clear" w:color="auto" w:fill="auto"/>
                <w:lang w:val="en-US" w:eastAsia="zh-CN"/>
              </w:rPr>
              <w:t>（6）</w:t>
            </w:r>
            <w:r>
              <w:rPr>
                <w:rFonts w:hint="default" w:ascii="Times New Roman" w:hAnsi="Times New Roman" w:cs="Times New Roman"/>
                <w:i w:val="0"/>
                <w:iCs w:val="0"/>
                <w:color w:val="auto"/>
                <w:sz w:val="24"/>
                <w:highlight w:val="none"/>
                <w:u w:val="none"/>
                <w:shd w:val="clear" w:color="auto" w:fill="auto"/>
                <w:lang w:bidi="ar"/>
              </w:rPr>
              <w:t>监测及评价结果</w:t>
            </w:r>
          </w:p>
          <w:p>
            <w:pPr>
              <w:spacing w:line="360" w:lineRule="auto"/>
              <w:ind w:firstLine="482"/>
              <w:rPr>
                <w:rFonts w:hint="default" w:ascii="Times New Roman" w:hAnsi="Times New Roman" w:cs="Times New Roman"/>
                <w:i w:val="0"/>
                <w:iCs w:val="0"/>
                <w:color w:val="auto"/>
                <w:sz w:val="24"/>
                <w:highlight w:val="none"/>
                <w:u w:val="none"/>
                <w:shd w:val="clear" w:color="auto" w:fill="auto"/>
                <w:lang w:bidi="ar"/>
              </w:rPr>
            </w:pPr>
            <w:r>
              <w:rPr>
                <w:rFonts w:hint="default" w:ascii="Times New Roman" w:hAnsi="Times New Roman" w:cs="Times New Roman"/>
                <w:i w:val="0"/>
                <w:iCs w:val="0"/>
                <w:color w:val="auto"/>
                <w:sz w:val="24"/>
                <w:highlight w:val="none"/>
                <w:u w:val="none"/>
                <w:shd w:val="clear" w:color="auto" w:fill="auto"/>
                <w:lang w:bidi="ar"/>
              </w:rPr>
              <w:t>监测及评价结果详见</w:t>
            </w:r>
            <w:r>
              <w:rPr>
                <w:rFonts w:hint="eastAsia" w:cs="Times New Roman"/>
                <w:color w:val="auto"/>
                <w:sz w:val="24"/>
                <w:szCs w:val="24"/>
                <w:highlight w:val="none"/>
                <w:lang w:val="en-US" w:eastAsia="zh-CN"/>
              </w:rPr>
              <w:t>下表</w:t>
            </w:r>
            <w:r>
              <w:rPr>
                <w:rFonts w:hint="default" w:ascii="Times New Roman" w:hAnsi="Times New Roman" w:cs="Times New Roman"/>
                <w:i w:val="0"/>
                <w:iCs w:val="0"/>
                <w:color w:val="auto"/>
                <w:sz w:val="24"/>
                <w:highlight w:val="none"/>
                <w:u w:val="none"/>
                <w:shd w:val="clear" w:color="auto" w:fill="auto"/>
                <w:lang w:bidi="ar"/>
              </w:rPr>
              <w:t>。</w:t>
            </w:r>
          </w:p>
          <w:p>
            <w:pPr>
              <w:pStyle w:val="8"/>
              <w:bidi w:val="0"/>
              <w:rPr>
                <w:rFonts w:hint="default" w:ascii="Times New Roman" w:hAnsi="Times New Roman" w:eastAsia="宋体" w:cs="Times New Roman"/>
                <w:b/>
                <w:bCs w:val="0"/>
                <w:i w:val="0"/>
                <w:iCs w:val="0"/>
                <w:color w:val="auto"/>
                <w:highlight w:val="none"/>
                <w:u w:val="none"/>
                <w:shd w:val="clear" w:color="auto" w:fill="auto"/>
                <w:lang w:val="en-US" w:eastAsia="zh-CN"/>
              </w:rPr>
            </w:pPr>
            <w:r>
              <w:rPr>
                <w:rFonts w:hint="default" w:ascii="Times New Roman" w:hAnsi="Times New Roman" w:eastAsia="宋体" w:cs="Times New Roman"/>
                <w:b/>
                <w:bCs w:val="0"/>
                <w:i w:val="0"/>
                <w:iCs w:val="0"/>
                <w:color w:val="auto"/>
                <w:highlight w:val="none"/>
                <w:u w:val="none"/>
                <w:shd w:val="clear" w:color="auto" w:fill="auto"/>
                <w:lang w:val="en-US" w:eastAsia="zh-CN"/>
              </w:rPr>
              <w:t>表</w:t>
            </w:r>
            <w:r>
              <w:rPr>
                <w:rFonts w:hint="eastAsia" w:cs="Times New Roman"/>
                <w:b/>
                <w:bCs w:val="0"/>
                <w:i w:val="0"/>
                <w:iCs w:val="0"/>
                <w:color w:val="auto"/>
                <w:highlight w:val="none"/>
                <w:u w:val="none"/>
                <w:shd w:val="clear" w:color="auto" w:fill="auto"/>
                <w:lang w:val="en-US" w:eastAsia="zh-CN"/>
              </w:rPr>
              <w:t>3-3</w:t>
            </w:r>
            <w:r>
              <w:rPr>
                <w:rFonts w:hint="default" w:ascii="Times New Roman" w:hAnsi="Times New Roman" w:eastAsia="宋体" w:cs="Times New Roman"/>
                <w:b/>
                <w:bCs w:val="0"/>
                <w:i w:val="0"/>
                <w:iCs w:val="0"/>
                <w:color w:val="auto"/>
                <w:highlight w:val="none"/>
                <w:u w:val="none"/>
                <w:shd w:val="clear" w:color="auto" w:fill="auto"/>
                <w:lang w:val="en-US" w:eastAsia="zh-CN"/>
              </w:rPr>
              <w:t xml:space="preserve">   监测结果表</w:t>
            </w:r>
          </w:p>
          <w:tbl>
            <w:tblPr>
              <w:tblStyle w:val="31"/>
              <w:tblW w:w="837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1675"/>
              <w:gridCol w:w="1675"/>
              <w:gridCol w:w="335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75" w:type="dxa"/>
                  <w:vMerge w:val="restart"/>
                  <w:tcBorders>
                    <w:top w:val="single" w:color="auto" w:sz="12" w:space="0"/>
                  </w:tcBorders>
                  <w:noWrap w:val="0"/>
                  <w:vAlign w:val="center"/>
                </w:tcPr>
                <w:p>
                  <w:pPr>
                    <w:pStyle w:val="63"/>
                    <w:jc w:val="center"/>
                    <w:rPr>
                      <w:rFonts w:hint="default" w:ascii="Times New Roman" w:hAnsi="Times New Roman" w:eastAsia="宋体" w:cs="Times New Roman"/>
                      <w:i w:val="0"/>
                      <w:iCs w:val="0"/>
                      <w:color w:val="auto"/>
                      <w:sz w:val="21"/>
                      <w:szCs w:val="21"/>
                      <w:highlight w:val="none"/>
                      <w:u w:val="none"/>
                      <w:shd w:val="clear" w:color="auto" w:fill="auto"/>
                      <w:vertAlign w:val="baseline"/>
                      <w:lang w:val="en-US" w:eastAsia="zh-CN" w:bidi="ar"/>
                    </w:rPr>
                  </w:pPr>
                  <w:r>
                    <w:rPr>
                      <w:rFonts w:hint="default" w:ascii="Times New Roman" w:hAnsi="Times New Roman" w:eastAsia="宋体" w:cs="Times New Roman"/>
                      <w:i w:val="0"/>
                      <w:iCs w:val="0"/>
                      <w:color w:val="auto"/>
                      <w:sz w:val="21"/>
                      <w:szCs w:val="21"/>
                      <w:highlight w:val="none"/>
                      <w:u w:val="none"/>
                      <w:shd w:val="clear" w:color="auto" w:fill="auto"/>
                      <w:vertAlign w:val="baseline"/>
                      <w:lang w:val="en-US" w:eastAsia="zh-CN" w:bidi="ar"/>
                    </w:rPr>
                    <w:t>采样日期</w:t>
                  </w:r>
                </w:p>
              </w:tc>
              <w:tc>
                <w:tcPr>
                  <w:tcW w:w="1675" w:type="dxa"/>
                  <w:vMerge w:val="restart"/>
                  <w:tcBorders>
                    <w:top w:val="single" w:color="auto" w:sz="12" w:space="0"/>
                  </w:tcBorders>
                  <w:noWrap w:val="0"/>
                  <w:vAlign w:val="center"/>
                </w:tcPr>
                <w:p>
                  <w:pPr>
                    <w:pStyle w:val="63"/>
                    <w:jc w:val="center"/>
                    <w:rPr>
                      <w:rFonts w:hint="default" w:ascii="Times New Roman" w:hAnsi="Times New Roman" w:eastAsia="宋体" w:cs="Times New Roman"/>
                      <w:i w:val="0"/>
                      <w:iCs w:val="0"/>
                      <w:color w:val="auto"/>
                      <w:sz w:val="21"/>
                      <w:szCs w:val="21"/>
                      <w:highlight w:val="none"/>
                      <w:u w:val="none"/>
                      <w:shd w:val="clear" w:color="auto" w:fill="auto"/>
                      <w:vertAlign w:val="baseline"/>
                      <w:lang w:val="en-US" w:eastAsia="zh-CN" w:bidi="ar"/>
                    </w:rPr>
                  </w:pPr>
                  <w:r>
                    <w:rPr>
                      <w:rFonts w:hint="default" w:ascii="Times New Roman" w:hAnsi="Times New Roman" w:eastAsia="宋体" w:cs="Times New Roman"/>
                      <w:i w:val="0"/>
                      <w:iCs w:val="0"/>
                      <w:color w:val="auto"/>
                      <w:sz w:val="21"/>
                      <w:szCs w:val="21"/>
                      <w:highlight w:val="none"/>
                      <w:u w:val="none"/>
                      <w:shd w:val="clear" w:color="auto" w:fill="auto"/>
                      <w:vertAlign w:val="baseline"/>
                      <w:lang w:val="en-US" w:eastAsia="zh-CN" w:bidi="ar"/>
                    </w:rPr>
                    <w:t>监测因子</w:t>
                  </w:r>
                </w:p>
              </w:tc>
              <w:tc>
                <w:tcPr>
                  <w:tcW w:w="1675" w:type="dxa"/>
                  <w:vMerge w:val="restart"/>
                  <w:tcBorders>
                    <w:top w:val="single" w:color="auto" w:sz="12" w:space="0"/>
                  </w:tcBorders>
                  <w:noWrap w:val="0"/>
                  <w:vAlign w:val="center"/>
                </w:tcPr>
                <w:p>
                  <w:pPr>
                    <w:pStyle w:val="63"/>
                    <w:jc w:val="center"/>
                    <w:rPr>
                      <w:rFonts w:hint="default" w:ascii="Times New Roman" w:hAnsi="Times New Roman" w:eastAsia="宋体" w:cs="Times New Roman"/>
                      <w:i w:val="0"/>
                      <w:iCs w:val="0"/>
                      <w:color w:val="auto"/>
                      <w:sz w:val="21"/>
                      <w:szCs w:val="21"/>
                      <w:highlight w:val="none"/>
                      <w:u w:val="none"/>
                      <w:shd w:val="clear" w:color="auto" w:fill="auto"/>
                      <w:vertAlign w:val="baseline"/>
                      <w:lang w:val="en-US" w:eastAsia="zh-CN" w:bidi="ar"/>
                    </w:rPr>
                  </w:pPr>
                  <w:r>
                    <w:rPr>
                      <w:rFonts w:hint="default" w:ascii="Times New Roman" w:hAnsi="Times New Roman" w:eastAsia="宋体" w:cs="Times New Roman"/>
                      <w:i w:val="0"/>
                      <w:iCs w:val="0"/>
                      <w:color w:val="auto"/>
                      <w:sz w:val="21"/>
                      <w:szCs w:val="21"/>
                      <w:highlight w:val="none"/>
                      <w:u w:val="none"/>
                      <w:shd w:val="clear" w:color="auto" w:fill="auto"/>
                      <w:vertAlign w:val="baseline"/>
                      <w:lang w:val="en-US" w:eastAsia="zh-CN" w:bidi="ar"/>
                    </w:rPr>
                    <w:t>采样时段</w:t>
                  </w:r>
                </w:p>
              </w:tc>
              <w:tc>
                <w:tcPr>
                  <w:tcW w:w="3353" w:type="dxa"/>
                  <w:tcBorders>
                    <w:top w:val="single" w:color="auto" w:sz="12" w:space="0"/>
                  </w:tcBorders>
                  <w:noWrap w:val="0"/>
                  <w:vAlign w:val="top"/>
                </w:tcPr>
                <w:p>
                  <w:pPr>
                    <w:pStyle w:val="63"/>
                    <w:jc w:val="center"/>
                    <w:rPr>
                      <w:rFonts w:hint="default" w:ascii="Times New Roman" w:hAnsi="Times New Roman" w:eastAsia="宋体" w:cs="Times New Roman"/>
                      <w:i w:val="0"/>
                      <w:iCs w:val="0"/>
                      <w:color w:val="auto"/>
                      <w:sz w:val="21"/>
                      <w:szCs w:val="21"/>
                      <w:highlight w:val="none"/>
                      <w:u w:val="none"/>
                      <w:shd w:val="clear" w:color="auto" w:fill="auto"/>
                      <w:vertAlign w:val="baseline"/>
                      <w:lang w:val="en-US" w:eastAsia="zh-CN" w:bidi="ar"/>
                    </w:rPr>
                  </w:pPr>
                  <w:r>
                    <w:rPr>
                      <w:rFonts w:hint="default" w:ascii="Times New Roman" w:hAnsi="Times New Roman" w:eastAsia="宋体" w:cs="Times New Roman"/>
                      <w:i w:val="0"/>
                      <w:iCs w:val="0"/>
                      <w:color w:val="auto"/>
                      <w:sz w:val="21"/>
                      <w:szCs w:val="21"/>
                      <w:highlight w:val="none"/>
                      <w:u w:val="none"/>
                      <w:shd w:val="clear" w:color="auto" w:fill="auto"/>
                      <w:vertAlign w:val="baseline"/>
                      <w:lang w:val="en-US" w:eastAsia="zh-CN" w:bidi="ar"/>
                    </w:rPr>
                    <w:t>检测结果浓度范围（mg/m</w:t>
                  </w:r>
                  <w:r>
                    <w:rPr>
                      <w:rFonts w:hint="default" w:ascii="Times New Roman" w:hAnsi="Times New Roman" w:eastAsia="宋体" w:cs="Times New Roman"/>
                      <w:i w:val="0"/>
                      <w:iCs w:val="0"/>
                      <w:color w:val="auto"/>
                      <w:sz w:val="21"/>
                      <w:szCs w:val="21"/>
                      <w:highlight w:val="none"/>
                      <w:u w:val="none"/>
                      <w:shd w:val="clear" w:color="auto" w:fill="auto"/>
                      <w:vertAlign w:val="superscript"/>
                      <w:lang w:val="en-US" w:eastAsia="zh-CN" w:bidi="ar"/>
                    </w:rPr>
                    <w:t>3</w:t>
                  </w:r>
                  <w:r>
                    <w:rPr>
                      <w:rFonts w:hint="default" w:ascii="Times New Roman" w:hAnsi="Times New Roman" w:eastAsia="宋体" w:cs="Times New Roman"/>
                      <w:i w:val="0"/>
                      <w:iCs w:val="0"/>
                      <w:color w:val="auto"/>
                      <w:sz w:val="21"/>
                      <w:szCs w:val="21"/>
                      <w:highlight w:val="none"/>
                      <w:u w:val="none"/>
                      <w:shd w:val="clear" w:color="auto" w:fill="auto"/>
                      <w:vertAlign w:val="baseline"/>
                      <w:lang w:val="en-US" w:eastAsia="zh-CN" w:bidi="ar"/>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1675" w:type="dxa"/>
                  <w:vMerge w:val="continue"/>
                  <w:noWrap w:val="0"/>
                  <w:vAlign w:val="center"/>
                </w:tcPr>
                <w:p>
                  <w:pPr>
                    <w:pStyle w:val="63"/>
                    <w:jc w:val="center"/>
                    <w:rPr>
                      <w:rFonts w:hint="default" w:ascii="Times New Roman" w:hAnsi="Times New Roman" w:cs="Times New Roman"/>
                      <w:i w:val="0"/>
                      <w:iCs w:val="0"/>
                      <w:color w:val="auto"/>
                      <w:sz w:val="21"/>
                      <w:szCs w:val="21"/>
                      <w:highlight w:val="none"/>
                      <w:u w:val="none"/>
                      <w:shd w:val="clear" w:color="auto" w:fill="auto"/>
                      <w:vertAlign w:val="baseline"/>
                      <w:lang w:bidi="ar"/>
                    </w:rPr>
                  </w:pPr>
                </w:p>
              </w:tc>
              <w:tc>
                <w:tcPr>
                  <w:tcW w:w="1675" w:type="dxa"/>
                  <w:vMerge w:val="continue"/>
                  <w:noWrap w:val="0"/>
                  <w:vAlign w:val="top"/>
                </w:tcPr>
                <w:p>
                  <w:pPr>
                    <w:pStyle w:val="63"/>
                    <w:jc w:val="center"/>
                    <w:rPr>
                      <w:rFonts w:hint="default" w:ascii="Times New Roman" w:hAnsi="Times New Roman" w:cs="Times New Roman"/>
                      <w:i w:val="0"/>
                      <w:iCs w:val="0"/>
                      <w:color w:val="auto"/>
                      <w:sz w:val="21"/>
                      <w:szCs w:val="21"/>
                      <w:highlight w:val="none"/>
                      <w:u w:val="none"/>
                      <w:shd w:val="clear" w:color="auto" w:fill="auto"/>
                      <w:vertAlign w:val="baseline"/>
                      <w:lang w:bidi="ar"/>
                    </w:rPr>
                  </w:pPr>
                </w:p>
              </w:tc>
              <w:tc>
                <w:tcPr>
                  <w:tcW w:w="1675" w:type="dxa"/>
                  <w:vMerge w:val="continue"/>
                  <w:noWrap w:val="0"/>
                  <w:vAlign w:val="top"/>
                </w:tcPr>
                <w:p>
                  <w:pPr>
                    <w:pStyle w:val="63"/>
                    <w:jc w:val="center"/>
                    <w:rPr>
                      <w:rFonts w:hint="default" w:ascii="Times New Roman" w:hAnsi="Times New Roman" w:cs="Times New Roman"/>
                      <w:i w:val="0"/>
                      <w:iCs w:val="0"/>
                      <w:color w:val="auto"/>
                      <w:sz w:val="21"/>
                      <w:szCs w:val="21"/>
                      <w:highlight w:val="none"/>
                      <w:u w:val="none"/>
                      <w:shd w:val="clear" w:color="auto" w:fill="auto"/>
                      <w:vertAlign w:val="baseline"/>
                      <w:lang w:bidi="ar"/>
                    </w:rPr>
                  </w:pPr>
                </w:p>
              </w:tc>
              <w:tc>
                <w:tcPr>
                  <w:tcW w:w="3353" w:type="dxa"/>
                  <w:noWrap w:val="0"/>
                  <w:vAlign w:val="top"/>
                </w:tcPr>
                <w:p>
                  <w:pPr>
                    <w:pStyle w:val="63"/>
                    <w:jc w:val="center"/>
                    <w:rPr>
                      <w:rFonts w:hint="default" w:ascii="Times New Roman" w:hAnsi="Times New Roman" w:eastAsia="宋体" w:cs="Times New Roman"/>
                      <w:i w:val="0"/>
                      <w:iCs w:val="0"/>
                      <w:color w:val="auto"/>
                      <w:sz w:val="21"/>
                      <w:szCs w:val="21"/>
                      <w:highlight w:val="none"/>
                      <w:u w:val="none"/>
                      <w:shd w:val="clear" w:color="auto" w:fill="auto"/>
                      <w:vertAlign w:val="baseline"/>
                      <w:lang w:val="en-US" w:eastAsia="zh-CN" w:bidi="ar"/>
                    </w:rPr>
                  </w:pPr>
                  <w:r>
                    <w:rPr>
                      <w:rFonts w:hint="default" w:ascii="Times New Roman" w:hAnsi="Times New Roman" w:eastAsia="宋体" w:cs="Times New Roman"/>
                      <w:i w:val="0"/>
                      <w:iCs w:val="0"/>
                      <w:color w:val="auto"/>
                      <w:sz w:val="21"/>
                      <w:szCs w:val="21"/>
                      <w:highlight w:val="none"/>
                      <w:u w:val="none"/>
                      <w:shd w:val="clear" w:color="auto" w:fill="auto"/>
                      <w:vertAlign w:val="baseline"/>
                      <w:lang w:val="en-US" w:eastAsia="zh-CN" w:bidi="ar"/>
                    </w:rPr>
                    <w:t>A</w:t>
                  </w:r>
                  <w:r>
                    <w:rPr>
                      <w:rFonts w:hint="eastAsia" w:ascii="Times New Roman" w:hAnsi="Times New Roman" w:eastAsia="宋体" w:cs="Times New Roman"/>
                      <w:i w:val="0"/>
                      <w:iCs w:val="0"/>
                      <w:color w:val="auto"/>
                      <w:sz w:val="21"/>
                      <w:szCs w:val="21"/>
                      <w:highlight w:val="none"/>
                      <w:u w:val="none"/>
                      <w:shd w:val="clear" w:color="auto" w:fill="auto"/>
                      <w:vertAlign w:val="baseli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675" w:type="dxa"/>
                  <w:vMerge w:val="restart"/>
                  <w:noWrap w:val="0"/>
                  <w:vAlign w:val="center"/>
                </w:tcPr>
                <w:p>
                  <w:pPr>
                    <w:pStyle w:val="63"/>
                    <w:jc w:val="center"/>
                    <w:rPr>
                      <w:rFonts w:hint="default" w:ascii="Times New Roman" w:hAnsi="Times New Roman" w:eastAsia="宋体" w:cs="Times New Roman"/>
                      <w:i w:val="0"/>
                      <w:iCs w:val="0"/>
                      <w:color w:val="auto"/>
                      <w:sz w:val="21"/>
                      <w:szCs w:val="21"/>
                      <w:highlight w:val="none"/>
                      <w:u w:val="none"/>
                      <w:shd w:val="clear" w:color="auto" w:fill="auto"/>
                      <w:vertAlign w:val="baseline"/>
                      <w:lang w:val="en-US" w:eastAsia="zh-CN" w:bidi="ar"/>
                    </w:rPr>
                  </w:pPr>
                  <w:r>
                    <w:rPr>
                      <w:rFonts w:hint="default" w:ascii="Times New Roman" w:hAnsi="Times New Roman" w:eastAsia="宋体" w:cs="Times New Roman"/>
                      <w:i w:val="0"/>
                      <w:iCs w:val="0"/>
                      <w:color w:val="auto"/>
                      <w:sz w:val="21"/>
                      <w:szCs w:val="21"/>
                      <w:highlight w:val="none"/>
                      <w:u w:val="none"/>
                      <w:shd w:val="clear" w:color="auto" w:fill="auto"/>
                      <w:vertAlign w:val="baseline"/>
                      <w:lang w:val="en-US" w:eastAsia="zh-CN" w:bidi="ar"/>
                    </w:rPr>
                    <w:t>202</w:t>
                  </w:r>
                  <w:r>
                    <w:rPr>
                      <w:rFonts w:hint="eastAsia" w:cs="Times New Roman"/>
                      <w:i w:val="0"/>
                      <w:iCs w:val="0"/>
                      <w:color w:val="auto"/>
                      <w:sz w:val="21"/>
                      <w:szCs w:val="21"/>
                      <w:highlight w:val="none"/>
                      <w:u w:val="none"/>
                      <w:shd w:val="clear" w:color="auto" w:fill="auto"/>
                      <w:vertAlign w:val="baseline"/>
                      <w:lang w:val="en-US" w:eastAsia="zh-CN" w:bidi="ar"/>
                    </w:rPr>
                    <w:t>1</w:t>
                  </w:r>
                  <w:r>
                    <w:rPr>
                      <w:rFonts w:hint="default" w:ascii="Times New Roman" w:hAnsi="Times New Roman" w:eastAsia="宋体" w:cs="Times New Roman"/>
                      <w:i w:val="0"/>
                      <w:iCs w:val="0"/>
                      <w:color w:val="auto"/>
                      <w:sz w:val="21"/>
                      <w:szCs w:val="21"/>
                      <w:highlight w:val="none"/>
                      <w:u w:val="none"/>
                      <w:shd w:val="clear" w:color="auto" w:fill="auto"/>
                      <w:vertAlign w:val="baseline"/>
                      <w:lang w:val="en-US" w:eastAsia="zh-CN" w:bidi="ar"/>
                    </w:rPr>
                    <w:t>年</w:t>
                  </w:r>
                  <w:r>
                    <w:rPr>
                      <w:rFonts w:hint="eastAsia" w:cs="Times New Roman"/>
                      <w:i w:val="0"/>
                      <w:iCs w:val="0"/>
                      <w:color w:val="auto"/>
                      <w:sz w:val="21"/>
                      <w:szCs w:val="21"/>
                      <w:highlight w:val="none"/>
                      <w:u w:val="none"/>
                      <w:shd w:val="clear" w:color="auto" w:fill="auto"/>
                      <w:vertAlign w:val="baseline"/>
                      <w:lang w:val="en-US" w:eastAsia="zh-CN" w:bidi="ar"/>
                    </w:rPr>
                    <w:t>4</w:t>
                  </w:r>
                  <w:r>
                    <w:rPr>
                      <w:rFonts w:hint="default" w:ascii="Times New Roman" w:hAnsi="Times New Roman" w:eastAsia="宋体" w:cs="Times New Roman"/>
                      <w:i w:val="0"/>
                      <w:iCs w:val="0"/>
                      <w:color w:val="auto"/>
                      <w:sz w:val="21"/>
                      <w:szCs w:val="21"/>
                      <w:highlight w:val="none"/>
                      <w:u w:val="none"/>
                      <w:shd w:val="clear" w:color="auto" w:fill="auto"/>
                      <w:vertAlign w:val="baseline"/>
                      <w:lang w:val="en-US" w:eastAsia="zh-CN" w:bidi="ar"/>
                    </w:rPr>
                    <w:t>月</w:t>
                  </w:r>
                  <w:r>
                    <w:rPr>
                      <w:rFonts w:hint="eastAsia" w:cs="Times New Roman"/>
                      <w:i w:val="0"/>
                      <w:iCs w:val="0"/>
                      <w:color w:val="auto"/>
                      <w:sz w:val="21"/>
                      <w:szCs w:val="21"/>
                      <w:highlight w:val="none"/>
                      <w:u w:val="none"/>
                      <w:shd w:val="clear" w:color="auto" w:fill="auto"/>
                      <w:vertAlign w:val="baseline"/>
                      <w:lang w:val="en-US" w:eastAsia="zh-CN" w:bidi="ar"/>
                    </w:rPr>
                    <w:t>3</w:t>
                  </w:r>
                  <w:r>
                    <w:rPr>
                      <w:rFonts w:hint="default" w:ascii="Times New Roman" w:hAnsi="Times New Roman" w:eastAsia="宋体" w:cs="Times New Roman"/>
                      <w:i w:val="0"/>
                      <w:iCs w:val="0"/>
                      <w:color w:val="auto"/>
                      <w:sz w:val="21"/>
                      <w:szCs w:val="21"/>
                      <w:highlight w:val="none"/>
                      <w:u w:val="none"/>
                      <w:shd w:val="clear" w:color="auto" w:fill="auto"/>
                      <w:vertAlign w:val="baseline"/>
                      <w:lang w:val="en-US" w:eastAsia="zh-CN" w:bidi="ar"/>
                    </w:rPr>
                    <w:t>日至</w:t>
                  </w:r>
                  <w:r>
                    <w:rPr>
                      <w:rFonts w:hint="eastAsia" w:cs="Times New Roman"/>
                      <w:i w:val="0"/>
                      <w:iCs w:val="0"/>
                      <w:color w:val="auto"/>
                      <w:sz w:val="21"/>
                      <w:szCs w:val="21"/>
                      <w:highlight w:val="none"/>
                      <w:u w:val="none"/>
                      <w:shd w:val="clear" w:color="auto" w:fill="auto"/>
                      <w:vertAlign w:val="baseline"/>
                      <w:lang w:val="en-US" w:eastAsia="zh-CN" w:bidi="ar"/>
                    </w:rPr>
                    <w:t>5</w:t>
                  </w:r>
                  <w:r>
                    <w:rPr>
                      <w:rFonts w:hint="default" w:ascii="Times New Roman" w:hAnsi="Times New Roman" w:eastAsia="宋体" w:cs="Times New Roman"/>
                      <w:i w:val="0"/>
                      <w:iCs w:val="0"/>
                      <w:color w:val="auto"/>
                      <w:sz w:val="21"/>
                      <w:szCs w:val="21"/>
                      <w:highlight w:val="none"/>
                      <w:u w:val="none"/>
                      <w:shd w:val="clear" w:color="auto" w:fill="auto"/>
                      <w:vertAlign w:val="baseline"/>
                      <w:lang w:val="en-US" w:eastAsia="zh-CN" w:bidi="ar"/>
                    </w:rPr>
                    <w:t>日</w:t>
                  </w:r>
                </w:p>
              </w:tc>
              <w:tc>
                <w:tcPr>
                  <w:tcW w:w="1675" w:type="dxa"/>
                  <w:noWrap w:val="0"/>
                  <w:vAlign w:val="top"/>
                </w:tcPr>
                <w:p>
                  <w:pPr>
                    <w:pStyle w:val="63"/>
                    <w:jc w:val="center"/>
                    <w:rPr>
                      <w:rFonts w:hint="default" w:ascii="Times New Roman" w:hAnsi="Times New Roman" w:eastAsia="宋体" w:cs="Times New Roman"/>
                      <w:i w:val="0"/>
                      <w:iCs w:val="0"/>
                      <w:color w:val="auto"/>
                      <w:sz w:val="21"/>
                      <w:szCs w:val="21"/>
                      <w:highlight w:val="none"/>
                      <w:u w:val="none"/>
                      <w:shd w:val="clear" w:color="auto" w:fill="auto"/>
                      <w:vertAlign w:val="baseline"/>
                      <w:lang w:val="en-US" w:eastAsia="zh-CN" w:bidi="ar"/>
                    </w:rPr>
                  </w:pPr>
                  <w:r>
                    <w:rPr>
                      <w:rFonts w:hint="default" w:ascii="Times New Roman" w:hAnsi="Times New Roman" w:eastAsia="宋体" w:cs="Times New Roman"/>
                      <w:i w:val="0"/>
                      <w:iCs w:val="0"/>
                      <w:color w:val="auto"/>
                      <w:sz w:val="21"/>
                      <w:szCs w:val="21"/>
                      <w:highlight w:val="none"/>
                      <w:u w:val="none"/>
                      <w:shd w:val="clear" w:color="auto" w:fill="auto"/>
                      <w:vertAlign w:val="baseline"/>
                      <w:lang w:val="en-US" w:eastAsia="zh-CN" w:bidi="ar"/>
                    </w:rPr>
                    <w:t>TSP</w:t>
                  </w:r>
                </w:p>
              </w:tc>
              <w:tc>
                <w:tcPr>
                  <w:tcW w:w="1675" w:type="dxa"/>
                  <w:noWrap w:val="0"/>
                  <w:vAlign w:val="top"/>
                </w:tcPr>
                <w:p>
                  <w:pPr>
                    <w:pStyle w:val="63"/>
                    <w:jc w:val="center"/>
                    <w:rPr>
                      <w:rFonts w:hint="default" w:ascii="Times New Roman" w:hAnsi="Times New Roman" w:eastAsia="宋体" w:cs="Times New Roman"/>
                      <w:i w:val="0"/>
                      <w:iCs w:val="0"/>
                      <w:color w:val="auto"/>
                      <w:sz w:val="21"/>
                      <w:szCs w:val="21"/>
                      <w:highlight w:val="none"/>
                      <w:u w:val="none"/>
                      <w:shd w:val="clear" w:color="auto" w:fill="auto"/>
                      <w:vertAlign w:val="baseline"/>
                      <w:lang w:val="en-US" w:eastAsia="zh-CN" w:bidi="ar"/>
                    </w:rPr>
                  </w:pPr>
                  <w:r>
                    <w:rPr>
                      <w:rFonts w:hint="default" w:ascii="Times New Roman" w:hAnsi="Times New Roman" w:eastAsia="宋体" w:cs="Times New Roman"/>
                      <w:i w:val="0"/>
                      <w:iCs w:val="0"/>
                      <w:color w:val="auto"/>
                      <w:sz w:val="21"/>
                      <w:szCs w:val="21"/>
                      <w:highlight w:val="none"/>
                      <w:u w:val="none"/>
                      <w:shd w:val="clear" w:color="auto" w:fill="auto"/>
                      <w:vertAlign w:val="baseline"/>
                      <w:lang w:val="en-US" w:eastAsia="zh-CN" w:bidi="ar"/>
                    </w:rPr>
                    <w:t>日均值</w:t>
                  </w:r>
                </w:p>
              </w:tc>
              <w:tc>
                <w:tcPr>
                  <w:tcW w:w="3353" w:type="dxa"/>
                  <w:noWrap w:val="0"/>
                  <w:vAlign w:val="top"/>
                </w:tcPr>
                <w:p>
                  <w:pPr>
                    <w:pStyle w:val="63"/>
                    <w:jc w:val="center"/>
                    <w:rPr>
                      <w:rFonts w:hint="default" w:ascii="Times New Roman" w:hAnsi="Times New Roman" w:eastAsia="宋体" w:cs="Times New Roman"/>
                      <w:i w:val="0"/>
                      <w:iCs w:val="0"/>
                      <w:color w:val="auto"/>
                      <w:sz w:val="21"/>
                      <w:szCs w:val="21"/>
                      <w:highlight w:val="none"/>
                      <w:u w:val="none"/>
                      <w:shd w:val="clear" w:color="auto" w:fill="auto"/>
                      <w:vertAlign w:val="baseline"/>
                      <w:lang w:val="en-US" w:eastAsia="zh-CN" w:bidi="ar"/>
                    </w:rPr>
                  </w:pPr>
                  <w:r>
                    <w:rPr>
                      <w:rFonts w:hint="default" w:ascii="Times New Roman" w:hAnsi="Times New Roman" w:eastAsia="宋体" w:cs="Times New Roman"/>
                      <w:i w:val="0"/>
                      <w:iCs w:val="0"/>
                      <w:color w:val="auto"/>
                      <w:sz w:val="21"/>
                      <w:szCs w:val="21"/>
                      <w:highlight w:val="none"/>
                      <w:u w:val="none"/>
                      <w:shd w:val="clear" w:color="auto" w:fill="auto"/>
                      <w:vertAlign w:val="baseline"/>
                      <w:lang w:val="en-US" w:eastAsia="zh-CN" w:bidi="ar"/>
                    </w:rPr>
                    <w:t>0.</w:t>
                  </w:r>
                  <w:r>
                    <w:rPr>
                      <w:rFonts w:hint="eastAsia" w:ascii="Times New Roman" w:hAnsi="Times New Roman" w:eastAsia="宋体" w:cs="Times New Roman"/>
                      <w:i w:val="0"/>
                      <w:iCs w:val="0"/>
                      <w:color w:val="auto"/>
                      <w:sz w:val="21"/>
                      <w:szCs w:val="21"/>
                      <w:highlight w:val="none"/>
                      <w:u w:val="none"/>
                      <w:shd w:val="clear" w:color="auto" w:fill="auto"/>
                      <w:vertAlign w:val="baseline"/>
                      <w:lang w:val="en-US" w:eastAsia="zh-CN" w:bidi="ar"/>
                    </w:rPr>
                    <w:t>098</w:t>
                  </w:r>
                  <w:r>
                    <w:rPr>
                      <w:rFonts w:hint="default" w:ascii="Times New Roman" w:hAnsi="Times New Roman" w:eastAsia="宋体" w:cs="Times New Roman"/>
                      <w:i w:val="0"/>
                      <w:iCs w:val="0"/>
                      <w:color w:val="auto"/>
                      <w:sz w:val="21"/>
                      <w:szCs w:val="21"/>
                      <w:highlight w:val="none"/>
                      <w:u w:val="none"/>
                      <w:shd w:val="clear" w:color="auto" w:fill="auto"/>
                      <w:vertAlign w:val="baseline"/>
                      <w:lang w:val="en-US" w:eastAsia="zh-CN" w:bidi="ar"/>
                    </w:rPr>
                    <w:t>-0.</w:t>
                  </w:r>
                  <w:r>
                    <w:rPr>
                      <w:rFonts w:hint="eastAsia" w:ascii="Times New Roman" w:hAnsi="Times New Roman" w:eastAsia="宋体" w:cs="Times New Roman"/>
                      <w:i w:val="0"/>
                      <w:iCs w:val="0"/>
                      <w:color w:val="auto"/>
                      <w:sz w:val="21"/>
                      <w:szCs w:val="21"/>
                      <w:highlight w:val="none"/>
                      <w:u w:val="none"/>
                      <w:shd w:val="clear" w:color="auto" w:fill="auto"/>
                      <w:vertAlign w:val="baseline"/>
                      <w:lang w:val="en-US" w:eastAsia="zh-CN" w:bidi="ar"/>
                    </w:rPr>
                    <w:t>107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675" w:type="dxa"/>
                  <w:vMerge w:val="continue"/>
                  <w:tcBorders>
                    <w:bottom w:val="single" w:color="auto" w:sz="12" w:space="0"/>
                  </w:tcBorders>
                  <w:noWrap w:val="0"/>
                  <w:vAlign w:val="top"/>
                </w:tcPr>
                <w:p>
                  <w:pPr>
                    <w:pStyle w:val="63"/>
                    <w:jc w:val="center"/>
                    <w:rPr>
                      <w:rFonts w:hint="default" w:ascii="Times New Roman" w:hAnsi="Times New Roman" w:cs="Times New Roman"/>
                      <w:i w:val="0"/>
                      <w:iCs w:val="0"/>
                      <w:color w:val="auto"/>
                      <w:sz w:val="21"/>
                      <w:szCs w:val="21"/>
                      <w:highlight w:val="none"/>
                      <w:u w:val="none"/>
                      <w:shd w:val="clear" w:color="auto" w:fill="auto"/>
                      <w:vertAlign w:val="baseline"/>
                      <w:lang w:bidi="ar"/>
                    </w:rPr>
                  </w:pPr>
                </w:p>
              </w:tc>
              <w:tc>
                <w:tcPr>
                  <w:tcW w:w="1675" w:type="dxa"/>
                  <w:tcBorders>
                    <w:bottom w:val="single" w:color="auto" w:sz="12" w:space="0"/>
                  </w:tcBorders>
                  <w:noWrap w:val="0"/>
                  <w:vAlign w:val="top"/>
                </w:tcPr>
                <w:p>
                  <w:pPr>
                    <w:pStyle w:val="63"/>
                    <w:jc w:val="center"/>
                    <w:rPr>
                      <w:rFonts w:hint="default" w:ascii="Times New Roman" w:hAnsi="Times New Roman" w:eastAsia="宋体" w:cs="Times New Roman"/>
                      <w:i w:val="0"/>
                      <w:iCs w:val="0"/>
                      <w:color w:val="auto"/>
                      <w:sz w:val="21"/>
                      <w:szCs w:val="21"/>
                      <w:highlight w:val="none"/>
                      <w:u w:val="none"/>
                      <w:shd w:val="clear" w:color="auto" w:fill="auto"/>
                      <w:vertAlign w:val="baseline"/>
                      <w:lang w:val="en-US" w:eastAsia="zh-CN" w:bidi="ar"/>
                    </w:rPr>
                  </w:pPr>
                  <w:r>
                    <w:rPr>
                      <w:rFonts w:hint="default" w:ascii="Times New Roman" w:hAnsi="Times New Roman" w:eastAsia="宋体" w:cs="Times New Roman"/>
                      <w:i w:val="0"/>
                      <w:iCs w:val="0"/>
                      <w:color w:val="auto"/>
                      <w:sz w:val="21"/>
                      <w:szCs w:val="21"/>
                      <w:highlight w:val="none"/>
                      <w:u w:val="none"/>
                      <w:shd w:val="clear" w:color="auto" w:fill="auto"/>
                      <w:vertAlign w:val="baseline"/>
                      <w:lang w:val="en-US" w:eastAsia="zh-CN" w:bidi="ar"/>
                    </w:rPr>
                    <w:t>NMHC</w:t>
                  </w:r>
                </w:p>
              </w:tc>
              <w:tc>
                <w:tcPr>
                  <w:tcW w:w="1675" w:type="dxa"/>
                  <w:tcBorders>
                    <w:bottom w:val="single" w:color="auto" w:sz="12" w:space="0"/>
                  </w:tcBorders>
                  <w:noWrap w:val="0"/>
                  <w:vAlign w:val="top"/>
                </w:tcPr>
                <w:p>
                  <w:pPr>
                    <w:pStyle w:val="63"/>
                    <w:jc w:val="center"/>
                    <w:rPr>
                      <w:rFonts w:hint="default" w:ascii="Times New Roman" w:hAnsi="Times New Roman" w:cs="Times New Roman"/>
                      <w:i w:val="0"/>
                      <w:iCs w:val="0"/>
                      <w:color w:val="auto"/>
                      <w:sz w:val="21"/>
                      <w:szCs w:val="21"/>
                      <w:highlight w:val="none"/>
                      <w:u w:val="none"/>
                      <w:shd w:val="clear" w:color="auto" w:fill="auto"/>
                      <w:vertAlign w:val="baseline"/>
                      <w:lang w:bidi="ar"/>
                    </w:rPr>
                  </w:pPr>
                  <w:r>
                    <w:rPr>
                      <w:rFonts w:hint="default" w:ascii="Times New Roman" w:hAnsi="Times New Roman" w:eastAsia="宋体" w:cs="Times New Roman"/>
                      <w:i w:val="0"/>
                      <w:iCs w:val="0"/>
                      <w:color w:val="auto"/>
                      <w:sz w:val="21"/>
                      <w:szCs w:val="21"/>
                      <w:highlight w:val="none"/>
                      <w:u w:val="none"/>
                      <w:shd w:val="clear" w:color="auto" w:fill="auto"/>
                      <w:vertAlign w:val="baseline"/>
                      <w:lang w:val="en-US" w:eastAsia="zh-CN" w:bidi="ar"/>
                    </w:rPr>
                    <w:t>日均值</w:t>
                  </w:r>
                </w:p>
              </w:tc>
              <w:tc>
                <w:tcPr>
                  <w:tcW w:w="3353" w:type="dxa"/>
                  <w:tcBorders>
                    <w:bottom w:val="single" w:color="auto" w:sz="12" w:space="0"/>
                  </w:tcBorders>
                  <w:noWrap w:val="0"/>
                  <w:vAlign w:val="top"/>
                </w:tcPr>
                <w:p>
                  <w:pPr>
                    <w:pStyle w:val="63"/>
                    <w:jc w:val="center"/>
                    <w:rPr>
                      <w:rFonts w:hint="default" w:ascii="Times New Roman" w:hAnsi="Times New Roman" w:cs="Times New Roman"/>
                      <w:i w:val="0"/>
                      <w:iCs w:val="0"/>
                      <w:color w:val="auto"/>
                      <w:sz w:val="21"/>
                      <w:szCs w:val="21"/>
                      <w:highlight w:val="none"/>
                      <w:u w:val="none"/>
                      <w:shd w:val="clear" w:color="auto" w:fill="auto"/>
                      <w:vertAlign w:val="baseline"/>
                      <w:lang w:val="en-US" w:bidi="ar"/>
                    </w:rPr>
                  </w:pPr>
                  <w:r>
                    <w:rPr>
                      <w:rFonts w:hint="eastAsia" w:ascii="Times New Roman" w:hAnsi="Times New Roman" w:eastAsia="宋体" w:cs="Times New Roman"/>
                      <w:i w:val="0"/>
                      <w:iCs w:val="0"/>
                      <w:color w:val="auto"/>
                      <w:sz w:val="21"/>
                      <w:szCs w:val="21"/>
                      <w:highlight w:val="none"/>
                      <w:u w:val="none"/>
                      <w:shd w:val="clear" w:color="auto" w:fill="auto"/>
                      <w:vertAlign w:val="baseline"/>
                      <w:lang w:val="en-US" w:eastAsia="zh-CN" w:bidi="ar"/>
                    </w:rPr>
                    <w:t>0.18-0.19</w:t>
                  </w:r>
                </w:p>
              </w:tc>
            </w:tr>
          </w:tbl>
          <w:p>
            <w:pPr>
              <w:pStyle w:val="8"/>
              <w:keepNext/>
              <w:keepLines/>
              <w:pageBreakBefore w:val="0"/>
              <w:widowControl w:val="0"/>
              <w:kinsoku/>
              <w:wordWrap/>
              <w:overflowPunct/>
              <w:topLinePunct w:val="0"/>
              <w:autoSpaceDE/>
              <w:autoSpaceDN/>
              <w:bidi w:val="0"/>
              <w:adjustRightInd w:val="0"/>
              <w:snapToGrid w:val="0"/>
              <w:spacing w:line="240" w:lineRule="auto"/>
              <w:textAlignment w:val="baseline"/>
              <w:rPr>
                <w:rFonts w:hint="default" w:ascii="Times New Roman" w:hAnsi="Times New Roman" w:eastAsia="宋体" w:cs="Times New Roman"/>
                <w:b/>
                <w:bCs w:val="0"/>
                <w:i w:val="0"/>
                <w:iCs w:val="0"/>
                <w:color w:val="auto"/>
                <w:highlight w:val="none"/>
                <w:u w:val="none"/>
                <w:shd w:val="clear" w:color="auto" w:fill="auto"/>
                <w:lang w:val="en-US" w:eastAsia="zh-CN"/>
              </w:rPr>
            </w:pPr>
          </w:p>
          <w:p>
            <w:pPr>
              <w:pStyle w:val="8"/>
              <w:keepNext/>
              <w:keepLines/>
              <w:pageBreakBefore w:val="0"/>
              <w:widowControl w:val="0"/>
              <w:kinsoku/>
              <w:wordWrap/>
              <w:overflowPunct/>
              <w:topLinePunct w:val="0"/>
              <w:autoSpaceDE/>
              <w:autoSpaceDN/>
              <w:bidi w:val="0"/>
              <w:adjustRightInd w:val="0"/>
              <w:snapToGrid w:val="0"/>
              <w:textAlignment w:val="baseline"/>
              <w:rPr>
                <w:rFonts w:hint="default" w:ascii="Times New Roman" w:hAnsi="Times New Roman" w:eastAsia="宋体" w:cs="Times New Roman"/>
                <w:b/>
                <w:bCs w:val="0"/>
                <w:i w:val="0"/>
                <w:iCs w:val="0"/>
                <w:color w:val="auto"/>
                <w:highlight w:val="none"/>
                <w:u w:val="none"/>
                <w:shd w:val="clear" w:color="auto" w:fill="auto"/>
                <w:lang w:val="en-US" w:eastAsia="zh-CN"/>
              </w:rPr>
            </w:pPr>
            <w:r>
              <w:rPr>
                <w:rFonts w:hint="default" w:ascii="Times New Roman" w:hAnsi="Times New Roman" w:eastAsia="宋体" w:cs="Times New Roman"/>
                <w:b/>
                <w:bCs w:val="0"/>
                <w:i w:val="0"/>
                <w:iCs w:val="0"/>
                <w:color w:val="auto"/>
                <w:highlight w:val="none"/>
                <w:u w:val="none"/>
                <w:shd w:val="clear" w:color="auto" w:fill="auto"/>
                <w:lang w:val="en-US" w:eastAsia="zh-CN"/>
              </w:rPr>
              <w:t>表</w:t>
            </w:r>
            <w:r>
              <w:rPr>
                <w:rFonts w:hint="eastAsia" w:cs="Times New Roman"/>
                <w:b/>
                <w:bCs w:val="0"/>
                <w:i w:val="0"/>
                <w:iCs w:val="0"/>
                <w:color w:val="auto"/>
                <w:highlight w:val="none"/>
                <w:u w:val="none"/>
                <w:shd w:val="clear" w:color="auto" w:fill="auto"/>
                <w:lang w:val="en-US" w:eastAsia="zh-CN"/>
              </w:rPr>
              <w:t>3-4</w:t>
            </w:r>
            <w:r>
              <w:rPr>
                <w:rFonts w:hint="default" w:ascii="Times New Roman" w:hAnsi="Times New Roman" w:eastAsia="宋体" w:cs="Times New Roman"/>
                <w:b/>
                <w:bCs w:val="0"/>
                <w:i w:val="0"/>
                <w:iCs w:val="0"/>
                <w:color w:val="auto"/>
                <w:highlight w:val="none"/>
                <w:u w:val="none"/>
                <w:shd w:val="clear" w:color="auto" w:fill="auto"/>
                <w:lang w:val="en-US" w:eastAsia="zh-CN"/>
              </w:rPr>
              <w:t xml:space="preserve">   监测评价结果表</w:t>
            </w:r>
          </w:p>
          <w:tbl>
            <w:tblPr>
              <w:tblStyle w:val="30"/>
              <w:tblpPr w:leftFromText="180" w:rightFromText="180" w:vertAnchor="text" w:horzAnchor="page" w:tblpXSpec="center" w:tblpY="65"/>
              <w:tblOverlap w:val="never"/>
              <w:tblW w:w="8416" w:type="dxa"/>
              <w:jc w:val="center"/>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
            <w:tblGrid>
              <w:gridCol w:w="700"/>
              <w:gridCol w:w="707"/>
              <w:gridCol w:w="832"/>
              <w:gridCol w:w="908"/>
              <w:gridCol w:w="847"/>
              <w:gridCol w:w="1068"/>
              <w:gridCol w:w="1408"/>
              <w:gridCol w:w="767"/>
              <w:gridCol w:w="757"/>
              <w:gridCol w:w="422"/>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435" w:hRule="atLeast"/>
                <w:jc w:val="center"/>
              </w:trPr>
              <w:tc>
                <w:tcPr>
                  <w:tcW w:w="700" w:type="dxa"/>
                  <w:vMerge w:val="restart"/>
                  <w:noWrap w:val="0"/>
                  <w:vAlign w:val="center"/>
                </w:tcPr>
                <w:p>
                  <w:pPr>
                    <w:bidi w:val="0"/>
                    <w:jc w:val="center"/>
                    <w:rPr>
                      <w:rFonts w:hint="default"/>
                      <w:i w:val="0"/>
                      <w:iCs w:val="0"/>
                      <w:color w:val="auto"/>
                      <w:highlight w:val="none"/>
                      <w:u w:val="none"/>
                    </w:rPr>
                  </w:pPr>
                  <w:r>
                    <w:rPr>
                      <w:rFonts w:hint="default"/>
                      <w:i w:val="0"/>
                      <w:iCs w:val="0"/>
                      <w:color w:val="auto"/>
                      <w:highlight w:val="none"/>
                      <w:u w:val="none"/>
                    </w:rPr>
                    <w:t>监测点</w:t>
                  </w:r>
                </w:p>
              </w:tc>
              <w:tc>
                <w:tcPr>
                  <w:tcW w:w="1539" w:type="dxa"/>
                  <w:gridSpan w:val="2"/>
                  <w:noWrap w:val="0"/>
                  <w:vAlign w:val="center"/>
                </w:tcPr>
                <w:p>
                  <w:pPr>
                    <w:bidi w:val="0"/>
                    <w:jc w:val="center"/>
                    <w:rPr>
                      <w:rFonts w:hint="default"/>
                      <w:i w:val="0"/>
                      <w:iCs w:val="0"/>
                      <w:color w:val="auto"/>
                      <w:highlight w:val="none"/>
                      <w:u w:val="none"/>
                      <w:lang w:val="en-US" w:eastAsia="zh-CN"/>
                    </w:rPr>
                  </w:pPr>
                  <w:r>
                    <w:rPr>
                      <w:rFonts w:hint="default"/>
                      <w:i w:val="0"/>
                      <w:iCs w:val="0"/>
                      <w:color w:val="auto"/>
                      <w:highlight w:val="none"/>
                      <w:u w:val="none"/>
                      <w:lang w:val="en-US" w:eastAsia="zh-CN"/>
                    </w:rPr>
                    <w:t>监测点坐标</w:t>
                  </w:r>
                </w:p>
              </w:tc>
              <w:tc>
                <w:tcPr>
                  <w:tcW w:w="908" w:type="dxa"/>
                  <w:vMerge w:val="restart"/>
                  <w:noWrap w:val="0"/>
                  <w:vAlign w:val="center"/>
                </w:tcPr>
                <w:p>
                  <w:pPr>
                    <w:bidi w:val="0"/>
                    <w:jc w:val="center"/>
                    <w:rPr>
                      <w:rFonts w:hint="default"/>
                      <w:i w:val="0"/>
                      <w:iCs w:val="0"/>
                      <w:color w:val="auto"/>
                      <w:highlight w:val="none"/>
                      <w:u w:val="none"/>
                      <w:lang w:eastAsia="zh-CN"/>
                    </w:rPr>
                  </w:pPr>
                  <w:r>
                    <w:rPr>
                      <w:rFonts w:hint="default"/>
                      <w:i w:val="0"/>
                      <w:iCs w:val="0"/>
                      <w:color w:val="auto"/>
                      <w:highlight w:val="none"/>
                      <w:u w:val="none"/>
                      <w:lang w:val="en-US" w:eastAsia="zh-CN"/>
                    </w:rPr>
                    <w:t>污染物</w:t>
                  </w:r>
                </w:p>
              </w:tc>
              <w:tc>
                <w:tcPr>
                  <w:tcW w:w="847" w:type="dxa"/>
                  <w:vMerge w:val="restart"/>
                  <w:noWrap w:val="0"/>
                  <w:vAlign w:val="center"/>
                </w:tcPr>
                <w:p>
                  <w:pPr>
                    <w:bidi w:val="0"/>
                    <w:jc w:val="center"/>
                    <w:rPr>
                      <w:rFonts w:hint="default"/>
                      <w:i w:val="0"/>
                      <w:iCs w:val="0"/>
                      <w:color w:val="auto"/>
                      <w:highlight w:val="none"/>
                      <w:u w:val="none"/>
                      <w:lang w:val="en-US" w:eastAsia="zh-CN"/>
                    </w:rPr>
                  </w:pPr>
                  <w:r>
                    <w:rPr>
                      <w:rFonts w:hint="default"/>
                      <w:i w:val="0"/>
                      <w:iCs w:val="0"/>
                      <w:color w:val="auto"/>
                      <w:highlight w:val="none"/>
                      <w:u w:val="none"/>
                      <w:lang w:val="en-US" w:eastAsia="zh-CN"/>
                    </w:rPr>
                    <w:t>平均小时</w:t>
                  </w:r>
                </w:p>
              </w:tc>
              <w:tc>
                <w:tcPr>
                  <w:tcW w:w="1068" w:type="dxa"/>
                  <w:vMerge w:val="restart"/>
                  <w:noWrap w:val="0"/>
                  <w:vAlign w:val="center"/>
                </w:tcPr>
                <w:p>
                  <w:pPr>
                    <w:bidi w:val="0"/>
                    <w:jc w:val="center"/>
                    <w:rPr>
                      <w:rFonts w:hint="default"/>
                      <w:i w:val="0"/>
                      <w:iCs w:val="0"/>
                      <w:color w:val="auto"/>
                      <w:highlight w:val="none"/>
                      <w:u w:val="none"/>
                      <w:lang w:val="en-US" w:eastAsia="zh-CN"/>
                    </w:rPr>
                  </w:pPr>
                  <w:r>
                    <w:rPr>
                      <w:rFonts w:hint="default"/>
                      <w:i w:val="0"/>
                      <w:iCs w:val="0"/>
                      <w:color w:val="auto"/>
                      <w:highlight w:val="none"/>
                      <w:u w:val="none"/>
                      <w:lang w:val="en-US" w:eastAsia="zh-CN"/>
                    </w:rPr>
                    <w:t>评价标准</w:t>
                  </w:r>
                </w:p>
                <w:p>
                  <w:pPr>
                    <w:bidi w:val="0"/>
                    <w:jc w:val="center"/>
                    <w:rPr>
                      <w:rFonts w:hint="default"/>
                      <w:i w:val="0"/>
                      <w:iCs w:val="0"/>
                      <w:color w:val="auto"/>
                      <w:highlight w:val="none"/>
                      <w:u w:val="none"/>
                      <w:lang w:val="en-US" w:eastAsia="zh-CN"/>
                    </w:rPr>
                  </w:pPr>
                  <w:r>
                    <w:rPr>
                      <w:rFonts w:hint="default"/>
                      <w:i w:val="0"/>
                      <w:iCs w:val="0"/>
                      <w:color w:val="auto"/>
                      <w:highlight w:val="none"/>
                      <w:u w:val="none"/>
                      <w:lang w:val="en-US" w:eastAsia="zh-CN"/>
                    </w:rPr>
                    <w:t>（mg/m</w:t>
                  </w:r>
                  <w:r>
                    <w:rPr>
                      <w:rFonts w:hint="default"/>
                      <w:i w:val="0"/>
                      <w:iCs w:val="0"/>
                      <w:color w:val="auto"/>
                      <w:highlight w:val="none"/>
                      <w:u w:val="none"/>
                      <w:vertAlign w:val="superscript"/>
                      <w:lang w:val="en-US" w:eastAsia="zh-CN"/>
                    </w:rPr>
                    <w:t>3</w:t>
                  </w:r>
                  <w:r>
                    <w:rPr>
                      <w:rFonts w:hint="default"/>
                      <w:i w:val="0"/>
                      <w:iCs w:val="0"/>
                      <w:color w:val="auto"/>
                      <w:highlight w:val="none"/>
                      <w:u w:val="none"/>
                      <w:lang w:val="en-US" w:eastAsia="zh-CN"/>
                    </w:rPr>
                    <w:t>）</w:t>
                  </w:r>
                </w:p>
              </w:tc>
              <w:tc>
                <w:tcPr>
                  <w:tcW w:w="1408" w:type="dxa"/>
                  <w:vMerge w:val="restart"/>
                  <w:noWrap w:val="0"/>
                  <w:vAlign w:val="center"/>
                </w:tcPr>
                <w:p>
                  <w:pPr>
                    <w:bidi w:val="0"/>
                    <w:jc w:val="center"/>
                    <w:rPr>
                      <w:rFonts w:hint="default"/>
                      <w:i w:val="0"/>
                      <w:iCs w:val="0"/>
                      <w:color w:val="auto"/>
                      <w:highlight w:val="none"/>
                      <w:u w:val="none"/>
                      <w:lang w:val="en-US" w:eastAsia="zh-CN"/>
                    </w:rPr>
                  </w:pPr>
                  <w:r>
                    <w:rPr>
                      <w:rFonts w:hint="default"/>
                      <w:i w:val="0"/>
                      <w:iCs w:val="0"/>
                      <w:color w:val="auto"/>
                      <w:highlight w:val="none"/>
                      <w:u w:val="none"/>
                      <w:lang w:val="en-US" w:eastAsia="zh-CN"/>
                    </w:rPr>
                    <w:t>监测浓度</w:t>
                  </w:r>
                </w:p>
                <w:p>
                  <w:pPr>
                    <w:bidi w:val="0"/>
                    <w:jc w:val="center"/>
                    <w:rPr>
                      <w:rFonts w:hint="default"/>
                      <w:i w:val="0"/>
                      <w:iCs w:val="0"/>
                      <w:color w:val="auto"/>
                      <w:highlight w:val="none"/>
                      <w:u w:val="none"/>
                      <w:lang w:val="en-US" w:eastAsia="zh-CN"/>
                    </w:rPr>
                  </w:pPr>
                  <w:r>
                    <w:rPr>
                      <w:rFonts w:hint="default"/>
                      <w:i w:val="0"/>
                      <w:iCs w:val="0"/>
                      <w:color w:val="auto"/>
                      <w:highlight w:val="none"/>
                      <w:u w:val="none"/>
                      <w:lang w:val="en-US" w:eastAsia="zh-CN"/>
                    </w:rPr>
                    <w:t>范围</w:t>
                  </w:r>
                </w:p>
                <w:p>
                  <w:pPr>
                    <w:bidi w:val="0"/>
                    <w:jc w:val="center"/>
                    <w:rPr>
                      <w:rFonts w:hint="default"/>
                      <w:i w:val="0"/>
                      <w:iCs w:val="0"/>
                      <w:color w:val="auto"/>
                      <w:highlight w:val="none"/>
                      <w:u w:val="none"/>
                      <w:lang w:val="en-US" w:eastAsia="zh-CN"/>
                    </w:rPr>
                  </w:pPr>
                  <w:r>
                    <w:rPr>
                      <w:rFonts w:hint="default"/>
                      <w:i w:val="0"/>
                      <w:iCs w:val="0"/>
                      <w:color w:val="auto"/>
                      <w:highlight w:val="none"/>
                      <w:u w:val="none"/>
                      <w:lang w:val="en-US" w:eastAsia="zh-CN"/>
                    </w:rPr>
                    <w:t>（mg/m</w:t>
                  </w:r>
                  <w:r>
                    <w:rPr>
                      <w:rFonts w:hint="default"/>
                      <w:i w:val="0"/>
                      <w:iCs w:val="0"/>
                      <w:color w:val="auto"/>
                      <w:highlight w:val="none"/>
                      <w:u w:val="none"/>
                      <w:vertAlign w:val="superscript"/>
                      <w:lang w:val="en-US" w:eastAsia="zh-CN"/>
                    </w:rPr>
                    <w:t>3</w:t>
                  </w:r>
                  <w:r>
                    <w:rPr>
                      <w:rFonts w:hint="default"/>
                      <w:i w:val="0"/>
                      <w:iCs w:val="0"/>
                      <w:color w:val="auto"/>
                      <w:highlight w:val="none"/>
                      <w:u w:val="none"/>
                      <w:lang w:val="en-US" w:eastAsia="zh-CN"/>
                    </w:rPr>
                    <w:t>）</w:t>
                  </w:r>
                </w:p>
              </w:tc>
              <w:tc>
                <w:tcPr>
                  <w:tcW w:w="767" w:type="dxa"/>
                  <w:vMerge w:val="restart"/>
                  <w:noWrap w:val="0"/>
                  <w:vAlign w:val="center"/>
                </w:tcPr>
                <w:p>
                  <w:pPr>
                    <w:bidi w:val="0"/>
                    <w:jc w:val="center"/>
                    <w:rPr>
                      <w:rFonts w:hint="default"/>
                      <w:i w:val="0"/>
                      <w:iCs w:val="0"/>
                      <w:color w:val="auto"/>
                      <w:highlight w:val="none"/>
                      <w:u w:val="none"/>
                      <w:lang w:val="en-US" w:eastAsia="zh-CN"/>
                    </w:rPr>
                  </w:pPr>
                  <w:r>
                    <w:rPr>
                      <w:rFonts w:hint="default"/>
                      <w:i w:val="0"/>
                      <w:iCs w:val="0"/>
                      <w:color w:val="auto"/>
                      <w:highlight w:val="none"/>
                      <w:u w:val="none"/>
                      <w:lang w:val="en-US" w:eastAsia="zh-CN"/>
                    </w:rPr>
                    <w:t>最大浓度占标率/%</w:t>
                  </w:r>
                </w:p>
              </w:tc>
              <w:tc>
                <w:tcPr>
                  <w:tcW w:w="757" w:type="dxa"/>
                  <w:vMerge w:val="restart"/>
                  <w:noWrap w:val="0"/>
                  <w:vAlign w:val="center"/>
                </w:tcPr>
                <w:p>
                  <w:pPr>
                    <w:bidi w:val="0"/>
                    <w:jc w:val="center"/>
                    <w:rPr>
                      <w:rFonts w:hint="default"/>
                      <w:i w:val="0"/>
                      <w:iCs w:val="0"/>
                      <w:color w:val="auto"/>
                      <w:highlight w:val="none"/>
                      <w:u w:val="none"/>
                      <w:lang w:val="en-US" w:eastAsia="zh-CN"/>
                    </w:rPr>
                  </w:pPr>
                  <w:r>
                    <w:rPr>
                      <w:rFonts w:hint="default"/>
                      <w:i w:val="0"/>
                      <w:iCs w:val="0"/>
                      <w:color w:val="auto"/>
                      <w:highlight w:val="none"/>
                      <w:u w:val="none"/>
                      <w:lang w:val="en-US" w:eastAsia="zh-CN"/>
                    </w:rPr>
                    <w:t>超标率/%</w:t>
                  </w:r>
                </w:p>
              </w:tc>
              <w:tc>
                <w:tcPr>
                  <w:tcW w:w="422" w:type="dxa"/>
                  <w:vMerge w:val="restart"/>
                  <w:noWrap w:val="0"/>
                  <w:vAlign w:val="center"/>
                </w:tcPr>
                <w:p>
                  <w:pPr>
                    <w:bidi w:val="0"/>
                    <w:jc w:val="center"/>
                    <w:rPr>
                      <w:rFonts w:hint="default"/>
                      <w:i w:val="0"/>
                      <w:iCs w:val="0"/>
                      <w:color w:val="auto"/>
                      <w:highlight w:val="none"/>
                      <w:u w:val="none"/>
                      <w:lang w:val="en-US" w:eastAsia="zh-CN"/>
                    </w:rPr>
                  </w:pPr>
                  <w:r>
                    <w:rPr>
                      <w:rFonts w:hint="default"/>
                      <w:i w:val="0"/>
                      <w:iCs w:val="0"/>
                      <w:color w:val="auto"/>
                      <w:highlight w:val="none"/>
                      <w:u w:val="none"/>
                      <w:lang w:val="en-US" w:eastAsia="zh-CN"/>
                    </w:rPr>
                    <w:t>达标</w:t>
                  </w:r>
                </w:p>
                <w:p>
                  <w:pPr>
                    <w:bidi w:val="0"/>
                    <w:jc w:val="center"/>
                    <w:rPr>
                      <w:rFonts w:hint="default"/>
                      <w:i w:val="0"/>
                      <w:iCs w:val="0"/>
                      <w:color w:val="auto"/>
                      <w:highlight w:val="none"/>
                      <w:u w:val="none"/>
                      <w:lang w:val="en-US" w:eastAsia="zh-CN"/>
                    </w:rPr>
                  </w:pPr>
                  <w:r>
                    <w:rPr>
                      <w:rFonts w:hint="default"/>
                      <w:i w:val="0"/>
                      <w:iCs w:val="0"/>
                      <w:color w:val="auto"/>
                      <w:highlight w:val="none"/>
                      <w:u w:val="none"/>
                      <w:lang w:val="en-US" w:eastAsia="zh-CN"/>
                    </w:rPr>
                    <w:t>情况</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821" w:hRule="atLeast"/>
                <w:jc w:val="center"/>
              </w:trPr>
              <w:tc>
                <w:tcPr>
                  <w:tcW w:w="700" w:type="dxa"/>
                  <w:vMerge w:val="continue"/>
                  <w:noWrap w:val="0"/>
                  <w:vAlign w:val="center"/>
                </w:tcPr>
                <w:p>
                  <w:pPr>
                    <w:bidi w:val="0"/>
                    <w:jc w:val="center"/>
                    <w:rPr>
                      <w:rFonts w:hint="default"/>
                      <w:i w:val="0"/>
                      <w:iCs w:val="0"/>
                      <w:color w:val="auto"/>
                      <w:highlight w:val="none"/>
                      <w:u w:val="none"/>
                    </w:rPr>
                  </w:pPr>
                </w:p>
              </w:tc>
              <w:tc>
                <w:tcPr>
                  <w:tcW w:w="707" w:type="dxa"/>
                  <w:noWrap w:val="0"/>
                  <w:vAlign w:val="center"/>
                </w:tcPr>
                <w:p>
                  <w:pPr>
                    <w:bidi w:val="0"/>
                    <w:jc w:val="center"/>
                    <w:rPr>
                      <w:rFonts w:hint="default"/>
                      <w:i w:val="0"/>
                      <w:iCs w:val="0"/>
                      <w:color w:val="auto"/>
                      <w:highlight w:val="none"/>
                      <w:u w:val="none"/>
                      <w:lang w:val="en-US" w:eastAsia="zh-CN"/>
                    </w:rPr>
                  </w:pPr>
                  <w:r>
                    <w:rPr>
                      <w:rFonts w:hint="default"/>
                      <w:i w:val="0"/>
                      <w:iCs w:val="0"/>
                      <w:color w:val="auto"/>
                      <w:highlight w:val="none"/>
                      <w:u w:val="none"/>
                      <w:lang w:val="en-US" w:eastAsia="zh-CN"/>
                    </w:rPr>
                    <w:t>X</w:t>
                  </w:r>
                </w:p>
              </w:tc>
              <w:tc>
                <w:tcPr>
                  <w:tcW w:w="832" w:type="dxa"/>
                  <w:noWrap w:val="0"/>
                  <w:vAlign w:val="center"/>
                </w:tcPr>
                <w:p>
                  <w:pPr>
                    <w:bidi w:val="0"/>
                    <w:jc w:val="center"/>
                    <w:rPr>
                      <w:rFonts w:hint="default"/>
                      <w:i w:val="0"/>
                      <w:iCs w:val="0"/>
                      <w:color w:val="auto"/>
                      <w:highlight w:val="none"/>
                      <w:u w:val="none"/>
                      <w:lang w:val="en-US" w:eastAsia="zh-CN"/>
                    </w:rPr>
                  </w:pPr>
                  <w:r>
                    <w:rPr>
                      <w:rFonts w:hint="default"/>
                      <w:i w:val="0"/>
                      <w:iCs w:val="0"/>
                      <w:color w:val="auto"/>
                      <w:highlight w:val="none"/>
                      <w:u w:val="none"/>
                      <w:lang w:val="en-US" w:eastAsia="zh-CN"/>
                    </w:rPr>
                    <w:t>Y</w:t>
                  </w:r>
                </w:p>
              </w:tc>
              <w:tc>
                <w:tcPr>
                  <w:tcW w:w="908" w:type="dxa"/>
                  <w:vMerge w:val="continue"/>
                  <w:noWrap w:val="0"/>
                  <w:vAlign w:val="center"/>
                </w:tcPr>
                <w:p>
                  <w:pPr>
                    <w:bidi w:val="0"/>
                    <w:jc w:val="center"/>
                    <w:rPr>
                      <w:rFonts w:hint="default"/>
                      <w:i w:val="0"/>
                      <w:iCs w:val="0"/>
                      <w:color w:val="auto"/>
                      <w:highlight w:val="none"/>
                      <w:u w:val="none"/>
                      <w:lang w:val="en-US" w:eastAsia="zh-CN"/>
                    </w:rPr>
                  </w:pPr>
                </w:p>
              </w:tc>
              <w:tc>
                <w:tcPr>
                  <w:tcW w:w="847" w:type="dxa"/>
                  <w:vMerge w:val="continue"/>
                  <w:noWrap w:val="0"/>
                  <w:vAlign w:val="center"/>
                </w:tcPr>
                <w:p>
                  <w:pPr>
                    <w:bidi w:val="0"/>
                    <w:jc w:val="center"/>
                    <w:rPr>
                      <w:rFonts w:hint="default"/>
                      <w:i w:val="0"/>
                      <w:iCs w:val="0"/>
                      <w:color w:val="auto"/>
                      <w:highlight w:val="none"/>
                      <w:u w:val="none"/>
                      <w:lang w:val="en-US" w:eastAsia="zh-CN"/>
                    </w:rPr>
                  </w:pPr>
                </w:p>
              </w:tc>
              <w:tc>
                <w:tcPr>
                  <w:tcW w:w="1068" w:type="dxa"/>
                  <w:vMerge w:val="continue"/>
                  <w:noWrap w:val="0"/>
                  <w:vAlign w:val="center"/>
                </w:tcPr>
                <w:p>
                  <w:pPr>
                    <w:bidi w:val="0"/>
                    <w:jc w:val="center"/>
                    <w:rPr>
                      <w:rFonts w:hint="default"/>
                      <w:i w:val="0"/>
                      <w:iCs w:val="0"/>
                      <w:color w:val="auto"/>
                      <w:highlight w:val="none"/>
                      <w:u w:val="none"/>
                      <w:lang w:val="en-US" w:eastAsia="zh-CN"/>
                    </w:rPr>
                  </w:pPr>
                </w:p>
              </w:tc>
              <w:tc>
                <w:tcPr>
                  <w:tcW w:w="1408" w:type="dxa"/>
                  <w:vMerge w:val="continue"/>
                  <w:noWrap w:val="0"/>
                  <w:vAlign w:val="center"/>
                </w:tcPr>
                <w:p>
                  <w:pPr>
                    <w:bidi w:val="0"/>
                    <w:jc w:val="center"/>
                    <w:rPr>
                      <w:rFonts w:hint="default"/>
                      <w:i w:val="0"/>
                      <w:iCs w:val="0"/>
                      <w:color w:val="auto"/>
                      <w:highlight w:val="none"/>
                      <w:u w:val="none"/>
                      <w:lang w:val="en-US" w:eastAsia="zh-CN"/>
                    </w:rPr>
                  </w:pPr>
                </w:p>
              </w:tc>
              <w:tc>
                <w:tcPr>
                  <w:tcW w:w="767" w:type="dxa"/>
                  <w:vMerge w:val="continue"/>
                  <w:noWrap w:val="0"/>
                  <w:vAlign w:val="center"/>
                </w:tcPr>
                <w:p>
                  <w:pPr>
                    <w:bidi w:val="0"/>
                    <w:jc w:val="center"/>
                    <w:rPr>
                      <w:rFonts w:hint="default"/>
                      <w:i w:val="0"/>
                      <w:iCs w:val="0"/>
                      <w:color w:val="auto"/>
                      <w:highlight w:val="none"/>
                      <w:u w:val="none"/>
                      <w:lang w:val="en-US" w:eastAsia="zh-CN"/>
                    </w:rPr>
                  </w:pPr>
                </w:p>
              </w:tc>
              <w:tc>
                <w:tcPr>
                  <w:tcW w:w="757" w:type="dxa"/>
                  <w:vMerge w:val="continue"/>
                  <w:noWrap w:val="0"/>
                  <w:vAlign w:val="center"/>
                </w:tcPr>
                <w:p>
                  <w:pPr>
                    <w:bidi w:val="0"/>
                    <w:jc w:val="center"/>
                    <w:rPr>
                      <w:rFonts w:hint="default"/>
                      <w:i w:val="0"/>
                      <w:iCs w:val="0"/>
                      <w:color w:val="auto"/>
                      <w:highlight w:val="none"/>
                      <w:u w:val="none"/>
                      <w:lang w:val="en-US" w:eastAsia="zh-CN"/>
                    </w:rPr>
                  </w:pPr>
                </w:p>
              </w:tc>
              <w:tc>
                <w:tcPr>
                  <w:tcW w:w="422" w:type="dxa"/>
                  <w:vMerge w:val="continue"/>
                  <w:noWrap w:val="0"/>
                  <w:vAlign w:val="center"/>
                </w:tcPr>
                <w:p>
                  <w:pPr>
                    <w:bidi w:val="0"/>
                    <w:jc w:val="center"/>
                    <w:rPr>
                      <w:rFonts w:hint="default"/>
                      <w:i w:val="0"/>
                      <w:iCs w:val="0"/>
                      <w:color w:val="auto"/>
                      <w:highlight w:val="none"/>
                      <w:u w:val="none"/>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280" w:hRule="exact"/>
                <w:jc w:val="center"/>
              </w:trPr>
              <w:tc>
                <w:tcPr>
                  <w:tcW w:w="700" w:type="dxa"/>
                  <w:vMerge w:val="restart"/>
                  <w:noWrap w:val="0"/>
                  <w:vAlign w:val="center"/>
                </w:tcPr>
                <w:p>
                  <w:pPr>
                    <w:bidi w:val="0"/>
                    <w:jc w:val="center"/>
                    <w:rPr>
                      <w:rFonts w:hint="default" w:eastAsia="宋体"/>
                      <w:i w:val="0"/>
                      <w:iCs w:val="0"/>
                      <w:color w:val="auto"/>
                      <w:highlight w:val="none"/>
                      <w:u w:val="none"/>
                      <w:lang w:val="en-US" w:eastAsia="zh-CN"/>
                    </w:rPr>
                  </w:pPr>
                  <w:r>
                    <w:rPr>
                      <w:rFonts w:hint="eastAsia"/>
                      <w:i w:val="0"/>
                      <w:iCs w:val="0"/>
                      <w:color w:val="auto"/>
                      <w:highlight w:val="none"/>
                      <w:u w:val="none"/>
                      <w:lang w:val="en-US" w:eastAsia="zh-CN"/>
                    </w:rPr>
                    <w:t>A1</w:t>
                  </w:r>
                </w:p>
              </w:tc>
              <w:tc>
                <w:tcPr>
                  <w:tcW w:w="707" w:type="dxa"/>
                  <w:vMerge w:val="restar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1"/>
                      <w:szCs w:val="21"/>
                      <w:highlight w:val="none"/>
                      <w:u w:val="none"/>
                      <w:shd w:val="clear" w:color="auto" w:fill="auto"/>
                      <w:lang w:val="en-US" w:eastAsia="zh-CN" w:bidi="ar-SA"/>
                    </w:rPr>
                  </w:pPr>
                  <w:r>
                    <w:rPr>
                      <w:rFonts w:hint="default" w:ascii="Times New Roman" w:hAnsi="Times New Roman" w:cs="Times New Roman"/>
                      <w:i w:val="0"/>
                      <w:iCs w:val="0"/>
                      <w:color w:val="auto"/>
                      <w:sz w:val="21"/>
                      <w:szCs w:val="21"/>
                      <w:highlight w:val="none"/>
                      <w:u w:val="none"/>
                      <w:shd w:val="clear" w:color="auto" w:fill="auto"/>
                    </w:rPr>
                    <w:t>1</w:t>
                  </w:r>
                  <w:r>
                    <w:rPr>
                      <w:rFonts w:hint="eastAsia" w:cs="Times New Roman"/>
                      <w:i w:val="0"/>
                      <w:iCs w:val="0"/>
                      <w:color w:val="auto"/>
                      <w:sz w:val="21"/>
                      <w:szCs w:val="21"/>
                      <w:highlight w:val="none"/>
                      <w:u w:val="none"/>
                      <w:shd w:val="clear" w:color="auto" w:fill="auto"/>
                      <w:lang w:val="en-US" w:eastAsia="zh-CN"/>
                    </w:rPr>
                    <w:t>4</w:t>
                  </w:r>
                  <w:r>
                    <w:rPr>
                      <w:rFonts w:hint="default" w:ascii="Times New Roman" w:hAnsi="Times New Roman" w:cs="Times New Roman"/>
                      <w:i w:val="0"/>
                      <w:iCs w:val="0"/>
                      <w:color w:val="auto"/>
                      <w:sz w:val="21"/>
                      <w:szCs w:val="21"/>
                      <w:highlight w:val="none"/>
                      <w:u w:val="none"/>
                      <w:shd w:val="clear" w:color="auto" w:fill="auto"/>
                    </w:rPr>
                    <w:t>91.06</w:t>
                  </w:r>
                </w:p>
              </w:tc>
              <w:tc>
                <w:tcPr>
                  <w:tcW w:w="832" w:type="dxa"/>
                  <w:vMerge w:val="restar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1"/>
                      <w:szCs w:val="21"/>
                      <w:highlight w:val="none"/>
                      <w:u w:val="none"/>
                      <w:shd w:val="clear" w:color="auto" w:fill="auto"/>
                      <w:lang w:val="en-US" w:eastAsia="zh-CN" w:bidi="ar-SA"/>
                    </w:rPr>
                  </w:pPr>
                  <w:r>
                    <w:rPr>
                      <w:rFonts w:hint="default" w:ascii="Times New Roman" w:hAnsi="Times New Roman" w:cs="Times New Roman"/>
                      <w:i w:val="0"/>
                      <w:iCs w:val="0"/>
                      <w:color w:val="auto"/>
                      <w:sz w:val="21"/>
                      <w:szCs w:val="21"/>
                      <w:highlight w:val="none"/>
                      <w:u w:val="none"/>
                      <w:shd w:val="clear" w:color="auto" w:fill="auto"/>
                    </w:rPr>
                    <w:t>760.74</w:t>
                  </w:r>
                </w:p>
              </w:tc>
              <w:tc>
                <w:tcPr>
                  <w:tcW w:w="908" w:type="dxa"/>
                  <w:noWrap w:val="0"/>
                  <w:vAlign w:val="center"/>
                </w:tcPr>
                <w:p>
                  <w:pPr>
                    <w:bidi w:val="0"/>
                    <w:jc w:val="center"/>
                    <w:rPr>
                      <w:rFonts w:hint="default"/>
                      <w:i w:val="0"/>
                      <w:iCs w:val="0"/>
                      <w:color w:val="auto"/>
                      <w:highlight w:val="none"/>
                      <w:u w:val="none"/>
                      <w:lang w:val="en-US" w:eastAsia="zh-CN"/>
                    </w:rPr>
                  </w:pPr>
                  <w:r>
                    <w:rPr>
                      <w:rFonts w:hint="default"/>
                      <w:i w:val="0"/>
                      <w:iCs w:val="0"/>
                      <w:color w:val="auto"/>
                      <w:highlight w:val="none"/>
                      <w:u w:val="none"/>
                      <w:lang w:val="en-US" w:eastAsia="zh-CN"/>
                    </w:rPr>
                    <w:t>NMHC</w:t>
                  </w:r>
                </w:p>
              </w:tc>
              <w:tc>
                <w:tcPr>
                  <w:tcW w:w="847" w:type="dxa"/>
                  <w:noWrap w:val="0"/>
                  <w:vAlign w:val="center"/>
                </w:tcPr>
                <w:p>
                  <w:pPr>
                    <w:bidi w:val="0"/>
                    <w:jc w:val="center"/>
                    <w:rPr>
                      <w:rFonts w:hint="default"/>
                      <w:i w:val="0"/>
                      <w:iCs w:val="0"/>
                      <w:color w:val="auto"/>
                      <w:highlight w:val="none"/>
                      <w:u w:val="none"/>
                    </w:rPr>
                  </w:pPr>
                  <w:r>
                    <w:rPr>
                      <w:rFonts w:hint="default"/>
                      <w:i w:val="0"/>
                      <w:iCs w:val="0"/>
                      <w:color w:val="auto"/>
                      <w:highlight w:val="none"/>
                      <w:u w:val="none"/>
                      <w:lang w:val="en-US" w:eastAsia="zh-CN"/>
                    </w:rPr>
                    <w:t>日均值</w:t>
                  </w:r>
                </w:p>
              </w:tc>
              <w:tc>
                <w:tcPr>
                  <w:tcW w:w="1068" w:type="dxa"/>
                  <w:noWrap w:val="0"/>
                  <w:vAlign w:val="center"/>
                </w:tcPr>
                <w:p>
                  <w:pPr>
                    <w:bidi w:val="0"/>
                    <w:jc w:val="center"/>
                    <w:rPr>
                      <w:rFonts w:hint="default"/>
                      <w:i w:val="0"/>
                      <w:iCs w:val="0"/>
                      <w:color w:val="auto"/>
                      <w:highlight w:val="none"/>
                      <w:u w:val="none"/>
                      <w:lang w:val="en-US" w:eastAsia="zh-CN"/>
                    </w:rPr>
                  </w:pPr>
                  <w:r>
                    <w:rPr>
                      <w:rFonts w:hint="default"/>
                      <w:i w:val="0"/>
                      <w:iCs w:val="0"/>
                      <w:color w:val="auto"/>
                      <w:highlight w:val="none"/>
                      <w:u w:val="none"/>
                      <w:lang w:val="en-US" w:eastAsia="zh-CN"/>
                    </w:rPr>
                    <w:t>2</w:t>
                  </w:r>
                  <w:r>
                    <w:rPr>
                      <w:rFonts w:hint="eastAsia"/>
                      <w:i w:val="0"/>
                      <w:iCs w:val="0"/>
                      <w:color w:val="auto"/>
                      <w:highlight w:val="none"/>
                      <w:u w:val="none"/>
                      <w:lang w:val="en-US" w:eastAsia="zh-CN"/>
                    </w:rPr>
                    <w:t>.0</w:t>
                  </w:r>
                </w:p>
              </w:tc>
              <w:tc>
                <w:tcPr>
                  <w:tcW w:w="1408" w:type="dxa"/>
                  <w:noWrap w:val="0"/>
                  <w:vAlign w:val="center"/>
                </w:tcPr>
                <w:p>
                  <w:pPr>
                    <w:pStyle w:val="63"/>
                    <w:jc w:val="center"/>
                    <w:rPr>
                      <w:rFonts w:hint="default"/>
                      <w:i w:val="0"/>
                      <w:iCs w:val="0"/>
                      <w:color w:val="auto"/>
                      <w:highlight w:val="none"/>
                      <w:u w:val="none"/>
                    </w:rPr>
                  </w:pPr>
                  <w:r>
                    <w:rPr>
                      <w:rFonts w:hint="default" w:ascii="Times New Roman" w:hAnsi="Times New Roman" w:eastAsia="宋体" w:cs="Times New Roman"/>
                      <w:i w:val="0"/>
                      <w:iCs w:val="0"/>
                      <w:color w:val="auto"/>
                      <w:sz w:val="21"/>
                      <w:szCs w:val="21"/>
                      <w:highlight w:val="none"/>
                      <w:u w:val="none"/>
                      <w:shd w:val="clear" w:color="auto" w:fill="auto"/>
                      <w:vertAlign w:val="baseline"/>
                      <w:lang w:val="en-US" w:eastAsia="zh-CN" w:bidi="ar"/>
                    </w:rPr>
                    <w:t>0.</w:t>
                  </w:r>
                  <w:r>
                    <w:rPr>
                      <w:rFonts w:hint="eastAsia" w:ascii="Times New Roman" w:hAnsi="Times New Roman" w:eastAsia="宋体" w:cs="Times New Roman"/>
                      <w:i w:val="0"/>
                      <w:iCs w:val="0"/>
                      <w:color w:val="auto"/>
                      <w:sz w:val="21"/>
                      <w:szCs w:val="21"/>
                      <w:highlight w:val="none"/>
                      <w:u w:val="none"/>
                      <w:shd w:val="clear" w:color="auto" w:fill="auto"/>
                      <w:vertAlign w:val="baseline"/>
                      <w:lang w:val="en-US" w:eastAsia="zh-CN" w:bidi="ar"/>
                    </w:rPr>
                    <w:t>098</w:t>
                  </w:r>
                  <w:r>
                    <w:rPr>
                      <w:rFonts w:hint="default" w:ascii="Times New Roman" w:hAnsi="Times New Roman" w:eastAsia="宋体" w:cs="Times New Roman"/>
                      <w:i w:val="0"/>
                      <w:iCs w:val="0"/>
                      <w:color w:val="auto"/>
                      <w:sz w:val="21"/>
                      <w:szCs w:val="21"/>
                      <w:highlight w:val="none"/>
                      <w:u w:val="none"/>
                      <w:shd w:val="clear" w:color="auto" w:fill="auto"/>
                      <w:vertAlign w:val="baseline"/>
                      <w:lang w:val="en-US" w:eastAsia="zh-CN" w:bidi="ar"/>
                    </w:rPr>
                    <w:t>-0.</w:t>
                  </w:r>
                  <w:r>
                    <w:rPr>
                      <w:rFonts w:hint="eastAsia" w:ascii="Times New Roman" w:hAnsi="Times New Roman" w:eastAsia="宋体" w:cs="Times New Roman"/>
                      <w:i w:val="0"/>
                      <w:iCs w:val="0"/>
                      <w:color w:val="auto"/>
                      <w:sz w:val="21"/>
                      <w:szCs w:val="21"/>
                      <w:highlight w:val="none"/>
                      <w:u w:val="none"/>
                      <w:shd w:val="clear" w:color="auto" w:fill="auto"/>
                      <w:vertAlign w:val="baseline"/>
                      <w:lang w:val="en-US" w:eastAsia="zh-CN" w:bidi="ar"/>
                    </w:rPr>
                    <w:t>107</w:t>
                  </w:r>
                </w:p>
              </w:tc>
              <w:tc>
                <w:tcPr>
                  <w:tcW w:w="767" w:type="dxa"/>
                  <w:noWrap w:val="0"/>
                  <w:vAlign w:val="center"/>
                </w:tcPr>
                <w:p>
                  <w:pPr>
                    <w:bidi w:val="0"/>
                    <w:jc w:val="center"/>
                    <w:rPr>
                      <w:rFonts w:hint="default"/>
                      <w:i w:val="0"/>
                      <w:iCs w:val="0"/>
                      <w:color w:val="auto"/>
                      <w:highlight w:val="none"/>
                      <w:u w:val="none"/>
                      <w:lang w:val="en-US" w:eastAsia="zh-CN"/>
                    </w:rPr>
                  </w:pPr>
                  <w:r>
                    <w:rPr>
                      <w:rFonts w:hint="eastAsia"/>
                      <w:i w:val="0"/>
                      <w:iCs w:val="0"/>
                      <w:color w:val="auto"/>
                      <w:highlight w:val="none"/>
                      <w:u w:val="none"/>
                      <w:lang w:val="en-US" w:eastAsia="zh-CN"/>
                    </w:rPr>
                    <w:t>5.35</w:t>
                  </w:r>
                </w:p>
              </w:tc>
              <w:tc>
                <w:tcPr>
                  <w:tcW w:w="757" w:type="dxa"/>
                  <w:noWrap w:val="0"/>
                  <w:vAlign w:val="center"/>
                </w:tcPr>
                <w:p>
                  <w:pPr>
                    <w:bidi w:val="0"/>
                    <w:jc w:val="center"/>
                    <w:rPr>
                      <w:rFonts w:hint="default"/>
                      <w:i w:val="0"/>
                      <w:iCs w:val="0"/>
                      <w:color w:val="auto"/>
                      <w:highlight w:val="none"/>
                      <w:u w:val="none"/>
                      <w:lang w:val="en-US" w:eastAsia="zh-CN"/>
                    </w:rPr>
                  </w:pPr>
                  <w:r>
                    <w:rPr>
                      <w:rFonts w:hint="default"/>
                      <w:i w:val="0"/>
                      <w:iCs w:val="0"/>
                      <w:color w:val="auto"/>
                      <w:highlight w:val="none"/>
                      <w:u w:val="none"/>
                      <w:lang w:val="en-US" w:eastAsia="zh-CN"/>
                    </w:rPr>
                    <w:t>0</w:t>
                  </w:r>
                </w:p>
              </w:tc>
              <w:tc>
                <w:tcPr>
                  <w:tcW w:w="422" w:type="dxa"/>
                  <w:noWrap w:val="0"/>
                  <w:vAlign w:val="center"/>
                </w:tcPr>
                <w:p>
                  <w:pPr>
                    <w:bidi w:val="0"/>
                    <w:jc w:val="center"/>
                    <w:rPr>
                      <w:rFonts w:hint="default"/>
                      <w:i w:val="0"/>
                      <w:iCs w:val="0"/>
                      <w:color w:val="auto"/>
                      <w:highlight w:val="none"/>
                      <w:u w:val="none"/>
                      <w:lang w:val="en-US" w:eastAsia="zh-CN"/>
                    </w:rPr>
                  </w:pPr>
                  <w:r>
                    <w:rPr>
                      <w:rFonts w:hint="eastAsia"/>
                      <w:i w:val="0"/>
                      <w:iCs w:val="0"/>
                      <w:color w:val="auto"/>
                      <w:highlight w:val="none"/>
                      <w:u w:val="no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254" w:hRule="exact"/>
                <w:jc w:val="center"/>
              </w:trPr>
              <w:tc>
                <w:tcPr>
                  <w:tcW w:w="700" w:type="dxa"/>
                  <w:vMerge w:val="continue"/>
                  <w:noWrap w:val="0"/>
                  <w:vAlign w:val="center"/>
                </w:tcPr>
                <w:p>
                  <w:pPr>
                    <w:bidi w:val="0"/>
                    <w:jc w:val="center"/>
                    <w:rPr>
                      <w:rFonts w:hint="default"/>
                      <w:i w:val="0"/>
                      <w:iCs w:val="0"/>
                      <w:color w:val="auto"/>
                      <w:highlight w:val="none"/>
                      <w:u w:val="none"/>
                    </w:rPr>
                  </w:pPr>
                </w:p>
              </w:tc>
              <w:tc>
                <w:tcPr>
                  <w:tcW w:w="707" w:type="dxa"/>
                  <w:vMerge w:val="continue"/>
                  <w:noWrap w:val="0"/>
                  <w:vAlign w:val="center"/>
                </w:tcPr>
                <w:p>
                  <w:pPr>
                    <w:bidi w:val="0"/>
                    <w:jc w:val="center"/>
                    <w:rPr>
                      <w:rFonts w:hint="default"/>
                      <w:i w:val="0"/>
                      <w:iCs w:val="0"/>
                      <w:color w:val="auto"/>
                      <w:highlight w:val="none"/>
                      <w:u w:val="none"/>
                    </w:rPr>
                  </w:pPr>
                </w:p>
              </w:tc>
              <w:tc>
                <w:tcPr>
                  <w:tcW w:w="832" w:type="dxa"/>
                  <w:vMerge w:val="continue"/>
                  <w:noWrap w:val="0"/>
                  <w:vAlign w:val="center"/>
                </w:tcPr>
                <w:p>
                  <w:pPr>
                    <w:bidi w:val="0"/>
                    <w:jc w:val="center"/>
                    <w:rPr>
                      <w:rFonts w:hint="default"/>
                      <w:i w:val="0"/>
                      <w:iCs w:val="0"/>
                      <w:color w:val="auto"/>
                      <w:highlight w:val="none"/>
                      <w:u w:val="none"/>
                    </w:rPr>
                  </w:pPr>
                </w:p>
              </w:tc>
              <w:tc>
                <w:tcPr>
                  <w:tcW w:w="908" w:type="dxa"/>
                  <w:noWrap w:val="0"/>
                  <w:vAlign w:val="center"/>
                </w:tcPr>
                <w:p>
                  <w:pPr>
                    <w:bidi w:val="0"/>
                    <w:jc w:val="center"/>
                    <w:rPr>
                      <w:rFonts w:hint="default"/>
                      <w:i w:val="0"/>
                      <w:iCs w:val="0"/>
                      <w:color w:val="auto"/>
                      <w:highlight w:val="none"/>
                      <w:u w:val="none"/>
                      <w:lang w:val="en-US" w:eastAsia="zh-CN"/>
                    </w:rPr>
                  </w:pPr>
                  <w:r>
                    <w:rPr>
                      <w:rFonts w:hint="default"/>
                      <w:i w:val="0"/>
                      <w:iCs w:val="0"/>
                      <w:color w:val="auto"/>
                      <w:highlight w:val="none"/>
                      <w:u w:val="none"/>
                      <w:lang w:val="en-US" w:eastAsia="zh-CN"/>
                    </w:rPr>
                    <w:t>TSP</w:t>
                  </w:r>
                </w:p>
              </w:tc>
              <w:tc>
                <w:tcPr>
                  <w:tcW w:w="847" w:type="dxa"/>
                  <w:noWrap w:val="0"/>
                  <w:vAlign w:val="center"/>
                </w:tcPr>
                <w:p>
                  <w:pPr>
                    <w:bidi w:val="0"/>
                    <w:jc w:val="center"/>
                    <w:rPr>
                      <w:rFonts w:hint="default"/>
                      <w:i w:val="0"/>
                      <w:iCs w:val="0"/>
                      <w:color w:val="auto"/>
                      <w:highlight w:val="none"/>
                      <w:u w:val="none"/>
                    </w:rPr>
                  </w:pPr>
                  <w:r>
                    <w:rPr>
                      <w:rFonts w:hint="default"/>
                      <w:i w:val="0"/>
                      <w:iCs w:val="0"/>
                      <w:color w:val="auto"/>
                      <w:highlight w:val="none"/>
                      <w:u w:val="none"/>
                      <w:lang w:val="en-US" w:eastAsia="zh-CN"/>
                    </w:rPr>
                    <w:t>日均值</w:t>
                  </w:r>
                </w:p>
              </w:tc>
              <w:tc>
                <w:tcPr>
                  <w:tcW w:w="1068" w:type="dxa"/>
                  <w:noWrap w:val="0"/>
                  <w:vAlign w:val="center"/>
                </w:tcPr>
                <w:p>
                  <w:pPr>
                    <w:bidi w:val="0"/>
                    <w:jc w:val="center"/>
                    <w:rPr>
                      <w:rFonts w:hint="default"/>
                      <w:i w:val="0"/>
                      <w:iCs w:val="0"/>
                      <w:color w:val="auto"/>
                      <w:highlight w:val="none"/>
                      <w:u w:val="none"/>
                      <w:lang w:val="en-US" w:eastAsia="zh-CN"/>
                    </w:rPr>
                  </w:pPr>
                  <w:r>
                    <w:rPr>
                      <w:rFonts w:hint="default"/>
                      <w:i w:val="0"/>
                      <w:iCs w:val="0"/>
                      <w:color w:val="auto"/>
                      <w:highlight w:val="none"/>
                      <w:u w:val="none"/>
                      <w:lang w:val="en-US" w:eastAsia="zh-CN"/>
                    </w:rPr>
                    <w:t>0.3</w:t>
                  </w:r>
                </w:p>
              </w:tc>
              <w:tc>
                <w:tcPr>
                  <w:tcW w:w="1408" w:type="dxa"/>
                  <w:noWrap w:val="0"/>
                  <w:vAlign w:val="center"/>
                </w:tcPr>
                <w:p>
                  <w:pPr>
                    <w:pStyle w:val="63"/>
                    <w:jc w:val="center"/>
                    <w:rPr>
                      <w:rFonts w:hint="default"/>
                      <w:i w:val="0"/>
                      <w:iCs w:val="0"/>
                      <w:color w:val="auto"/>
                      <w:highlight w:val="none"/>
                      <w:u w:val="none"/>
                    </w:rPr>
                  </w:pPr>
                  <w:r>
                    <w:rPr>
                      <w:rFonts w:hint="eastAsia" w:ascii="Times New Roman" w:hAnsi="Times New Roman" w:eastAsia="宋体" w:cs="Times New Roman"/>
                      <w:i w:val="0"/>
                      <w:iCs w:val="0"/>
                      <w:color w:val="auto"/>
                      <w:sz w:val="21"/>
                      <w:szCs w:val="21"/>
                      <w:highlight w:val="none"/>
                      <w:u w:val="none"/>
                      <w:shd w:val="clear" w:color="auto" w:fill="auto"/>
                      <w:vertAlign w:val="baseline"/>
                      <w:lang w:val="en-US" w:eastAsia="zh-CN" w:bidi="ar"/>
                    </w:rPr>
                    <w:t>0.18-0.19</w:t>
                  </w:r>
                </w:p>
              </w:tc>
              <w:tc>
                <w:tcPr>
                  <w:tcW w:w="767" w:type="dxa"/>
                  <w:noWrap w:val="0"/>
                  <w:vAlign w:val="center"/>
                </w:tcPr>
                <w:p>
                  <w:pPr>
                    <w:bidi w:val="0"/>
                    <w:jc w:val="center"/>
                    <w:rPr>
                      <w:rFonts w:hint="default"/>
                      <w:i w:val="0"/>
                      <w:iCs w:val="0"/>
                      <w:color w:val="auto"/>
                      <w:highlight w:val="none"/>
                      <w:u w:val="none"/>
                      <w:lang w:val="en-US" w:eastAsia="zh-CN"/>
                    </w:rPr>
                  </w:pPr>
                  <w:r>
                    <w:rPr>
                      <w:rFonts w:hint="eastAsia"/>
                      <w:i w:val="0"/>
                      <w:iCs w:val="0"/>
                      <w:color w:val="auto"/>
                      <w:highlight w:val="none"/>
                      <w:u w:val="none"/>
                      <w:lang w:val="en-US" w:eastAsia="zh-CN"/>
                    </w:rPr>
                    <w:t>63.3</w:t>
                  </w:r>
                </w:p>
              </w:tc>
              <w:tc>
                <w:tcPr>
                  <w:tcW w:w="757" w:type="dxa"/>
                  <w:noWrap w:val="0"/>
                  <w:vAlign w:val="center"/>
                </w:tcPr>
                <w:p>
                  <w:pPr>
                    <w:bidi w:val="0"/>
                    <w:jc w:val="center"/>
                    <w:rPr>
                      <w:rFonts w:hint="default"/>
                      <w:i w:val="0"/>
                      <w:iCs w:val="0"/>
                      <w:color w:val="auto"/>
                      <w:highlight w:val="none"/>
                      <w:u w:val="none"/>
                      <w:lang w:val="en-US" w:eastAsia="zh-CN"/>
                    </w:rPr>
                  </w:pPr>
                  <w:r>
                    <w:rPr>
                      <w:rFonts w:hint="default"/>
                      <w:i w:val="0"/>
                      <w:iCs w:val="0"/>
                      <w:color w:val="auto"/>
                      <w:highlight w:val="none"/>
                      <w:u w:val="none"/>
                      <w:lang w:val="en-US" w:eastAsia="zh-CN"/>
                    </w:rPr>
                    <w:t>0</w:t>
                  </w:r>
                </w:p>
              </w:tc>
              <w:tc>
                <w:tcPr>
                  <w:tcW w:w="422" w:type="dxa"/>
                  <w:noWrap w:val="0"/>
                  <w:vAlign w:val="center"/>
                </w:tcPr>
                <w:p>
                  <w:pPr>
                    <w:bidi w:val="0"/>
                    <w:jc w:val="center"/>
                    <w:rPr>
                      <w:rFonts w:hint="default"/>
                      <w:i w:val="0"/>
                      <w:iCs w:val="0"/>
                      <w:color w:val="auto"/>
                      <w:highlight w:val="none"/>
                      <w:u w:val="none"/>
                      <w:lang w:val="en-US" w:eastAsia="zh-CN"/>
                    </w:rPr>
                  </w:pPr>
                  <w:r>
                    <w:rPr>
                      <w:rFonts w:hint="eastAsia"/>
                      <w:i w:val="0"/>
                      <w:iCs w:val="0"/>
                      <w:color w:val="auto"/>
                      <w:highlight w:val="none"/>
                      <w:u w:val="none"/>
                      <w:lang w:val="en-US" w:eastAsia="zh-CN"/>
                    </w:rPr>
                    <w:t>√</w:t>
                  </w:r>
                </w:p>
              </w:tc>
            </w:tr>
          </w:tbl>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firstLine="480" w:firstLineChars="200"/>
              <w:textAlignment w:val="auto"/>
              <w:rPr>
                <w:rFonts w:hint="default" w:ascii="Times New Roman" w:hAnsi="Times New Roman" w:eastAsia="宋体" w:cs="Times New Roman"/>
                <w:i w:val="0"/>
                <w:iCs w:val="0"/>
                <w:color w:val="auto"/>
                <w:sz w:val="24"/>
                <w:highlight w:val="none"/>
                <w:u w:val="none"/>
                <w:shd w:val="clear" w:color="auto" w:fill="auto"/>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textAlignment w:val="auto"/>
              <w:rPr>
                <w:i w:val="0"/>
                <w:iCs w:val="0"/>
                <w:color w:val="auto"/>
                <w:highlight w:val="none"/>
                <w:u w:val="none"/>
              </w:rPr>
            </w:pPr>
            <w:r>
              <w:rPr>
                <w:rFonts w:hint="default" w:ascii="Times New Roman" w:hAnsi="Times New Roman" w:eastAsia="宋体" w:cs="Times New Roman"/>
                <w:i w:val="0"/>
                <w:iCs w:val="0"/>
                <w:color w:val="auto"/>
                <w:sz w:val="24"/>
                <w:highlight w:val="none"/>
                <w:u w:val="none"/>
                <w:shd w:val="clear" w:color="auto" w:fill="auto"/>
                <w:lang w:val="en-US" w:eastAsia="zh-CN"/>
              </w:rPr>
              <w:t>由监测结果可见，各点位TSP因子能满足《环境空气质量标准》（GB3095-2012）中二级标准要求，非甲烷总烃浓度满足《大气污染物综合排放标准详解》中相应标准，说明区域环境空气质量状况较好。</w:t>
            </w:r>
          </w:p>
          <w:p>
            <w:pPr>
              <w:spacing w:line="360" w:lineRule="auto"/>
              <w:ind w:firstLine="482" w:firstLineChars="200"/>
              <w:rPr>
                <w:b/>
                <w:color w:val="auto"/>
                <w:sz w:val="24"/>
                <w:highlight w:val="none"/>
              </w:rPr>
            </w:pPr>
            <w:r>
              <w:rPr>
                <w:b/>
                <w:color w:val="auto"/>
                <w:sz w:val="24"/>
                <w:highlight w:val="none"/>
              </w:rPr>
              <w:t>2.声环境质量现状</w:t>
            </w:r>
          </w:p>
          <w:p>
            <w:pPr>
              <w:spacing w:line="360" w:lineRule="auto"/>
              <w:ind w:firstLine="480" w:firstLineChars="200"/>
              <w:rPr>
                <w:color w:val="auto"/>
                <w:sz w:val="24"/>
                <w:szCs w:val="21"/>
                <w:highlight w:val="none"/>
                <w:lang w:val="en-US" w:eastAsia="zh-CN"/>
              </w:rPr>
            </w:pPr>
            <w:r>
              <w:rPr>
                <w:color w:val="auto"/>
                <w:sz w:val="24"/>
                <w:szCs w:val="21"/>
                <w:highlight w:val="none"/>
                <w:lang w:val="en-US" w:eastAsia="zh-CN"/>
              </w:rPr>
              <w:t>经现场调查，项目所在地周边50米范围内无声环境敏感目标，</w:t>
            </w:r>
            <w:r>
              <w:rPr>
                <w:rFonts w:hint="eastAsia"/>
                <w:color w:val="auto"/>
                <w:sz w:val="24"/>
                <w:szCs w:val="21"/>
                <w:highlight w:val="none"/>
                <w:lang w:val="en-US" w:eastAsia="zh-CN"/>
              </w:rPr>
              <w:t>不进行声环境质量现状监测</w:t>
            </w:r>
            <w:r>
              <w:rPr>
                <w:color w:val="auto"/>
                <w:sz w:val="24"/>
                <w:szCs w:val="21"/>
                <w:highlight w:val="none"/>
                <w:lang w:val="en-US" w:eastAsia="zh-CN"/>
              </w:rPr>
              <w:t>。</w:t>
            </w:r>
          </w:p>
          <w:p>
            <w:pPr>
              <w:spacing w:line="360" w:lineRule="auto"/>
              <w:ind w:firstLine="482" w:firstLineChars="200"/>
              <w:rPr>
                <w:b/>
                <w:color w:val="auto"/>
                <w:sz w:val="24"/>
                <w:highlight w:val="none"/>
              </w:rPr>
            </w:pPr>
            <w:r>
              <w:rPr>
                <w:b/>
                <w:color w:val="auto"/>
                <w:sz w:val="24"/>
                <w:highlight w:val="none"/>
              </w:rPr>
              <w:t>3.地表水环境质量</w:t>
            </w:r>
          </w:p>
          <w:p>
            <w:pPr>
              <w:spacing w:line="360" w:lineRule="auto"/>
              <w:ind w:firstLine="480" w:firstLineChars="200"/>
              <w:rPr>
                <w:color w:val="auto"/>
                <w:sz w:val="24"/>
                <w:szCs w:val="21"/>
                <w:highlight w:val="none"/>
              </w:rPr>
            </w:pPr>
            <w:r>
              <w:rPr>
                <w:color w:val="auto"/>
                <w:sz w:val="24"/>
                <w:szCs w:val="21"/>
                <w:highlight w:val="none"/>
              </w:rPr>
              <w:t>本项目废水最终排至长春市北郊污水处理厂，经处理达标后排入伊通河</w:t>
            </w:r>
            <w:r>
              <w:rPr>
                <w:rFonts w:hint="eastAsia"/>
                <w:color w:val="auto"/>
                <w:sz w:val="24"/>
                <w:szCs w:val="21"/>
                <w:highlight w:val="none"/>
                <w:lang w:eastAsia="zh-CN"/>
              </w:rPr>
              <w:t>“</w:t>
            </w:r>
            <w:r>
              <w:rPr>
                <w:color w:val="auto"/>
                <w:sz w:val="24"/>
                <w:szCs w:val="21"/>
                <w:highlight w:val="none"/>
              </w:rPr>
              <w:t>四化桥-万金塔公路桥</w:t>
            </w:r>
            <w:r>
              <w:rPr>
                <w:rFonts w:hint="eastAsia"/>
                <w:color w:val="auto"/>
                <w:sz w:val="24"/>
                <w:szCs w:val="21"/>
                <w:highlight w:val="none"/>
                <w:lang w:eastAsia="zh-CN"/>
              </w:rPr>
              <w:t>”</w:t>
            </w:r>
            <w:r>
              <w:rPr>
                <w:color w:val="auto"/>
                <w:sz w:val="24"/>
                <w:szCs w:val="21"/>
                <w:highlight w:val="none"/>
              </w:rPr>
              <w:t>断面。本项目区域范围内地表水体主要为伊通河。根据《吉林省地表水功能区》（DB22/388-2004）规定，伊通河</w:t>
            </w:r>
            <w:r>
              <w:rPr>
                <w:rFonts w:hint="eastAsia"/>
                <w:color w:val="auto"/>
                <w:sz w:val="24"/>
                <w:szCs w:val="21"/>
                <w:highlight w:val="none"/>
                <w:lang w:eastAsia="zh-CN"/>
              </w:rPr>
              <w:t>“</w:t>
            </w:r>
            <w:r>
              <w:rPr>
                <w:color w:val="auto"/>
                <w:sz w:val="24"/>
                <w:szCs w:val="21"/>
                <w:highlight w:val="none"/>
              </w:rPr>
              <w:t>寿山水坝坝址-四化桥</w:t>
            </w:r>
            <w:r>
              <w:rPr>
                <w:rFonts w:hint="eastAsia"/>
                <w:color w:val="auto"/>
                <w:sz w:val="24"/>
                <w:szCs w:val="21"/>
                <w:highlight w:val="none"/>
                <w:lang w:eastAsia="zh-CN"/>
              </w:rPr>
              <w:t>”</w:t>
            </w:r>
            <w:r>
              <w:rPr>
                <w:color w:val="auto"/>
                <w:sz w:val="24"/>
                <w:szCs w:val="21"/>
                <w:highlight w:val="none"/>
              </w:rPr>
              <w:t>断面水质保护目标均为Ⅲ类，执行《地表水环境质量标准》（GB3838-2002）中Ⅲ类标准；伊通河</w:t>
            </w:r>
            <w:r>
              <w:rPr>
                <w:rFonts w:hint="eastAsia"/>
                <w:color w:val="auto"/>
                <w:sz w:val="24"/>
                <w:szCs w:val="21"/>
                <w:highlight w:val="none"/>
                <w:lang w:eastAsia="zh-CN"/>
              </w:rPr>
              <w:t>“</w:t>
            </w:r>
            <w:r>
              <w:rPr>
                <w:color w:val="auto"/>
                <w:sz w:val="24"/>
                <w:szCs w:val="21"/>
                <w:highlight w:val="none"/>
              </w:rPr>
              <w:t>四化桥-万金塔公路桥</w:t>
            </w:r>
            <w:r>
              <w:rPr>
                <w:rFonts w:hint="eastAsia"/>
                <w:color w:val="auto"/>
                <w:sz w:val="24"/>
                <w:szCs w:val="21"/>
                <w:highlight w:val="none"/>
                <w:lang w:eastAsia="zh-CN"/>
              </w:rPr>
              <w:t>”</w:t>
            </w:r>
            <w:r>
              <w:rPr>
                <w:color w:val="auto"/>
                <w:sz w:val="24"/>
                <w:szCs w:val="21"/>
                <w:highlight w:val="none"/>
              </w:rPr>
              <w:t>断面水质保护目标均为</w:t>
            </w:r>
            <w:r>
              <w:rPr>
                <w:color w:val="auto"/>
                <w:sz w:val="24"/>
                <w:szCs w:val="21"/>
                <w:highlight w:val="none"/>
              </w:rPr>
              <w:fldChar w:fldCharType="begin"/>
            </w:r>
            <w:r>
              <w:rPr>
                <w:color w:val="auto"/>
                <w:sz w:val="24"/>
                <w:szCs w:val="21"/>
                <w:highlight w:val="none"/>
              </w:rPr>
              <w:instrText xml:space="preserve"> = 5 \* ROMAN \* MERGEFORMAT </w:instrText>
            </w:r>
            <w:r>
              <w:rPr>
                <w:color w:val="auto"/>
                <w:sz w:val="24"/>
                <w:szCs w:val="21"/>
                <w:highlight w:val="none"/>
              </w:rPr>
              <w:fldChar w:fldCharType="separate"/>
            </w:r>
            <w:r>
              <w:rPr>
                <w:color w:val="auto"/>
                <w:sz w:val="24"/>
                <w:szCs w:val="21"/>
                <w:highlight w:val="none"/>
              </w:rPr>
              <w:t>V</w:t>
            </w:r>
            <w:r>
              <w:rPr>
                <w:color w:val="auto"/>
                <w:sz w:val="24"/>
                <w:szCs w:val="21"/>
                <w:highlight w:val="none"/>
              </w:rPr>
              <w:fldChar w:fldCharType="end"/>
            </w:r>
            <w:r>
              <w:rPr>
                <w:color w:val="auto"/>
                <w:sz w:val="24"/>
                <w:szCs w:val="21"/>
                <w:highlight w:val="none"/>
              </w:rPr>
              <w:t>类，执行《地表水环境质量标准》（GB3838-2002）中</w:t>
            </w:r>
            <w:r>
              <w:rPr>
                <w:color w:val="auto"/>
                <w:sz w:val="24"/>
                <w:szCs w:val="21"/>
                <w:highlight w:val="none"/>
              </w:rPr>
              <w:fldChar w:fldCharType="begin"/>
            </w:r>
            <w:r>
              <w:rPr>
                <w:color w:val="auto"/>
                <w:sz w:val="24"/>
                <w:szCs w:val="21"/>
                <w:highlight w:val="none"/>
              </w:rPr>
              <w:instrText xml:space="preserve"> = 5 \* ROMAN \* MERGEFORMAT </w:instrText>
            </w:r>
            <w:r>
              <w:rPr>
                <w:color w:val="auto"/>
                <w:sz w:val="24"/>
                <w:szCs w:val="21"/>
                <w:highlight w:val="none"/>
              </w:rPr>
              <w:fldChar w:fldCharType="separate"/>
            </w:r>
            <w:r>
              <w:rPr>
                <w:color w:val="auto"/>
                <w:sz w:val="24"/>
                <w:szCs w:val="21"/>
                <w:highlight w:val="none"/>
              </w:rPr>
              <w:t>V</w:t>
            </w:r>
            <w:r>
              <w:rPr>
                <w:color w:val="auto"/>
                <w:sz w:val="24"/>
                <w:szCs w:val="21"/>
                <w:highlight w:val="none"/>
              </w:rPr>
              <w:fldChar w:fldCharType="end"/>
            </w:r>
            <w:r>
              <w:rPr>
                <w:color w:val="auto"/>
                <w:sz w:val="24"/>
                <w:szCs w:val="21"/>
                <w:highlight w:val="none"/>
              </w:rPr>
              <w:t>类标准；伊通河</w:t>
            </w:r>
            <w:r>
              <w:rPr>
                <w:rFonts w:hint="eastAsia"/>
                <w:color w:val="auto"/>
                <w:sz w:val="24"/>
                <w:szCs w:val="21"/>
                <w:highlight w:val="none"/>
                <w:lang w:eastAsia="zh-CN"/>
              </w:rPr>
              <w:t>“</w:t>
            </w:r>
            <w:r>
              <w:rPr>
                <w:color w:val="auto"/>
                <w:sz w:val="24"/>
                <w:szCs w:val="21"/>
                <w:highlight w:val="none"/>
              </w:rPr>
              <w:t>万金塔公路桥-河口</w:t>
            </w:r>
            <w:r>
              <w:rPr>
                <w:rFonts w:hint="eastAsia"/>
                <w:color w:val="auto"/>
                <w:sz w:val="24"/>
                <w:szCs w:val="21"/>
                <w:highlight w:val="none"/>
                <w:lang w:eastAsia="zh-CN"/>
              </w:rPr>
              <w:t>”</w:t>
            </w:r>
            <w:r>
              <w:rPr>
                <w:color w:val="auto"/>
                <w:sz w:val="24"/>
                <w:szCs w:val="21"/>
                <w:highlight w:val="none"/>
              </w:rPr>
              <w:t>断面水质保护目标均为</w:t>
            </w:r>
            <w:r>
              <w:rPr>
                <w:color w:val="auto"/>
                <w:sz w:val="24"/>
                <w:szCs w:val="21"/>
                <w:highlight w:val="none"/>
              </w:rPr>
              <w:fldChar w:fldCharType="begin"/>
            </w:r>
            <w:r>
              <w:rPr>
                <w:color w:val="auto"/>
                <w:sz w:val="24"/>
                <w:szCs w:val="21"/>
                <w:highlight w:val="none"/>
              </w:rPr>
              <w:instrText xml:space="preserve"> = 4 \* ROMAN \* MERGEFORMAT </w:instrText>
            </w:r>
            <w:r>
              <w:rPr>
                <w:color w:val="auto"/>
                <w:sz w:val="24"/>
                <w:szCs w:val="21"/>
                <w:highlight w:val="none"/>
              </w:rPr>
              <w:fldChar w:fldCharType="separate"/>
            </w:r>
            <w:r>
              <w:rPr>
                <w:color w:val="auto"/>
                <w:sz w:val="24"/>
                <w:szCs w:val="21"/>
                <w:highlight w:val="none"/>
              </w:rPr>
              <w:t>IV</w:t>
            </w:r>
            <w:r>
              <w:rPr>
                <w:color w:val="auto"/>
                <w:sz w:val="24"/>
                <w:szCs w:val="21"/>
                <w:highlight w:val="none"/>
              </w:rPr>
              <w:fldChar w:fldCharType="end"/>
            </w:r>
            <w:r>
              <w:rPr>
                <w:color w:val="auto"/>
                <w:sz w:val="24"/>
                <w:szCs w:val="21"/>
                <w:highlight w:val="none"/>
              </w:rPr>
              <w:t>类，执行《地表水环境质量标准》（GB3838-2002）中</w:t>
            </w:r>
            <w:r>
              <w:rPr>
                <w:color w:val="auto"/>
                <w:sz w:val="24"/>
                <w:szCs w:val="21"/>
                <w:highlight w:val="none"/>
              </w:rPr>
              <w:fldChar w:fldCharType="begin"/>
            </w:r>
            <w:r>
              <w:rPr>
                <w:color w:val="auto"/>
                <w:sz w:val="24"/>
                <w:szCs w:val="21"/>
                <w:highlight w:val="none"/>
              </w:rPr>
              <w:instrText xml:space="preserve"> = 4 \* ROMAN \* MERGEFORMAT </w:instrText>
            </w:r>
            <w:r>
              <w:rPr>
                <w:color w:val="auto"/>
                <w:sz w:val="24"/>
                <w:szCs w:val="21"/>
                <w:highlight w:val="none"/>
              </w:rPr>
              <w:fldChar w:fldCharType="separate"/>
            </w:r>
            <w:r>
              <w:rPr>
                <w:color w:val="auto"/>
                <w:sz w:val="24"/>
                <w:szCs w:val="21"/>
                <w:highlight w:val="none"/>
              </w:rPr>
              <w:t>IV</w:t>
            </w:r>
            <w:r>
              <w:rPr>
                <w:color w:val="auto"/>
                <w:sz w:val="24"/>
                <w:szCs w:val="21"/>
                <w:highlight w:val="none"/>
              </w:rPr>
              <w:fldChar w:fldCharType="end"/>
            </w:r>
            <w:r>
              <w:rPr>
                <w:color w:val="auto"/>
                <w:sz w:val="24"/>
                <w:szCs w:val="21"/>
                <w:highlight w:val="none"/>
              </w:rPr>
              <w:t>类标准。</w:t>
            </w:r>
          </w:p>
          <w:p>
            <w:pPr>
              <w:spacing w:line="360" w:lineRule="auto"/>
              <w:ind w:firstLine="480" w:firstLineChars="200"/>
              <w:rPr>
                <w:color w:val="auto"/>
                <w:sz w:val="24"/>
                <w:szCs w:val="21"/>
                <w:highlight w:val="none"/>
              </w:rPr>
            </w:pPr>
            <w:r>
              <w:rPr>
                <w:color w:val="auto"/>
                <w:sz w:val="24"/>
                <w:szCs w:val="21"/>
                <w:highlight w:val="none"/>
              </w:rPr>
              <w:t>根据吉林省生态环境厅公布的202</w:t>
            </w:r>
            <w:r>
              <w:rPr>
                <w:rFonts w:hint="eastAsia"/>
                <w:color w:val="auto"/>
                <w:sz w:val="24"/>
                <w:szCs w:val="21"/>
                <w:highlight w:val="none"/>
              </w:rPr>
              <w:t>2</w:t>
            </w:r>
            <w:r>
              <w:rPr>
                <w:color w:val="auto"/>
                <w:sz w:val="24"/>
                <w:szCs w:val="21"/>
                <w:highlight w:val="none"/>
              </w:rPr>
              <w:t>年《吉林省地表水国控断面水质月报》，各断面水质情况详见下表。</w:t>
            </w:r>
          </w:p>
          <w:p>
            <w:pPr>
              <w:ind w:firstLine="482" w:firstLineChars="200"/>
              <w:jc w:val="center"/>
              <w:rPr>
                <w:b/>
                <w:color w:val="auto"/>
                <w:sz w:val="24"/>
                <w:highlight w:val="none"/>
              </w:rPr>
            </w:pPr>
            <w:r>
              <w:rPr>
                <w:b/>
                <w:color w:val="auto"/>
                <w:sz w:val="24"/>
                <w:highlight w:val="none"/>
              </w:rPr>
              <w:t>表3-</w:t>
            </w:r>
            <w:r>
              <w:rPr>
                <w:rFonts w:hint="eastAsia"/>
                <w:b/>
                <w:color w:val="auto"/>
                <w:sz w:val="24"/>
                <w:highlight w:val="none"/>
                <w:lang w:val="en-US" w:eastAsia="zh-CN"/>
              </w:rPr>
              <w:t>5</w:t>
            </w:r>
            <w:r>
              <w:rPr>
                <w:b/>
                <w:bCs/>
                <w:color w:val="auto"/>
                <w:sz w:val="24"/>
                <w:highlight w:val="none"/>
              </w:rPr>
              <w:t xml:space="preserve">  </w:t>
            </w:r>
            <w:r>
              <w:rPr>
                <w:b/>
                <w:color w:val="auto"/>
                <w:sz w:val="24"/>
                <w:highlight w:val="none"/>
              </w:rPr>
              <w:t>河流水质状况评价结果统计表</w:t>
            </w:r>
          </w:p>
          <w:tbl>
            <w:tblPr>
              <w:tblStyle w:val="30"/>
              <w:tblW w:w="839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1565"/>
              <w:gridCol w:w="1252"/>
              <w:gridCol w:w="3060"/>
              <w:gridCol w:w="138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679" w:type="pct"/>
                  <w:tcBorders>
                    <w:tl2br w:val="nil"/>
                    <w:tr2bl w:val="nil"/>
                  </w:tcBorders>
                  <w:vAlign w:val="center"/>
                </w:tcPr>
                <w:p>
                  <w:pPr>
                    <w:snapToGrid w:val="0"/>
                    <w:jc w:val="center"/>
                    <w:rPr>
                      <w:color w:val="auto"/>
                      <w:szCs w:val="21"/>
                      <w:highlight w:val="none"/>
                    </w:rPr>
                  </w:pPr>
                  <w:r>
                    <w:rPr>
                      <w:color w:val="auto"/>
                      <w:szCs w:val="21"/>
                      <w:highlight w:val="none"/>
                    </w:rPr>
                    <w:t>江河名称</w:t>
                  </w:r>
                </w:p>
              </w:tc>
              <w:tc>
                <w:tcPr>
                  <w:tcW w:w="931" w:type="pct"/>
                  <w:tcBorders>
                    <w:tl2br w:val="nil"/>
                    <w:tr2bl w:val="nil"/>
                  </w:tcBorders>
                  <w:vAlign w:val="center"/>
                </w:tcPr>
                <w:p>
                  <w:pPr>
                    <w:snapToGrid w:val="0"/>
                    <w:jc w:val="center"/>
                    <w:rPr>
                      <w:color w:val="auto"/>
                      <w:szCs w:val="21"/>
                      <w:highlight w:val="none"/>
                    </w:rPr>
                  </w:pPr>
                  <w:r>
                    <w:rPr>
                      <w:color w:val="auto"/>
                      <w:szCs w:val="21"/>
                      <w:highlight w:val="none"/>
                    </w:rPr>
                    <w:t>断面名称</w:t>
                  </w:r>
                </w:p>
              </w:tc>
              <w:tc>
                <w:tcPr>
                  <w:tcW w:w="745" w:type="pct"/>
                  <w:tcBorders>
                    <w:tl2br w:val="nil"/>
                    <w:tr2bl w:val="nil"/>
                  </w:tcBorders>
                  <w:vAlign w:val="center"/>
                </w:tcPr>
                <w:p>
                  <w:pPr>
                    <w:snapToGrid w:val="0"/>
                    <w:jc w:val="center"/>
                    <w:rPr>
                      <w:color w:val="auto"/>
                      <w:szCs w:val="21"/>
                      <w:highlight w:val="none"/>
                    </w:rPr>
                  </w:pPr>
                  <w:r>
                    <w:rPr>
                      <w:color w:val="auto"/>
                      <w:szCs w:val="21"/>
                      <w:highlight w:val="none"/>
                    </w:rPr>
                    <w:t>水功能区</w:t>
                  </w:r>
                </w:p>
              </w:tc>
              <w:tc>
                <w:tcPr>
                  <w:tcW w:w="1821" w:type="pct"/>
                  <w:tcBorders>
                    <w:tl2br w:val="nil"/>
                    <w:tr2bl w:val="nil"/>
                  </w:tcBorders>
                  <w:vAlign w:val="center"/>
                </w:tcPr>
                <w:p>
                  <w:pPr>
                    <w:snapToGrid w:val="0"/>
                    <w:jc w:val="center"/>
                    <w:rPr>
                      <w:color w:val="auto"/>
                      <w:szCs w:val="21"/>
                      <w:highlight w:val="none"/>
                    </w:rPr>
                  </w:pPr>
                  <w:r>
                    <w:rPr>
                      <w:color w:val="auto"/>
                      <w:szCs w:val="21"/>
                      <w:highlight w:val="none"/>
                    </w:rPr>
                    <w:t>本年度水质类别</w:t>
                  </w:r>
                </w:p>
              </w:tc>
              <w:tc>
                <w:tcPr>
                  <w:tcW w:w="821" w:type="pct"/>
                  <w:tcBorders>
                    <w:tl2br w:val="nil"/>
                    <w:tr2bl w:val="nil"/>
                  </w:tcBorders>
                  <w:vAlign w:val="center"/>
                </w:tcPr>
                <w:p>
                  <w:pPr>
                    <w:snapToGrid w:val="0"/>
                    <w:jc w:val="center"/>
                    <w:rPr>
                      <w:color w:val="auto"/>
                      <w:szCs w:val="21"/>
                      <w:highlight w:val="none"/>
                    </w:rPr>
                  </w:pPr>
                  <w:r>
                    <w:rPr>
                      <w:color w:val="auto"/>
                      <w:szCs w:val="21"/>
                      <w:highlight w:val="none"/>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679" w:type="pct"/>
                  <w:vMerge w:val="restart"/>
                  <w:tcBorders>
                    <w:tl2br w:val="nil"/>
                    <w:tr2bl w:val="nil"/>
                  </w:tcBorders>
                  <w:vAlign w:val="center"/>
                </w:tcPr>
                <w:p>
                  <w:pPr>
                    <w:snapToGrid w:val="0"/>
                    <w:jc w:val="center"/>
                    <w:rPr>
                      <w:color w:val="auto"/>
                      <w:szCs w:val="21"/>
                      <w:highlight w:val="none"/>
                    </w:rPr>
                  </w:pPr>
                  <w:r>
                    <w:rPr>
                      <w:color w:val="auto"/>
                      <w:szCs w:val="21"/>
                      <w:highlight w:val="none"/>
                    </w:rPr>
                    <w:t>伊通河</w:t>
                  </w:r>
                </w:p>
              </w:tc>
              <w:tc>
                <w:tcPr>
                  <w:tcW w:w="931" w:type="pct"/>
                  <w:tcBorders>
                    <w:tl2br w:val="nil"/>
                    <w:tr2bl w:val="nil"/>
                  </w:tcBorders>
                  <w:vAlign w:val="center"/>
                </w:tcPr>
                <w:p>
                  <w:pPr>
                    <w:snapToGrid w:val="0"/>
                    <w:jc w:val="center"/>
                    <w:rPr>
                      <w:color w:val="auto"/>
                      <w:szCs w:val="21"/>
                      <w:highlight w:val="none"/>
                    </w:rPr>
                  </w:pPr>
                  <w:r>
                    <w:rPr>
                      <w:color w:val="auto"/>
                      <w:szCs w:val="21"/>
                      <w:highlight w:val="none"/>
                    </w:rPr>
                    <w:t>新立城大坝</w:t>
                  </w:r>
                </w:p>
              </w:tc>
              <w:tc>
                <w:tcPr>
                  <w:tcW w:w="745" w:type="pct"/>
                  <w:tcBorders>
                    <w:tl2br w:val="nil"/>
                    <w:tr2bl w:val="nil"/>
                  </w:tcBorders>
                  <w:vAlign w:val="center"/>
                </w:tcPr>
                <w:p>
                  <w:pPr>
                    <w:snapToGrid w:val="0"/>
                    <w:jc w:val="center"/>
                    <w:rPr>
                      <w:color w:val="auto"/>
                      <w:szCs w:val="21"/>
                      <w:highlight w:val="none"/>
                    </w:rPr>
                  </w:pPr>
                  <w:r>
                    <w:rPr>
                      <w:color w:val="auto"/>
                      <w:szCs w:val="21"/>
                      <w:highlight w:val="none"/>
                    </w:rPr>
                    <w:t>Ⅲ</w:t>
                  </w:r>
                </w:p>
              </w:tc>
              <w:tc>
                <w:tcPr>
                  <w:tcW w:w="1821" w:type="pct"/>
                  <w:tcBorders>
                    <w:tl2br w:val="nil"/>
                    <w:tr2bl w:val="nil"/>
                  </w:tcBorders>
                  <w:vAlign w:val="center"/>
                </w:tcPr>
                <w:p>
                  <w:pPr>
                    <w:snapToGrid w:val="0"/>
                    <w:jc w:val="left"/>
                    <w:rPr>
                      <w:color w:val="auto"/>
                      <w:szCs w:val="21"/>
                      <w:highlight w:val="none"/>
                    </w:rPr>
                  </w:pPr>
                  <w:r>
                    <w:rPr>
                      <w:rFonts w:hint="eastAsia"/>
                      <w:color w:val="auto"/>
                      <w:szCs w:val="21"/>
                      <w:highlight w:val="none"/>
                    </w:rPr>
                    <w:t>1</w:t>
                  </w:r>
                  <w:r>
                    <w:rPr>
                      <w:color w:val="auto"/>
                      <w:szCs w:val="21"/>
                      <w:highlight w:val="none"/>
                    </w:rPr>
                    <w:t>、</w:t>
                  </w:r>
                  <w:r>
                    <w:rPr>
                      <w:rFonts w:hint="eastAsia"/>
                      <w:color w:val="auto"/>
                      <w:szCs w:val="21"/>
                      <w:highlight w:val="none"/>
                    </w:rPr>
                    <w:t>3、</w:t>
                  </w:r>
                  <w:r>
                    <w:rPr>
                      <w:color w:val="auto"/>
                      <w:szCs w:val="21"/>
                      <w:highlight w:val="none"/>
                    </w:rPr>
                    <w:t>7</w:t>
                  </w:r>
                  <w:r>
                    <w:rPr>
                      <w:rFonts w:hint="eastAsia"/>
                      <w:color w:val="auto"/>
                      <w:szCs w:val="21"/>
                      <w:highlight w:val="none"/>
                    </w:rPr>
                    <w:t>-9</w:t>
                  </w:r>
                  <w:r>
                    <w:rPr>
                      <w:color w:val="auto"/>
                      <w:szCs w:val="21"/>
                      <w:highlight w:val="none"/>
                    </w:rPr>
                    <w:t>月Ⅲ类</w:t>
                  </w:r>
                </w:p>
                <w:p>
                  <w:pPr>
                    <w:snapToGrid w:val="0"/>
                    <w:jc w:val="left"/>
                    <w:rPr>
                      <w:color w:val="auto"/>
                      <w:szCs w:val="21"/>
                      <w:highlight w:val="none"/>
                    </w:rPr>
                  </w:pPr>
                  <w:r>
                    <w:rPr>
                      <w:rFonts w:hint="eastAsia"/>
                      <w:color w:val="auto"/>
                      <w:szCs w:val="21"/>
                      <w:highlight w:val="none"/>
                    </w:rPr>
                    <w:t>2、5、6、10-12</w:t>
                  </w:r>
                  <w:r>
                    <w:rPr>
                      <w:color w:val="auto"/>
                      <w:szCs w:val="21"/>
                      <w:highlight w:val="none"/>
                    </w:rPr>
                    <w:t>月Ⅱ类</w:t>
                  </w:r>
                </w:p>
              </w:tc>
              <w:tc>
                <w:tcPr>
                  <w:tcW w:w="821" w:type="pct"/>
                  <w:tcBorders>
                    <w:tl2br w:val="nil"/>
                    <w:tr2bl w:val="nil"/>
                  </w:tcBorders>
                  <w:vAlign w:val="center"/>
                </w:tcPr>
                <w:p>
                  <w:pPr>
                    <w:snapToGrid w:val="0"/>
                    <w:jc w:val="center"/>
                    <w:rPr>
                      <w:color w:val="auto"/>
                      <w:szCs w:val="21"/>
                      <w:highlight w:val="none"/>
                    </w:rPr>
                  </w:pPr>
                  <w:r>
                    <w:rPr>
                      <w:color w:val="auto"/>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679" w:type="pct"/>
                  <w:vMerge w:val="continue"/>
                  <w:tcBorders>
                    <w:tl2br w:val="nil"/>
                    <w:tr2bl w:val="nil"/>
                  </w:tcBorders>
                  <w:vAlign w:val="center"/>
                </w:tcPr>
                <w:p>
                  <w:pPr>
                    <w:snapToGrid w:val="0"/>
                    <w:jc w:val="center"/>
                    <w:rPr>
                      <w:color w:val="auto"/>
                      <w:szCs w:val="21"/>
                      <w:highlight w:val="none"/>
                    </w:rPr>
                  </w:pPr>
                </w:p>
              </w:tc>
              <w:tc>
                <w:tcPr>
                  <w:tcW w:w="931" w:type="pct"/>
                  <w:tcBorders>
                    <w:tl2br w:val="nil"/>
                    <w:tr2bl w:val="nil"/>
                  </w:tcBorders>
                  <w:vAlign w:val="center"/>
                </w:tcPr>
                <w:p>
                  <w:pPr>
                    <w:snapToGrid w:val="0"/>
                    <w:jc w:val="center"/>
                    <w:rPr>
                      <w:color w:val="auto"/>
                      <w:szCs w:val="21"/>
                      <w:highlight w:val="none"/>
                    </w:rPr>
                  </w:pPr>
                  <w:r>
                    <w:rPr>
                      <w:color w:val="auto"/>
                      <w:szCs w:val="21"/>
                      <w:highlight w:val="none"/>
                    </w:rPr>
                    <w:t>杨家崴子</w:t>
                  </w:r>
                </w:p>
              </w:tc>
              <w:tc>
                <w:tcPr>
                  <w:tcW w:w="745" w:type="pct"/>
                  <w:tcBorders>
                    <w:tl2br w:val="nil"/>
                    <w:tr2bl w:val="nil"/>
                  </w:tcBorders>
                  <w:vAlign w:val="center"/>
                </w:tcPr>
                <w:p>
                  <w:pPr>
                    <w:snapToGrid w:val="0"/>
                    <w:jc w:val="center"/>
                    <w:rPr>
                      <w:color w:val="auto"/>
                      <w:szCs w:val="21"/>
                      <w:highlight w:val="none"/>
                    </w:rPr>
                  </w:pPr>
                  <w:r>
                    <w:rPr>
                      <w:color w:val="auto"/>
                      <w:szCs w:val="21"/>
                      <w:highlight w:val="none"/>
                    </w:rPr>
                    <w:fldChar w:fldCharType="begin"/>
                  </w:r>
                  <w:r>
                    <w:rPr>
                      <w:color w:val="auto"/>
                      <w:szCs w:val="21"/>
                      <w:highlight w:val="none"/>
                    </w:rPr>
                    <w:instrText xml:space="preserve"> = 5 \* ROMAN \* MERGEFORMAT </w:instrText>
                  </w:r>
                  <w:r>
                    <w:rPr>
                      <w:color w:val="auto"/>
                      <w:szCs w:val="21"/>
                      <w:highlight w:val="none"/>
                    </w:rPr>
                    <w:fldChar w:fldCharType="separate"/>
                  </w:r>
                  <w:r>
                    <w:rPr>
                      <w:color w:val="auto"/>
                      <w:szCs w:val="21"/>
                      <w:highlight w:val="none"/>
                    </w:rPr>
                    <w:t>V</w:t>
                  </w:r>
                  <w:r>
                    <w:rPr>
                      <w:color w:val="auto"/>
                      <w:szCs w:val="21"/>
                      <w:highlight w:val="none"/>
                    </w:rPr>
                    <w:fldChar w:fldCharType="end"/>
                  </w:r>
                </w:p>
              </w:tc>
              <w:tc>
                <w:tcPr>
                  <w:tcW w:w="1821" w:type="pct"/>
                  <w:tcBorders>
                    <w:tl2br w:val="nil"/>
                    <w:tr2bl w:val="nil"/>
                  </w:tcBorders>
                  <w:vAlign w:val="center"/>
                </w:tcPr>
                <w:p>
                  <w:pPr>
                    <w:snapToGrid w:val="0"/>
                    <w:jc w:val="left"/>
                    <w:rPr>
                      <w:color w:val="auto"/>
                      <w:szCs w:val="21"/>
                      <w:highlight w:val="none"/>
                    </w:rPr>
                  </w:pPr>
                  <w:r>
                    <w:rPr>
                      <w:rFonts w:hint="eastAsia"/>
                      <w:color w:val="auto"/>
                      <w:szCs w:val="21"/>
                      <w:highlight w:val="none"/>
                    </w:rPr>
                    <w:t>1、2、12</w:t>
                  </w:r>
                  <w:r>
                    <w:rPr>
                      <w:color w:val="auto"/>
                      <w:szCs w:val="21"/>
                      <w:highlight w:val="none"/>
                    </w:rPr>
                    <w:t>月Ⅳ类</w:t>
                  </w:r>
                </w:p>
                <w:p>
                  <w:pPr>
                    <w:snapToGrid w:val="0"/>
                    <w:jc w:val="left"/>
                    <w:rPr>
                      <w:color w:val="auto"/>
                      <w:szCs w:val="21"/>
                      <w:highlight w:val="none"/>
                    </w:rPr>
                  </w:pPr>
                  <w:r>
                    <w:rPr>
                      <w:rFonts w:hint="eastAsia"/>
                      <w:color w:val="auto"/>
                      <w:szCs w:val="21"/>
                      <w:highlight w:val="none"/>
                    </w:rPr>
                    <w:t>5-10</w:t>
                  </w:r>
                  <w:r>
                    <w:rPr>
                      <w:color w:val="auto"/>
                      <w:szCs w:val="21"/>
                      <w:highlight w:val="none"/>
                    </w:rPr>
                    <w:t>月Ⅴ类</w:t>
                  </w:r>
                </w:p>
                <w:p>
                  <w:pPr>
                    <w:snapToGrid w:val="0"/>
                    <w:jc w:val="left"/>
                    <w:rPr>
                      <w:color w:val="auto"/>
                      <w:szCs w:val="21"/>
                      <w:highlight w:val="none"/>
                    </w:rPr>
                  </w:pPr>
                  <w:r>
                    <w:rPr>
                      <w:rFonts w:hint="eastAsia"/>
                      <w:color w:val="auto"/>
                      <w:szCs w:val="21"/>
                      <w:highlight w:val="none"/>
                    </w:rPr>
                    <w:t>11</w:t>
                  </w:r>
                  <w:r>
                    <w:rPr>
                      <w:color w:val="auto"/>
                      <w:szCs w:val="21"/>
                      <w:highlight w:val="none"/>
                    </w:rPr>
                    <w:t>月Ⅲ类</w:t>
                  </w:r>
                </w:p>
              </w:tc>
              <w:tc>
                <w:tcPr>
                  <w:tcW w:w="821" w:type="pct"/>
                  <w:tcBorders>
                    <w:tl2br w:val="nil"/>
                    <w:tr2bl w:val="nil"/>
                  </w:tcBorders>
                  <w:vAlign w:val="center"/>
                </w:tcPr>
                <w:p>
                  <w:pPr>
                    <w:snapToGrid w:val="0"/>
                    <w:jc w:val="center"/>
                    <w:rPr>
                      <w:color w:val="auto"/>
                      <w:szCs w:val="21"/>
                      <w:highlight w:val="none"/>
                    </w:rPr>
                  </w:pPr>
                  <w:r>
                    <w:rPr>
                      <w:color w:val="auto"/>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9" w:type="pct"/>
                  <w:vMerge w:val="continue"/>
                  <w:tcBorders>
                    <w:tl2br w:val="nil"/>
                    <w:tr2bl w:val="nil"/>
                  </w:tcBorders>
                  <w:vAlign w:val="center"/>
                </w:tcPr>
                <w:p>
                  <w:pPr>
                    <w:snapToGrid w:val="0"/>
                    <w:jc w:val="center"/>
                    <w:rPr>
                      <w:color w:val="auto"/>
                      <w:szCs w:val="21"/>
                      <w:highlight w:val="none"/>
                    </w:rPr>
                  </w:pPr>
                </w:p>
              </w:tc>
              <w:tc>
                <w:tcPr>
                  <w:tcW w:w="931" w:type="pct"/>
                  <w:tcBorders>
                    <w:tl2br w:val="nil"/>
                    <w:tr2bl w:val="nil"/>
                  </w:tcBorders>
                  <w:vAlign w:val="center"/>
                </w:tcPr>
                <w:p>
                  <w:pPr>
                    <w:snapToGrid w:val="0"/>
                    <w:jc w:val="center"/>
                    <w:rPr>
                      <w:color w:val="auto"/>
                      <w:szCs w:val="21"/>
                      <w:highlight w:val="none"/>
                    </w:rPr>
                  </w:pPr>
                  <w:r>
                    <w:rPr>
                      <w:color w:val="auto"/>
                      <w:szCs w:val="21"/>
                      <w:highlight w:val="none"/>
                    </w:rPr>
                    <w:t>靠山大桥</w:t>
                  </w:r>
                </w:p>
              </w:tc>
              <w:tc>
                <w:tcPr>
                  <w:tcW w:w="745" w:type="pct"/>
                  <w:tcBorders>
                    <w:tl2br w:val="nil"/>
                    <w:tr2bl w:val="nil"/>
                  </w:tcBorders>
                  <w:vAlign w:val="center"/>
                </w:tcPr>
                <w:p>
                  <w:pPr>
                    <w:snapToGrid w:val="0"/>
                    <w:jc w:val="center"/>
                    <w:rPr>
                      <w:color w:val="auto"/>
                      <w:szCs w:val="21"/>
                      <w:highlight w:val="none"/>
                    </w:rPr>
                  </w:pPr>
                  <w:r>
                    <w:rPr>
                      <w:color w:val="auto"/>
                      <w:szCs w:val="21"/>
                      <w:highlight w:val="none"/>
                    </w:rPr>
                    <w:t>Ⅳ</w:t>
                  </w:r>
                </w:p>
              </w:tc>
              <w:tc>
                <w:tcPr>
                  <w:tcW w:w="1821" w:type="pct"/>
                  <w:tcBorders>
                    <w:tl2br w:val="nil"/>
                    <w:tr2bl w:val="nil"/>
                  </w:tcBorders>
                  <w:vAlign w:val="center"/>
                </w:tcPr>
                <w:p>
                  <w:pPr>
                    <w:snapToGrid w:val="0"/>
                    <w:jc w:val="left"/>
                    <w:rPr>
                      <w:color w:val="auto"/>
                      <w:szCs w:val="21"/>
                      <w:highlight w:val="none"/>
                    </w:rPr>
                  </w:pPr>
                  <w:r>
                    <w:rPr>
                      <w:rFonts w:hint="eastAsia"/>
                      <w:color w:val="auto"/>
                      <w:szCs w:val="21"/>
                      <w:highlight w:val="none"/>
                    </w:rPr>
                    <w:t>1、7、12</w:t>
                  </w:r>
                  <w:r>
                    <w:rPr>
                      <w:color w:val="auto"/>
                      <w:szCs w:val="21"/>
                      <w:highlight w:val="none"/>
                    </w:rPr>
                    <w:t>月Ⅲ类</w:t>
                  </w:r>
                </w:p>
                <w:p>
                  <w:pPr>
                    <w:snapToGrid w:val="0"/>
                    <w:jc w:val="left"/>
                    <w:rPr>
                      <w:color w:val="auto"/>
                      <w:szCs w:val="21"/>
                      <w:highlight w:val="none"/>
                    </w:rPr>
                  </w:pPr>
                  <w:r>
                    <w:rPr>
                      <w:rFonts w:hint="eastAsia"/>
                      <w:color w:val="auto"/>
                      <w:szCs w:val="21"/>
                      <w:highlight w:val="none"/>
                    </w:rPr>
                    <w:t>2、5、6、8、9</w:t>
                  </w:r>
                  <w:r>
                    <w:rPr>
                      <w:color w:val="auto"/>
                      <w:szCs w:val="21"/>
                      <w:highlight w:val="none"/>
                    </w:rPr>
                    <w:t>月Ⅴ类</w:t>
                  </w:r>
                </w:p>
                <w:p>
                  <w:pPr>
                    <w:snapToGrid w:val="0"/>
                    <w:jc w:val="left"/>
                    <w:rPr>
                      <w:color w:val="auto"/>
                      <w:szCs w:val="21"/>
                      <w:highlight w:val="none"/>
                    </w:rPr>
                  </w:pPr>
                  <w:r>
                    <w:rPr>
                      <w:rFonts w:hint="eastAsia"/>
                      <w:color w:val="auto"/>
                      <w:szCs w:val="21"/>
                      <w:highlight w:val="none"/>
                    </w:rPr>
                    <w:t>3、4、10、11</w:t>
                  </w:r>
                  <w:r>
                    <w:rPr>
                      <w:color w:val="auto"/>
                      <w:szCs w:val="21"/>
                      <w:highlight w:val="none"/>
                    </w:rPr>
                    <w:t>月Ⅳ类</w:t>
                  </w:r>
                </w:p>
              </w:tc>
              <w:tc>
                <w:tcPr>
                  <w:tcW w:w="821" w:type="pct"/>
                  <w:tcBorders>
                    <w:tl2br w:val="nil"/>
                    <w:tr2bl w:val="nil"/>
                  </w:tcBorders>
                  <w:vAlign w:val="center"/>
                </w:tcPr>
                <w:p>
                  <w:pPr>
                    <w:snapToGrid w:val="0"/>
                    <w:jc w:val="center"/>
                    <w:rPr>
                      <w:color w:val="auto"/>
                      <w:szCs w:val="21"/>
                      <w:highlight w:val="none"/>
                    </w:rPr>
                  </w:pPr>
                  <w:r>
                    <w:rPr>
                      <w:color w:val="auto"/>
                      <w:szCs w:val="21"/>
                      <w:highlight w:val="none"/>
                    </w:rPr>
                    <w:t>不达标</w:t>
                  </w:r>
                </w:p>
              </w:tc>
            </w:tr>
          </w:tbl>
          <w:p>
            <w:pPr>
              <w:spacing w:line="360" w:lineRule="auto"/>
              <w:ind w:firstLine="422" w:firstLineChars="200"/>
              <w:rPr>
                <w:b/>
                <w:bCs/>
                <w:color w:val="auto"/>
                <w:szCs w:val="21"/>
                <w:highlight w:val="none"/>
              </w:rPr>
            </w:pPr>
            <w:r>
              <w:rPr>
                <w:rFonts w:hint="eastAsia"/>
                <w:b/>
                <w:bCs/>
                <w:color w:val="auto"/>
                <w:szCs w:val="21"/>
                <w:highlight w:val="none"/>
              </w:rPr>
              <w:t>注：由于疫情原因，新立城大坝4月、杨家崴子3月4月无监测数据。</w:t>
            </w:r>
          </w:p>
          <w:p>
            <w:pPr>
              <w:spacing w:line="360" w:lineRule="auto"/>
              <w:ind w:firstLine="480" w:firstLineChars="200"/>
              <w:rPr>
                <w:color w:val="auto"/>
                <w:sz w:val="24"/>
                <w:szCs w:val="21"/>
                <w:highlight w:val="none"/>
              </w:rPr>
            </w:pPr>
            <w:r>
              <w:rPr>
                <w:color w:val="auto"/>
                <w:sz w:val="24"/>
                <w:highlight w:val="none"/>
              </w:rPr>
              <w:t>根据评价结果可知，伊通河新立城大坝断面</w:t>
            </w:r>
            <w:r>
              <w:rPr>
                <w:rFonts w:hint="eastAsia"/>
                <w:color w:val="auto"/>
                <w:sz w:val="24"/>
                <w:highlight w:val="none"/>
                <w:lang w:val="en-US" w:eastAsia="zh-CN"/>
              </w:rPr>
              <w:t>满足</w:t>
            </w:r>
            <w:r>
              <w:rPr>
                <w:color w:val="auto"/>
                <w:sz w:val="24"/>
                <w:highlight w:val="none"/>
              </w:rPr>
              <w:t>《地表水环境质量标准》</w:t>
            </w:r>
            <w:r>
              <w:rPr>
                <w:rFonts w:hint="eastAsia"/>
                <w:color w:val="auto"/>
                <w:sz w:val="24"/>
                <w:highlight w:val="none"/>
                <w:lang w:eastAsia="zh-CN"/>
              </w:rPr>
              <w:t>（</w:t>
            </w:r>
            <w:r>
              <w:rPr>
                <w:color w:val="auto"/>
                <w:sz w:val="24"/>
                <w:highlight w:val="none"/>
              </w:rPr>
              <w:t>GB3838-2002</w:t>
            </w:r>
            <w:r>
              <w:rPr>
                <w:rFonts w:hint="eastAsia"/>
                <w:color w:val="auto"/>
                <w:sz w:val="24"/>
                <w:highlight w:val="none"/>
                <w:lang w:eastAsia="zh-CN"/>
              </w:rPr>
              <w:t>）</w:t>
            </w:r>
            <w:r>
              <w:rPr>
                <w:color w:val="auto"/>
                <w:sz w:val="24"/>
                <w:highlight w:val="none"/>
              </w:rPr>
              <w:t>中的III类标</w:t>
            </w:r>
            <w:r>
              <w:rPr>
                <w:color w:val="auto"/>
                <w:sz w:val="24"/>
                <w:highlight w:val="none"/>
                <w:lang w:bidi="ar"/>
              </w:rPr>
              <w:t>准</w:t>
            </w:r>
            <w:r>
              <w:rPr>
                <w:color w:val="auto"/>
                <w:sz w:val="24"/>
                <w:highlight w:val="none"/>
              </w:rPr>
              <w:t>；杨家崴子断面</w:t>
            </w:r>
            <w:r>
              <w:rPr>
                <w:rFonts w:hint="eastAsia"/>
                <w:color w:val="auto"/>
                <w:sz w:val="24"/>
                <w:highlight w:val="none"/>
                <w:lang w:val="en-US" w:eastAsia="zh-CN"/>
              </w:rPr>
              <w:t>满足</w:t>
            </w:r>
            <w:r>
              <w:rPr>
                <w:color w:val="auto"/>
                <w:sz w:val="24"/>
                <w:highlight w:val="none"/>
              </w:rPr>
              <w:t>《地表水环境质量标准》</w:t>
            </w:r>
            <w:r>
              <w:rPr>
                <w:rFonts w:hint="eastAsia"/>
                <w:color w:val="auto"/>
                <w:sz w:val="24"/>
                <w:highlight w:val="none"/>
                <w:lang w:eastAsia="zh-CN"/>
              </w:rPr>
              <w:t>（</w:t>
            </w:r>
            <w:r>
              <w:rPr>
                <w:color w:val="auto"/>
                <w:sz w:val="24"/>
                <w:highlight w:val="none"/>
              </w:rPr>
              <w:t>GB3838-2002</w:t>
            </w:r>
            <w:r>
              <w:rPr>
                <w:rFonts w:hint="eastAsia"/>
                <w:color w:val="auto"/>
                <w:sz w:val="24"/>
                <w:highlight w:val="none"/>
                <w:lang w:eastAsia="zh-CN"/>
              </w:rPr>
              <w:t>）</w:t>
            </w:r>
            <w:r>
              <w:rPr>
                <w:color w:val="auto"/>
                <w:sz w:val="24"/>
                <w:highlight w:val="none"/>
              </w:rPr>
              <w:t>中的</w:t>
            </w:r>
            <w:r>
              <w:rPr>
                <w:rFonts w:hint="eastAsia"/>
                <w:color w:val="auto"/>
                <w:sz w:val="24"/>
                <w:highlight w:val="none"/>
                <w:lang w:val="en-US" w:eastAsia="zh-CN"/>
              </w:rPr>
              <w:t>V</w:t>
            </w:r>
            <w:r>
              <w:rPr>
                <w:color w:val="auto"/>
                <w:sz w:val="24"/>
                <w:highlight w:val="none"/>
              </w:rPr>
              <w:t>类标</w:t>
            </w:r>
            <w:r>
              <w:rPr>
                <w:color w:val="auto"/>
                <w:sz w:val="24"/>
                <w:highlight w:val="none"/>
                <w:lang w:bidi="ar"/>
              </w:rPr>
              <w:t>准</w:t>
            </w:r>
            <w:r>
              <w:rPr>
                <w:color w:val="auto"/>
                <w:sz w:val="24"/>
                <w:highlight w:val="none"/>
              </w:rPr>
              <w:t>；靠山大桥断面</w:t>
            </w:r>
            <w:r>
              <w:rPr>
                <w:rFonts w:hint="eastAsia"/>
                <w:color w:val="auto"/>
                <w:sz w:val="24"/>
                <w:highlight w:val="none"/>
                <w:lang w:val="en-US" w:eastAsia="zh-CN"/>
              </w:rPr>
              <w:t>不满足</w:t>
            </w:r>
            <w:r>
              <w:rPr>
                <w:color w:val="auto"/>
                <w:sz w:val="24"/>
                <w:highlight w:val="none"/>
              </w:rPr>
              <w:t>《地表水环境质量标准》</w:t>
            </w:r>
            <w:r>
              <w:rPr>
                <w:rFonts w:hint="eastAsia"/>
                <w:color w:val="auto"/>
                <w:sz w:val="24"/>
                <w:highlight w:val="none"/>
                <w:lang w:eastAsia="zh-CN"/>
              </w:rPr>
              <w:t>（</w:t>
            </w:r>
            <w:r>
              <w:rPr>
                <w:color w:val="auto"/>
                <w:sz w:val="24"/>
                <w:highlight w:val="none"/>
              </w:rPr>
              <w:t>GB3838-2002</w:t>
            </w:r>
            <w:r>
              <w:rPr>
                <w:rFonts w:hint="eastAsia"/>
                <w:color w:val="auto"/>
                <w:sz w:val="24"/>
                <w:highlight w:val="none"/>
                <w:lang w:eastAsia="zh-CN"/>
              </w:rPr>
              <w:t>）</w:t>
            </w:r>
            <w:r>
              <w:rPr>
                <w:color w:val="auto"/>
                <w:sz w:val="24"/>
                <w:highlight w:val="none"/>
              </w:rPr>
              <w:t>中的</w:t>
            </w:r>
            <w:r>
              <w:rPr>
                <w:rFonts w:hint="eastAsia"/>
                <w:color w:val="auto"/>
                <w:sz w:val="24"/>
                <w:highlight w:val="none"/>
                <w:lang w:val="en-US" w:eastAsia="zh-CN"/>
              </w:rPr>
              <w:t>IV</w:t>
            </w:r>
            <w:r>
              <w:rPr>
                <w:color w:val="auto"/>
                <w:sz w:val="24"/>
                <w:highlight w:val="none"/>
              </w:rPr>
              <w:t>类标</w:t>
            </w:r>
            <w:r>
              <w:rPr>
                <w:color w:val="auto"/>
                <w:sz w:val="24"/>
                <w:highlight w:val="none"/>
                <w:lang w:bidi="ar"/>
              </w:rPr>
              <w:t>准</w:t>
            </w:r>
            <w:r>
              <w:rPr>
                <w:color w:val="auto"/>
                <w:sz w:val="24"/>
                <w:highlight w:val="none"/>
              </w:rPr>
              <w:t>。以上表明伊通河受到一定程度的污染。</w:t>
            </w:r>
            <w:r>
              <w:rPr>
                <w:rFonts w:hint="eastAsia"/>
                <w:color w:val="auto"/>
                <w:sz w:val="24"/>
                <w:highlight w:val="none"/>
              </w:rPr>
              <w:t>超标原因可能是农村生活污水、农业面源污染所致。</w:t>
            </w:r>
          </w:p>
          <w:p>
            <w:pPr>
              <w:spacing w:line="360" w:lineRule="auto"/>
              <w:ind w:firstLine="480" w:firstLineChars="200"/>
              <w:rPr>
                <w:color w:val="auto"/>
                <w:kern w:val="0"/>
                <w:sz w:val="24"/>
                <w:highlight w:val="none"/>
              </w:rPr>
            </w:pPr>
            <w:r>
              <w:rPr>
                <w:color w:val="auto"/>
                <w:sz w:val="24"/>
                <w:szCs w:val="21"/>
                <w:highlight w:val="none"/>
              </w:rPr>
              <w:t>为从根本上改善长春市水环境质量，长春市人民政府已制定了《关于印发长春市空气、水环境、土壤环境质量巩固提升三个行动方案的通知》（长府办发〔2021〕14号，2021年5月8日）、《长春市劣五类水体治理和水质巩固提升实施方案》等文件，推动水质稳定巩固、稳步改善、稳中提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453" w:type="dxa"/>
            <w:vAlign w:val="center"/>
          </w:tcPr>
          <w:p>
            <w:pPr>
              <w:adjustRightInd w:val="0"/>
              <w:snapToGrid w:val="0"/>
              <w:jc w:val="center"/>
              <w:rPr>
                <w:b/>
                <w:bCs/>
                <w:color w:val="auto"/>
                <w:kern w:val="0"/>
                <w:sz w:val="24"/>
                <w:highlight w:val="none"/>
              </w:rPr>
            </w:pPr>
            <w:r>
              <w:rPr>
                <w:b/>
                <w:bCs/>
                <w:color w:val="auto"/>
                <w:kern w:val="0"/>
                <w:sz w:val="24"/>
                <w:highlight w:val="none"/>
              </w:rPr>
              <w:t>环境</w:t>
            </w:r>
          </w:p>
          <w:p>
            <w:pPr>
              <w:adjustRightInd w:val="0"/>
              <w:snapToGrid w:val="0"/>
              <w:jc w:val="center"/>
              <w:rPr>
                <w:b/>
                <w:bCs/>
                <w:color w:val="auto"/>
                <w:kern w:val="0"/>
                <w:sz w:val="24"/>
                <w:highlight w:val="none"/>
              </w:rPr>
            </w:pPr>
            <w:r>
              <w:rPr>
                <w:b/>
                <w:bCs/>
                <w:color w:val="auto"/>
                <w:kern w:val="0"/>
                <w:sz w:val="24"/>
                <w:highlight w:val="none"/>
              </w:rPr>
              <w:t>保护</w:t>
            </w:r>
          </w:p>
          <w:p>
            <w:pPr>
              <w:adjustRightInd w:val="0"/>
              <w:snapToGrid w:val="0"/>
              <w:jc w:val="center"/>
              <w:rPr>
                <w:color w:val="auto"/>
                <w:kern w:val="0"/>
                <w:sz w:val="24"/>
                <w:highlight w:val="none"/>
              </w:rPr>
            </w:pPr>
            <w:r>
              <w:rPr>
                <w:b/>
                <w:bCs/>
                <w:color w:val="auto"/>
                <w:kern w:val="0"/>
                <w:sz w:val="24"/>
                <w:highlight w:val="none"/>
              </w:rPr>
              <w:t>目标</w:t>
            </w:r>
          </w:p>
        </w:tc>
        <w:tc>
          <w:tcPr>
            <w:tcW w:w="8608" w:type="dxa"/>
            <w:vAlign w:val="center"/>
          </w:tcPr>
          <w:p>
            <w:pPr>
              <w:spacing w:line="360" w:lineRule="auto"/>
              <w:ind w:firstLine="482" w:firstLineChars="200"/>
              <w:rPr>
                <w:b/>
                <w:bCs/>
                <w:color w:val="auto"/>
                <w:sz w:val="24"/>
                <w:highlight w:val="none"/>
              </w:rPr>
            </w:pPr>
            <w:r>
              <w:rPr>
                <w:b/>
                <w:bCs/>
                <w:color w:val="auto"/>
                <w:sz w:val="24"/>
                <w:highlight w:val="none"/>
              </w:rPr>
              <w:t>1.大气环境</w:t>
            </w:r>
          </w:p>
          <w:p>
            <w:pPr>
              <w:spacing w:line="360" w:lineRule="auto"/>
              <w:ind w:firstLine="480" w:firstLineChars="200"/>
              <w:rPr>
                <w:color w:val="auto"/>
                <w:sz w:val="24"/>
                <w:highlight w:val="none"/>
              </w:rPr>
            </w:pPr>
            <w:r>
              <w:rPr>
                <w:color w:val="auto"/>
                <w:sz w:val="24"/>
                <w:highlight w:val="none"/>
              </w:rPr>
              <w:t>项目厂界外500m范围内无自然保护区、风景名胜区等保护目标。本项目所涉及的大气环境保护目标如下：</w:t>
            </w:r>
          </w:p>
          <w:p>
            <w:pPr>
              <w:pStyle w:val="21"/>
              <w:ind w:left="0" w:firstLine="0" w:firstLineChars="0"/>
              <w:jc w:val="center"/>
              <w:rPr>
                <w:b/>
                <w:color w:val="auto"/>
                <w:kern w:val="0"/>
                <w:sz w:val="24"/>
                <w:highlight w:val="none"/>
              </w:rPr>
            </w:pPr>
            <w:r>
              <w:rPr>
                <w:b/>
                <w:color w:val="auto"/>
                <w:kern w:val="0"/>
                <w:sz w:val="24"/>
                <w:highlight w:val="none"/>
              </w:rPr>
              <w:t>表3-</w:t>
            </w:r>
            <w:r>
              <w:rPr>
                <w:rFonts w:hint="eastAsia"/>
                <w:b/>
                <w:color w:val="auto"/>
                <w:kern w:val="0"/>
                <w:sz w:val="24"/>
                <w:highlight w:val="none"/>
                <w:lang w:val="en-US" w:eastAsia="zh-CN"/>
              </w:rPr>
              <w:t>6</w:t>
            </w:r>
            <w:r>
              <w:rPr>
                <w:b/>
                <w:bCs/>
                <w:color w:val="auto"/>
                <w:sz w:val="24"/>
                <w:highlight w:val="none"/>
              </w:rPr>
              <w:t xml:space="preserve">  </w:t>
            </w:r>
            <w:r>
              <w:rPr>
                <w:b/>
                <w:color w:val="auto"/>
                <w:kern w:val="0"/>
                <w:sz w:val="24"/>
                <w:highlight w:val="none"/>
              </w:rPr>
              <w:t>大气环境保护目标一览表</w:t>
            </w:r>
          </w:p>
          <w:tbl>
            <w:tblPr>
              <w:tblStyle w:val="30"/>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650"/>
              <w:gridCol w:w="535"/>
              <w:gridCol w:w="883"/>
              <w:gridCol w:w="1304"/>
              <w:gridCol w:w="1052"/>
              <w:gridCol w:w="1318"/>
              <w:gridCol w:w="13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62" w:type="pct"/>
                  <w:vMerge w:val="restart"/>
                  <w:vAlign w:val="center"/>
                </w:tcPr>
                <w:p>
                  <w:pPr>
                    <w:pStyle w:val="23"/>
                    <w:ind w:left="0" w:leftChars="0"/>
                    <w:jc w:val="center"/>
                    <w:rPr>
                      <w:rStyle w:val="38"/>
                      <w:color w:val="auto"/>
                      <w:highlight w:val="none"/>
                    </w:rPr>
                  </w:pPr>
                  <w:r>
                    <w:rPr>
                      <w:rStyle w:val="38"/>
                      <w:color w:val="auto"/>
                      <w:highlight w:val="none"/>
                    </w:rPr>
                    <w:t>名称</w:t>
                  </w:r>
                </w:p>
              </w:tc>
              <w:tc>
                <w:tcPr>
                  <w:tcW w:w="706" w:type="pct"/>
                  <w:gridSpan w:val="2"/>
                  <w:tcBorders>
                    <w:bottom w:val="single" w:color="000000" w:sz="4" w:space="0"/>
                  </w:tcBorders>
                  <w:vAlign w:val="center"/>
                </w:tcPr>
                <w:p>
                  <w:pPr>
                    <w:pStyle w:val="53"/>
                    <w:spacing w:before="24" w:after="24"/>
                    <w:ind w:left="1" w:firstLine="0" w:firstLineChars="0"/>
                    <w:rPr>
                      <w:rFonts w:ascii="Times New Roman"/>
                      <w:bCs w:val="0"/>
                      <w:color w:val="auto"/>
                      <w:sz w:val="21"/>
                      <w:szCs w:val="21"/>
                      <w:highlight w:val="none"/>
                    </w:rPr>
                  </w:pPr>
                  <w:r>
                    <w:rPr>
                      <w:rFonts w:ascii="Times New Roman"/>
                      <w:bCs w:val="0"/>
                      <w:color w:val="auto"/>
                      <w:sz w:val="21"/>
                      <w:szCs w:val="21"/>
                      <w:highlight w:val="none"/>
                    </w:rPr>
                    <w:t>坐标/m</w:t>
                  </w:r>
                </w:p>
              </w:tc>
              <w:tc>
                <w:tcPr>
                  <w:tcW w:w="526" w:type="pct"/>
                  <w:vMerge w:val="restart"/>
                  <w:vAlign w:val="center"/>
                </w:tcPr>
                <w:p>
                  <w:pPr>
                    <w:pStyle w:val="23"/>
                    <w:ind w:left="0" w:leftChars="0"/>
                    <w:jc w:val="center"/>
                    <w:rPr>
                      <w:rStyle w:val="38"/>
                      <w:color w:val="auto"/>
                      <w:highlight w:val="none"/>
                    </w:rPr>
                  </w:pPr>
                  <w:r>
                    <w:rPr>
                      <w:rStyle w:val="38"/>
                      <w:color w:val="auto"/>
                      <w:highlight w:val="none"/>
                    </w:rPr>
                    <w:t>保护对象</w:t>
                  </w:r>
                </w:p>
              </w:tc>
              <w:tc>
                <w:tcPr>
                  <w:tcW w:w="777" w:type="pct"/>
                  <w:vMerge w:val="restart"/>
                  <w:vAlign w:val="center"/>
                </w:tcPr>
                <w:p>
                  <w:pPr>
                    <w:pStyle w:val="23"/>
                    <w:ind w:left="0" w:leftChars="0"/>
                    <w:jc w:val="center"/>
                    <w:rPr>
                      <w:rStyle w:val="38"/>
                      <w:color w:val="auto"/>
                      <w:highlight w:val="none"/>
                    </w:rPr>
                  </w:pPr>
                  <w:r>
                    <w:rPr>
                      <w:rStyle w:val="38"/>
                      <w:color w:val="auto"/>
                      <w:highlight w:val="none"/>
                    </w:rPr>
                    <w:t>保护内容</w:t>
                  </w:r>
                </w:p>
              </w:tc>
              <w:tc>
                <w:tcPr>
                  <w:tcW w:w="627" w:type="pct"/>
                  <w:vMerge w:val="restart"/>
                  <w:vAlign w:val="center"/>
                </w:tcPr>
                <w:p>
                  <w:pPr>
                    <w:pStyle w:val="23"/>
                    <w:ind w:left="0" w:leftChars="0"/>
                    <w:jc w:val="center"/>
                    <w:rPr>
                      <w:rStyle w:val="38"/>
                      <w:color w:val="auto"/>
                      <w:highlight w:val="none"/>
                    </w:rPr>
                  </w:pPr>
                  <w:r>
                    <w:rPr>
                      <w:rStyle w:val="38"/>
                      <w:color w:val="auto"/>
                      <w:highlight w:val="none"/>
                    </w:rPr>
                    <w:t>环境功能区</w:t>
                  </w:r>
                </w:p>
              </w:tc>
              <w:tc>
                <w:tcPr>
                  <w:tcW w:w="785" w:type="pct"/>
                  <w:vMerge w:val="restart"/>
                  <w:vAlign w:val="center"/>
                </w:tcPr>
                <w:p>
                  <w:pPr>
                    <w:pStyle w:val="23"/>
                    <w:ind w:left="0" w:leftChars="0"/>
                    <w:jc w:val="center"/>
                    <w:rPr>
                      <w:rStyle w:val="38"/>
                      <w:color w:val="auto"/>
                      <w:highlight w:val="none"/>
                    </w:rPr>
                  </w:pPr>
                  <w:r>
                    <w:rPr>
                      <w:rStyle w:val="38"/>
                      <w:color w:val="auto"/>
                      <w:highlight w:val="none"/>
                    </w:rPr>
                    <w:t>相对厂址方位</w:t>
                  </w:r>
                </w:p>
              </w:tc>
              <w:tc>
                <w:tcPr>
                  <w:tcW w:w="814" w:type="pct"/>
                  <w:vMerge w:val="restart"/>
                  <w:vAlign w:val="center"/>
                </w:tcPr>
                <w:p>
                  <w:pPr>
                    <w:pStyle w:val="23"/>
                    <w:ind w:left="0" w:leftChars="0"/>
                    <w:jc w:val="center"/>
                    <w:rPr>
                      <w:rStyle w:val="38"/>
                      <w:color w:val="auto"/>
                      <w:highlight w:val="none"/>
                    </w:rPr>
                  </w:pPr>
                  <w:r>
                    <w:rPr>
                      <w:rStyle w:val="38"/>
                      <w:color w:val="auto"/>
                      <w:highlight w:val="none"/>
                    </w:rPr>
                    <w:t>相对厂界距离/m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2" w:type="pct"/>
                  <w:vMerge w:val="continue"/>
                  <w:vAlign w:val="center"/>
                </w:tcPr>
                <w:p>
                  <w:pPr>
                    <w:pStyle w:val="23"/>
                    <w:ind w:left="0" w:leftChars="0"/>
                    <w:jc w:val="center"/>
                    <w:rPr>
                      <w:rStyle w:val="38"/>
                      <w:color w:val="auto"/>
                      <w:highlight w:val="none"/>
                    </w:rPr>
                  </w:pPr>
                </w:p>
              </w:tc>
              <w:tc>
                <w:tcPr>
                  <w:tcW w:w="387" w:type="pct"/>
                  <w:tcBorders>
                    <w:top w:val="single" w:color="000000" w:sz="4" w:space="0"/>
                  </w:tcBorders>
                </w:tcPr>
                <w:p>
                  <w:pPr>
                    <w:pStyle w:val="53"/>
                    <w:spacing w:before="24" w:after="24"/>
                    <w:ind w:left="1" w:firstLine="0" w:firstLineChars="0"/>
                    <w:rPr>
                      <w:rFonts w:ascii="Times New Roman"/>
                      <w:bCs w:val="0"/>
                      <w:color w:val="auto"/>
                      <w:sz w:val="21"/>
                      <w:szCs w:val="21"/>
                      <w:highlight w:val="none"/>
                    </w:rPr>
                  </w:pPr>
                  <w:r>
                    <w:rPr>
                      <w:rFonts w:ascii="Times New Roman"/>
                      <w:bCs w:val="0"/>
                      <w:color w:val="auto"/>
                      <w:sz w:val="21"/>
                      <w:szCs w:val="21"/>
                      <w:highlight w:val="none"/>
                    </w:rPr>
                    <w:t>X</w:t>
                  </w:r>
                </w:p>
              </w:tc>
              <w:tc>
                <w:tcPr>
                  <w:tcW w:w="318" w:type="pct"/>
                  <w:tcBorders>
                    <w:top w:val="single" w:color="000000" w:sz="4" w:space="0"/>
                  </w:tcBorders>
                </w:tcPr>
                <w:p>
                  <w:pPr>
                    <w:pStyle w:val="53"/>
                    <w:spacing w:before="24" w:after="24"/>
                    <w:ind w:left="1" w:firstLine="0" w:firstLineChars="0"/>
                    <w:rPr>
                      <w:rFonts w:ascii="Times New Roman"/>
                      <w:bCs w:val="0"/>
                      <w:color w:val="auto"/>
                      <w:sz w:val="21"/>
                      <w:szCs w:val="21"/>
                      <w:highlight w:val="none"/>
                    </w:rPr>
                  </w:pPr>
                  <w:r>
                    <w:rPr>
                      <w:rFonts w:ascii="Times New Roman"/>
                      <w:bCs w:val="0"/>
                      <w:color w:val="auto"/>
                      <w:sz w:val="21"/>
                      <w:szCs w:val="21"/>
                      <w:highlight w:val="none"/>
                    </w:rPr>
                    <w:t>Y</w:t>
                  </w:r>
                </w:p>
              </w:tc>
              <w:tc>
                <w:tcPr>
                  <w:tcW w:w="526" w:type="pct"/>
                  <w:vMerge w:val="continue"/>
                  <w:vAlign w:val="center"/>
                </w:tcPr>
                <w:p>
                  <w:pPr>
                    <w:pStyle w:val="23"/>
                    <w:ind w:left="0" w:leftChars="0"/>
                    <w:jc w:val="center"/>
                    <w:rPr>
                      <w:rStyle w:val="38"/>
                      <w:color w:val="auto"/>
                      <w:highlight w:val="none"/>
                    </w:rPr>
                  </w:pPr>
                </w:p>
              </w:tc>
              <w:tc>
                <w:tcPr>
                  <w:tcW w:w="777" w:type="pct"/>
                  <w:vMerge w:val="continue"/>
                  <w:vAlign w:val="center"/>
                </w:tcPr>
                <w:p>
                  <w:pPr>
                    <w:pStyle w:val="23"/>
                    <w:ind w:left="0" w:leftChars="0"/>
                    <w:jc w:val="center"/>
                    <w:rPr>
                      <w:rStyle w:val="38"/>
                      <w:color w:val="auto"/>
                      <w:highlight w:val="none"/>
                    </w:rPr>
                  </w:pPr>
                </w:p>
              </w:tc>
              <w:tc>
                <w:tcPr>
                  <w:tcW w:w="627" w:type="pct"/>
                  <w:vMerge w:val="continue"/>
                  <w:vAlign w:val="center"/>
                </w:tcPr>
                <w:p>
                  <w:pPr>
                    <w:pStyle w:val="23"/>
                    <w:ind w:left="0" w:leftChars="0"/>
                    <w:jc w:val="center"/>
                    <w:rPr>
                      <w:rStyle w:val="38"/>
                      <w:color w:val="auto"/>
                      <w:highlight w:val="none"/>
                    </w:rPr>
                  </w:pPr>
                </w:p>
              </w:tc>
              <w:tc>
                <w:tcPr>
                  <w:tcW w:w="785" w:type="pct"/>
                  <w:vMerge w:val="continue"/>
                  <w:vAlign w:val="center"/>
                </w:tcPr>
                <w:p>
                  <w:pPr>
                    <w:pStyle w:val="23"/>
                    <w:ind w:left="0" w:leftChars="0"/>
                    <w:jc w:val="center"/>
                    <w:rPr>
                      <w:rStyle w:val="38"/>
                      <w:color w:val="auto"/>
                      <w:highlight w:val="none"/>
                    </w:rPr>
                  </w:pPr>
                </w:p>
              </w:tc>
              <w:tc>
                <w:tcPr>
                  <w:tcW w:w="814" w:type="pct"/>
                  <w:vMerge w:val="continue"/>
                  <w:vAlign w:val="center"/>
                </w:tcPr>
                <w:p>
                  <w:pPr>
                    <w:pStyle w:val="23"/>
                    <w:ind w:left="0" w:leftChars="0"/>
                    <w:jc w:val="center"/>
                    <w:rPr>
                      <w:rStyle w:val="38"/>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2" w:type="pct"/>
                  <w:vAlign w:val="center"/>
                </w:tcPr>
                <w:p>
                  <w:pPr>
                    <w:jc w:val="center"/>
                    <w:rPr>
                      <w:rStyle w:val="38"/>
                      <w:color w:val="auto"/>
                      <w:highlight w:val="none"/>
                    </w:rPr>
                  </w:pPr>
                  <w:r>
                    <w:rPr>
                      <w:color w:val="auto"/>
                      <w:kern w:val="0"/>
                      <w:szCs w:val="21"/>
                      <w:highlight w:val="none"/>
                    </w:rPr>
                    <w:t>前朝阳沟村</w:t>
                  </w:r>
                </w:p>
              </w:tc>
              <w:tc>
                <w:tcPr>
                  <w:tcW w:w="387" w:type="pct"/>
                  <w:vAlign w:val="center"/>
                </w:tcPr>
                <w:p>
                  <w:pPr>
                    <w:jc w:val="center"/>
                    <w:rPr>
                      <w:rFonts w:hint="default" w:eastAsia="宋体"/>
                      <w:color w:val="auto"/>
                      <w:kern w:val="0"/>
                      <w:szCs w:val="21"/>
                      <w:highlight w:val="none"/>
                      <w:lang w:val="en-US" w:eastAsia="zh-CN"/>
                    </w:rPr>
                  </w:pPr>
                  <w:r>
                    <w:rPr>
                      <w:color w:val="auto"/>
                      <w:kern w:val="0"/>
                      <w:szCs w:val="21"/>
                      <w:highlight w:val="none"/>
                    </w:rPr>
                    <w:t>4</w:t>
                  </w:r>
                  <w:r>
                    <w:rPr>
                      <w:rFonts w:hint="eastAsia"/>
                      <w:color w:val="auto"/>
                      <w:kern w:val="0"/>
                      <w:szCs w:val="21"/>
                      <w:highlight w:val="none"/>
                      <w:lang w:val="en-US" w:eastAsia="zh-CN"/>
                    </w:rPr>
                    <w:t>50</w:t>
                  </w:r>
                </w:p>
              </w:tc>
              <w:tc>
                <w:tcPr>
                  <w:tcW w:w="318" w:type="pct"/>
                  <w:vAlign w:val="center"/>
                </w:tcPr>
                <w:p>
                  <w:pPr>
                    <w:jc w:val="center"/>
                    <w:rPr>
                      <w:rFonts w:hint="default" w:eastAsia="宋体"/>
                      <w:color w:val="auto"/>
                      <w:kern w:val="0"/>
                      <w:szCs w:val="21"/>
                      <w:highlight w:val="none"/>
                      <w:lang w:val="en-US" w:eastAsia="zh-CN"/>
                    </w:rPr>
                  </w:pPr>
                  <w:r>
                    <w:rPr>
                      <w:color w:val="auto"/>
                      <w:kern w:val="0"/>
                      <w:szCs w:val="21"/>
                      <w:highlight w:val="none"/>
                    </w:rPr>
                    <w:t>2</w:t>
                  </w:r>
                  <w:r>
                    <w:rPr>
                      <w:rFonts w:hint="eastAsia"/>
                      <w:color w:val="auto"/>
                      <w:kern w:val="0"/>
                      <w:szCs w:val="21"/>
                      <w:highlight w:val="none"/>
                      <w:lang w:val="en-US" w:eastAsia="zh-CN"/>
                    </w:rPr>
                    <w:t>30</w:t>
                  </w:r>
                </w:p>
              </w:tc>
              <w:tc>
                <w:tcPr>
                  <w:tcW w:w="526" w:type="pct"/>
                  <w:vAlign w:val="center"/>
                </w:tcPr>
                <w:p>
                  <w:pPr>
                    <w:jc w:val="center"/>
                    <w:rPr>
                      <w:rStyle w:val="38"/>
                      <w:color w:val="auto"/>
                      <w:highlight w:val="none"/>
                    </w:rPr>
                  </w:pPr>
                  <w:r>
                    <w:rPr>
                      <w:color w:val="auto"/>
                      <w:szCs w:val="21"/>
                      <w:highlight w:val="none"/>
                    </w:rPr>
                    <w:t>居民</w:t>
                  </w:r>
                </w:p>
              </w:tc>
              <w:tc>
                <w:tcPr>
                  <w:tcW w:w="777" w:type="pct"/>
                  <w:vAlign w:val="center"/>
                </w:tcPr>
                <w:p>
                  <w:pPr>
                    <w:jc w:val="center"/>
                    <w:rPr>
                      <w:rStyle w:val="38"/>
                      <w:color w:val="auto"/>
                      <w:highlight w:val="none"/>
                    </w:rPr>
                  </w:pPr>
                  <w:r>
                    <w:rPr>
                      <w:color w:val="auto"/>
                      <w:szCs w:val="21"/>
                      <w:highlight w:val="none"/>
                    </w:rPr>
                    <w:t>约150人</w:t>
                  </w:r>
                </w:p>
              </w:tc>
              <w:tc>
                <w:tcPr>
                  <w:tcW w:w="627" w:type="pct"/>
                  <w:vAlign w:val="center"/>
                </w:tcPr>
                <w:p>
                  <w:pPr>
                    <w:pStyle w:val="23"/>
                    <w:ind w:left="0" w:leftChars="0"/>
                    <w:jc w:val="center"/>
                    <w:rPr>
                      <w:rStyle w:val="38"/>
                      <w:color w:val="auto"/>
                      <w:highlight w:val="none"/>
                    </w:rPr>
                  </w:pPr>
                  <w:r>
                    <w:rPr>
                      <w:color w:val="auto"/>
                      <w:szCs w:val="21"/>
                      <w:highlight w:val="none"/>
                    </w:rPr>
                    <w:t>二类区</w:t>
                  </w:r>
                </w:p>
              </w:tc>
              <w:tc>
                <w:tcPr>
                  <w:tcW w:w="785" w:type="pct"/>
                  <w:vAlign w:val="center"/>
                </w:tcPr>
                <w:p>
                  <w:pPr>
                    <w:jc w:val="center"/>
                    <w:rPr>
                      <w:rStyle w:val="38"/>
                      <w:color w:val="auto"/>
                      <w:highlight w:val="none"/>
                    </w:rPr>
                  </w:pPr>
                  <w:r>
                    <w:rPr>
                      <w:color w:val="auto"/>
                      <w:szCs w:val="21"/>
                      <w:highlight w:val="none"/>
                    </w:rPr>
                    <w:t>东北</w:t>
                  </w:r>
                </w:p>
              </w:tc>
              <w:tc>
                <w:tcPr>
                  <w:tcW w:w="814" w:type="pct"/>
                  <w:vAlign w:val="center"/>
                </w:tcPr>
                <w:p>
                  <w:pPr>
                    <w:jc w:val="center"/>
                    <w:rPr>
                      <w:color w:val="auto"/>
                      <w:szCs w:val="21"/>
                      <w:highlight w:val="none"/>
                    </w:rPr>
                  </w:pPr>
                  <w:r>
                    <w:rPr>
                      <w:color w:val="auto"/>
                      <w:szCs w:val="21"/>
                      <w:highlight w:val="none"/>
                    </w:rPr>
                    <w:t>4</w:t>
                  </w:r>
                  <w:r>
                    <w:rPr>
                      <w:rFonts w:hint="eastAsia"/>
                      <w:color w:val="auto"/>
                      <w:szCs w:val="21"/>
                      <w:highlight w:val="none"/>
                      <w:lang w:val="en-US" w:eastAsia="zh-CN"/>
                    </w:rPr>
                    <w:t>87</w:t>
                  </w:r>
                  <w:r>
                    <w:rPr>
                      <w:color w:val="auto"/>
                      <w:szCs w:val="21"/>
                      <w:highlight w:val="none"/>
                    </w:rPr>
                    <w:t>m</w:t>
                  </w:r>
                </w:p>
              </w:tc>
            </w:tr>
          </w:tbl>
          <w:p>
            <w:pPr>
              <w:spacing w:line="240" w:lineRule="auto"/>
              <w:ind w:firstLine="482" w:firstLineChars="200"/>
              <w:rPr>
                <w:b/>
                <w:bCs/>
                <w:color w:val="auto"/>
                <w:sz w:val="24"/>
                <w:highlight w:val="none"/>
              </w:rPr>
            </w:pPr>
          </w:p>
          <w:p>
            <w:pPr>
              <w:spacing w:line="360" w:lineRule="auto"/>
              <w:ind w:firstLine="482" w:firstLineChars="200"/>
              <w:rPr>
                <w:b/>
                <w:bCs/>
                <w:color w:val="auto"/>
                <w:sz w:val="24"/>
                <w:highlight w:val="none"/>
              </w:rPr>
            </w:pPr>
            <w:r>
              <w:rPr>
                <w:b/>
                <w:bCs/>
                <w:color w:val="auto"/>
                <w:sz w:val="24"/>
                <w:highlight w:val="none"/>
              </w:rPr>
              <w:t>2.声环境</w:t>
            </w:r>
          </w:p>
          <w:p>
            <w:pPr>
              <w:spacing w:line="360" w:lineRule="auto"/>
              <w:ind w:firstLine="480" w:firstLineChars="200"/>
              <w:rPr>
                <w:color w:val="auto"/>
                <w:sz w:val="24"/>
                <w:highlight w:val="none"/>
              </w:rPr>
            </w:pPr>
            <w:r>
              <w:rPr>
                <w:color w:val="auto"/>
                <w:sz w:val="24"/>
                <w:highlight w:val="none"/>
              </w:rPr>
              <w:t>经调查，项目厂界外50m范围内无声环境保护目标。</w:t>
            </w:r>
          </w:p>
          <w:p>
            <w:pPr>
              <w:spacing w:line="360" w:lineRule="auto"/>
              <w:ind w:firstLine="482" w:firstLineChars="200"/>
              <w:rPr>
                <w:b/>
                <w:bCs/>
                <w:color w:val="auto"/>
                <w:sz w:val="24"/>
                <w:highlight w:val="none"/>
              </w:rPr>
            </w:pPr>
            <w:r>
              <w:rPr>
                <w:b/>
                <w:bCs/>
                <w:color w:val="auto"/>
                <w:sz w:val="24"/>
                <w:highlight w:val="none"/>
              </w:rPr>
              <w:t>3.地下水环境</w:t>
            </w:r>
          </w:p>
          <w:p>
            <w:pPr>
              <w:spacing w:line="360" w:lineRule="auto"/>
              <w:ind w:firstLine="480" w:firstLineChars="200"/>
              <w:rPr>
                <w:color w:val="auto"/>
                <w:sz w:val="24"/>
                <w:highlight w:val="none"/>
              </w:rPr>
            </w:pPr>
            <w:r>
              <w:rPr>
                <w:color w:val="auto"/>
                <w:sz w:val="24"/>
                <w:highlight w:val="none"/>
              </w:rPr>
              <w:t>项目厂界外500m范围内无地下水集中式饮用水水源和热水、矿泉水、温泉等特殊地下水资源。</w:t>
            </w:r>
          </w:p>
          <w:p>
            <w:pPr>
              <w:spacing w:line="360" w:lineRule="auto"/>
              <w:ind w:firstLine="482" w:firstLineChars="200"/>
              <w:rPr>
                <w:b/>
                <w:bCs/>
                <w:color w:val="auto"/>
                <w:sz w:val="24"/>
                <w:highlight w:val="none"/>
              </w:rPr>
            </w:pPr>
            <w:r>
              <w:rPr>
                <w:b/>
                <w:bCs/>
                <w:color w:val="auto"/>
                <w:sz w:val="24"/>
                <w:highlight w:val="none"/>
              </w:rPr>
              <w:t>4.地表水环境</w:t>
            </w:r>
          </w:p>
          <w:p>
            <w:pPr>
              <w:spacing w:line="360" w:lineRule="auto"/>
              <w:ind w:firstLine="480" w:firstLineChars="200"/>
              <w:rPr>
                <w:color w:val="auto"/>
                <w:sz w:val="24"/>
                <w:highlight w:val="none"/>
              </w:rPr>
            </w:pPr>
            <w:r>
              <w:rPr>
                <w:color w:val="auto"/>
                <w:sz w:val="24"/>
                <w:highlight w:val="none"/>
              </w:rPr>
              <w:t>项目周边无饮用水水源保护区、饮用水取水口，涉水的自然保护区、风景名胜区，重要湿地、重点保护与珍稀水生生物的栖息地、重要水生生物的自然产卵场及索饵场、越冬场和洄游通道，天然渔场等渔业水体，以及水产种质资源保护区等水环境保护目标。</w:t>
            </w:r>
          </w:p>
          <w:p>
            <w:pPr>
              <w:spacing w:line="360" w:lineRule="auto"/>
              <w:ind w:firstLine="482" w:firstLineChars="200"/>
              <w:rPr>
                <w:b/>
                <w:bCs/>
                <w:color w:val="auto"/>
                <w:sz w:val="24"/>
                <w:highlight w:val="none"/>
              </w:rPr>
            </w:pPr>
            <w:r>
              <w:rPr>
                <w:b/>
                <w:bCs/>
                <w:color w:val="auto"/>
                <w:sz w:val="24"/>
                <w:highlight w:val="none"/>
              </w:rPr>
              <w:t>5.生态环境</w:t>
            </w:r>
          </w:p>
          <w:p>
            <w:pPr>
              <w:spacing w:line="360" w:lineRule="auto"/>
              <w:ind w:firstLine="480" w:firstLineChars="200"/>
              <w:rPr>
                <w:color w:val="auto"/>
                <w:sz w:val="24"/>
                <w:highlight w:val="none"/>
              </w:rPr>
            </w:pPr>
            <w:r>
              <w:rPr>
                <w:color w:val="auto"/>
                <w:sz w:val="24"/>
                <w:highlight w:val="none"/>
              </w:rPr>
              <w:t>项目位于园区内，</w:t>
            </w:r>
            <w:r>
              <w:rPr>
                <w:rFonts w:hint="eastAsia"/>
                <w:color w:val="auto"/>
                <w:sz w:val="24"/>
                <w:highlight w:val="none"/>
                <w:lang w:eastAsia="zh-CN"/>
              </w:rPr>
              <w:t>利用现有厂房内现产品存储区扩建项目，</w:t>
            </w:r>
            <w:r>
              <w:rPr>
                <w:color w:val="auto"/>
                <w:sz w:val="24"/>
                <w:highlight w:val="none"/>
              </w:rPr>
              <w:t>厂区外周边无生态环境保护目标</w:t>
            </w:r>
            <w:r>
              <w:rPr>
                <w:rFonts w:hint="eastAsia"/>
                <w:color w:val="auto"/>
                <w:sz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4" w:hRule="atLeast"/>
          <w:jc w:val="center"/>
        </w:trPr>
        <w:tc>
          <w:tcPr>
            <w:tcW w:w="453" w:type="dxa"/>
            <w:tcMar>
              <w:left w:w="28" w:type="dxa"/>
              <w:right w:w="28" w:type="dxa"/>
            </w:tcMar>
            <w:vAlign w:val="center"/>
          </w:tcPr>
          <w:p>
            <w:pPr>
              <w:adjustRightInd w:val="0"/>
              <w:snapToGrid w:val="0"/>
              <w:jc w:val="center"/>
              <w:rPr>
                <w:b/>
                <w:bCs/>
                <w:color w:val="auto"/>
                <w:kern w:val="0"/>
                <w:sz w:val="24"/>
                <w:highlight w:val="none"/>
              </w:rPr>
            </w:pPr>
            <w:r>
              <w:rPr>
                <w:b/>
                <w:bCs/>
                <w:color w:val="auto"/>
                <w:kern w:val="0"/>
                <w:sz w:val="24"/>
                <w:highlight w:val="none"/>
              </w:rPr>
              <w:t>污染</w:t>
            </w:r>
          </w:p>
          <w:p>
            <w:pPr>
              <w:adjustRightInd w:val="0"/>
              <w:snapToGrid w:val="0"/>
              <w:jc w:val="center"/>
              <w:rPr>
                <w:b/>
                <w:bCs/>
                <w:color w:val="auto"/>
                <w:kern w:val="0"/>
                <w:sz w:val="24"/>
                <w:highlight w:val="none"/>
              </w:rPr>
            </w:pPr>
            <w:r>
              <w:rPr>
                <w:b/>
                <w:bCs/>
                <w:color w:val="auto"/>
                <w:kern w:val="0"/>
                <w:sz w:val="24"/>
                <w:highlight w:val="none"/>
              </w:rPr>
              <w:t>物排</w:t>
            </w:r>
          </w:p>
          <w:p>
            <w:pPr>
              <w:adjustRightInd w:val="0"/>
              <w:snapToGrid w:val="0"/>
              <w:jc w:val="center"/>
              <w:rPr>
                <w:b/>
                <w:bCs/>
                <w:color w:val="auto"/>
                <w:kern w:val="0"/>
                <w:sz w:val="24"/>
                <w:highlight w:val="none"/>
              </w:rPr>
            </w:pPr>
            <w:r>
              <w:rPr>
                <w:b/>
                <w:bCs/>
                <w:color w:val="auto"/>
                <w:kern w:val="0"/>
                <w:sz w:val="24"/>
                <w:highlight w:val="none"/>
              </w:rPr>
              <w:t>放控</w:t>
            </w:r>
          </w:p>
          <w:p>
            <w:pPr>
              <w:adjustRightInd w:val="0"/>
              <w:snapToGrid w:val="0"/>
              <w:jc w:val="center"/>
              <w:rPr>
                <w:b/>
                <w:bCs/>
                <w:color w:val="auto"/>
                <w:kern w:val="0"/>
                <w:sz w:val="24"/>
                <w:highlight w:val="none"/>
              </w:rPr>
            </w:pPr>
            <w:r>
              <w:rPr>
                <w:b/>
                <w:bCs/>
                <w:color w:val="auto"/>
                <w:kern w:val="0"/>
                <w:sz w:val="24"/>
                <w:highlight w:val="none"/>
              </w:rPr>
              <w:t>制标</w:t>
            </w:r>
          </w:p>
          <w:p>
            <w:pPr>
              <w:adjustRightInd w:val="0"/>
              <w:snapToGrid w:val="0"/>
              <w:jc w:val="center"/>
              <w:rPr>
                <w:color w:val="auto"/>
                <w:kern w:val="0"/>
                <w:sz w:val="24"/>
                <w:highlight w:val="none"/>
              </w:rPr>
            </w:pPr>
            <w:r>
              <w:rPr>
                <w:b/>
                <w:bCs/>
                <w:color w:val="auto"/>
                <w:kern w:val="0"/>
                <w:sz w:val="24"/>
                <w:highlight w:val="none"/>
              </w:rPr>
              <w:t>准</w:t>
            </w:r>
          </w:p>
        </w:tc>
        <w:tc>
          <w:tcPr>
            <w:tcW w:w="8608" w:type="dxa"/>
            <w:vAlign w:val="center"/>
          </w:tcPr>
          <w:p>
            <w:pPr>
              <w:spacing w:line="360" w:lineRule="auto"/>
              <w:ind w:firstLine="482" w:firstLineChars="200"/>
              <w:rPr>
                <w:b/>
                <w:bCs/>
                <w:color w:val="auto"/>
                <w:sz w:val="24"/>
                <w:highlight w:val="none"/>
              </w:rPr>
            </w:pPr>
            <w:r>
              <w:rPr>
                <w:b/>
                <w:bCs/>
                <w:color w:val="auto"/>
                <w:sz w:val="24"/>
                <w:highlight w:val="none"/>
              </w:rPr>
              <w:t>1.废气排放标准</w:t>
            </w:r>
          </w:p>
          <w:p>
            <w:pPr>
              <w:pStyle w:val="62"/>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1）有机废气</w:t>
            </w:r>
          </w:p>
          <w:p>
            <w:pPr>
              <w:pStyle w:val="62"/>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default" w:ascii="Times New Roman" w:hAnsi="Times New Roman"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本</w:t>
            </w:r>
            <w:r>
              <w:rPr>
                <w:rFonts w:hint="eastAsia" w:cs="Times New Roman"/>
                <w:color w:val="auto"/>
                <w:sz w:val="24"/>
                <w:szCs w:val="24"/>
                <w:highlight w:val="none"/>
                <w:lang w:val="en-US" w:eastAsia="zh-CN"/>
              </w:rPr>
              <w:t>项目有机废气主要为</w:t>
            </w:r>
            <w:r>
              <w:rPr>
                <w:rFonts w:hint="default" w:ascii="Times New Roman" w:hAnsi="Times New Roman" w:cs="Times New Roman"/>
                <w:color w:val="auto"/>
                <w:sz w:val="24"/>
                <w:szCs w:val="24"/>
                <w:highlight w:val="none"/>
                <w:lang w:val="en-US" w:eastAsia="zh-CN"/>
              </w:rPr>
              <w:t>注塑废气（G1）、模具清洗废气（G3）、防锈剂喷涂废气（G4）</w:t>
            </w:r>
            <w:r>
              <w:rPr>
                <w:rFonts w:hint="default" w:ascii="Times New Roman" w:hAnsi="Times New Roman" w:cs="Times New Roman"/>
                <w:b w:val="0"/>
                <w:bCs w:val="0"/>
                <w:i w:val="0"/>
                <w:iCs w:val="0"/>
                <w:color w:val="auto"/>
                <w:sz w:val="24"/>
                <w:szCs w:val="24"/>
                <w:highlight w:val="none"/>
                <w:u w:val="none"/>
                <w:shd w:val="clear" w:color="auto" w:fill="auto"/>
                <w:lang w:val="en-US" w:eastAsia="zh-CN"/>
              </w:rPr>
              <w:t>。</w:t>
            </w:r>
            <w:r>
              <w:rPr>
                <w:rFonts w:hint="default" w:ascii="Times New Roman" w:hAnsi="Times New Roman" w:eastAsia="宋体" w:cs="Times New Roman"/>
                <w:color w:val="auto"/>
                <w:sz w:val="24"/>
                <w:szCs w:val="24"/>
                <w:highlight w:val="none"/>
              </w:rPr>
              <w:t>非甲烷总烃执行《合成树脂工业污染物排放标准》</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GB31572-2015</w:t>
            </w:r>
            <w:r>
              <w:rPr>
                <w:rFonts w:hint="default" w:ascii="Times New Roman" w:hAnsi="Times New Roman" w:eastAsia="宋体" w:cs="Times New Roman"/>
                <w:color w:val="auto"/>
                <w:sz w:val="24"/>
                <w:szCs w:val="24"/>
                <w:highlight w:val="none"/>
                <w:lang w:eastAsia="zh-CN"/>
              </w:rPr>
              <w:t>）中</w:t>
            </w:r>
            <w:r>
              <w:rPr>
                <w:rFonts w:hint="default" w:ascii="Times New Roman" w:hAnsi="Times New Roman" w:eastAsia="宋体" w:cs="Times New Roman"/>
                <w:color w:val="auto"/>
                <w:sz w:val="24"/>
                <w:szCs w:val="24"/>
                <w:highlight w:val="none"/>
              </w:rPr>
              <w:t>表</w:t>
            </w:r>
            <w:r>
              <w:rPr>
                <w:rFonts w:hint="default" w:ascii="Times New Roman" w:hAnsi="Times New Roman" w:eastAsia="宋体" w:cs="Times New Roman"/>
                <w:color w:val="auto"/>
                <w:sz w:val="24"/>
                <w:szCs w:val="24"/>
                <w:highlight w:val="none"/>
                <w:lang w:val="en-US" w:eastAsia="zh-CN"/>
              </w:rPr>
              <w:t>5大气污染物特别排放限值</w:t>
            </w:r>
            <w:r>
              <w:rPr>
                <w:rFonts w:hint="default" w:ascii="Times New Roman" w:hAnsi="Times New Roman" w:cs="Times New Roman"/>
                <w:color w:val="auto"/>
                <w:sz w:val="24"/>
                <w:szCs w:val="24"/>
                <w:highlight w:val="none"/>
                <w:lang w:eastAsia="zh-CN"/>
              </w:rPr>
              <w:t>要求</w:t>
            </w:r>
            <w:r>
              <w:rPr>
                <w:rFonts w:hint="eastAsia" w:cs="Times New Roman"/>
                <w:color w:val="auto"/>
                <w:sz w:val="24"/>
                <w:szCs w:val="24"/>
                <w:highlight w:val="none"/>
                <w:lang w:val="en-US" w:eastAsia="zh-CN"/>
              </w:rPr>
              <w:t>，</w:t>
            </w:r>
            <w:r>
              <w:rPr>
                <w:rFonts w:hint="default" w:ascii="Times New Roman" w:hAnsi="Times New Roman" w:cs="Times New Roman"/>
                <w:color w:val="auto"/>
                <w:sz w:val="24"/>
                <w:szCs w:val="24"/>
                <w:highlight w:val="none"/>
                <w:lang w:val="en-US" w:eastAsia="zh-CN"/>
              </w:rPr>
              <w:t>执行标准详见</w:t>
            </w:r>
            <w:r>
              <w:rPr>
                <w:rFonts w:hint="eastAsia" w:cs="Times New Roman"/>
                <w:color w:val="auto"/>
                <w:sz w:val="24"/>
                <w:szCs w:val="24"/>
                <w:highlight w:val="none"/>
                <w:lang w:val="en-US" w:eastAsia="zh-CN"/>
              </w:rPr>
              <w:t>下表</w:t>
            </w:r>
            <w:r>
              <w:rPr>
                <w:rFonts w:hint="default" w:ascii="Times New Roman" w:hAnsi="Times New Roman" w:cs="Times New Roman"/>
                <w:color w:val="auto"/>
                <w:sz w:val="24"/>
                <w:szCs w:val="24"/>
                <w:highlight w:val="none"/>
                <w:lang w:eastAsia="zh-CN"/>
              </w:rPr>
              <w:t>。</w:t>
            </w:r>
          </w:p>
          <w:p>
            <w:pPr>
              <w:adjustRightInd/>
              <w:snapToGrid/>
              <w:spacing w:after="0"/>
              <w:jc w:val="center"/>
              <w:rPr>
                <w:rFonts w:hint="default" w:ascii="Times New Roman" w:hAnsi="Times New Roman" w:eastAsia="宋体" w:cs="Times New Roman"/>
                <w:b/>
                <w:color w:val="auto"/>
                <w:sz w:val="24"/>
                <w:szCs w:val="24"/>
                <w:highlight w:val="none"/>
                <w:lang w:val="zh-CN"/>
              </w:rPr>
            </w:pPr>
            <w:r>
              <w:rPr>
                <w:rFonts w:hint="default" w:ascii="Times New Roman" w:hAnsi="Times New Roman" w:eastAsia="宋体" w:cs="Times New Roman"/>
                <w:b/>
                <w:color w:val="auto"/>
                <w:sz w:val="24"/>
                <w:szCs w:val="24"/>
                <w:highlight w:val="none"/>
                <w:lang w:val="zh-CN"/>
              </w:rPr>
              <w:t>表</w:t>
            </w:r>
            <w:r>
              <w:rPr>
                <w:rFonts w:hint="eastAsia" w:cs="Times New Roman"/>
                <w:b/>
                <w:color w:val="auto"/>
                <w:sz w:val="24"/>
                <w:szCs w:val="24"/>
                <w:highlight w:val="none"/>
                <w:lang w:val="en-US" w:eastAsia="zh-CN"/>
              </w:rPr>
              <w:t>3-7</w:t>
            </w:r>
            <w:r>
              <w:rPr>
                <w:rFonts w:hint="default" w:ascii="Times New Roman" w:hAnsi="Times New Roman" w:eastAsia="宋体" w:cs="Times New Roman"/>
                <w:b/>
                <w:color w:val="auto"/>
                <w:sz w:val="24"/>
                <w:szCs w:val="24"/>
                <w:highlight w:val="none"/>
              </w:rPr>
              <w:t xml:space="preserve">   </w:t>
            </w:r>
            <w:r>
              <w:rPr>
                <w:rFonts w:hint="eastAsia" w:cs="Times New Roman"/>
                <w:b/>
                <w:color w:val="auto"/>
                <w:sz w:val="24"/>
                <w:szCs w:val="24"/>
                <w:highlight w:val="none"/>
                <w:lang w:val="en-US" w:eastAsia="zh-CN"/>
              </w:rPr>
              <w:t>有机废气</w:t>
            </w:r>
            <w:r>
              <w:rPr>
                <w:rFonts w:hint="default" w:ascii="Times New Roman" w:hAnsi="Times New Roman" w:eastAsia="宋体" w:cs="Times New Roman"/>
                <w:b/>
                <w:color w:val="auto"/>
                <w:sz w:val="24"/>
                <w:szCs w:val="24"/>
                <w:highlight w:val="none"/>
                <w:lang w:val="zh-CN"/>
              </w:rPr>
              <w:t>污染物排放标准</w:t>
            </w:r>
          </w:p>
          <w:tbl>
            <w:tblPr>
              <w:tblStyle w:val="31"/>
              <w:tblW w:w="840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342"/>
              <w:gridCol w:w="1290"/>
              <w:gridCol w:w="48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968" w:type="dxa"/>
                  <w:tcBorders>
                    <w:tl2br w:val="nil"/>
                    <w:tr2bl w:val="nil"/>
                  </w:tcBorders>
                  <w:noWrap w:val="0"/>
                  <w:vAlign w:val="center"/>
                </w:tcPr>
                <w:p>
                  <w:pPr>
                    <w:adjustRightInd/>
                    <w:snapToGrid/>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污染物</w:t>
                  </w:r>
                </w:p>
              </w:tc>
              <w:tc>
                <w:tcPr>
                  <w:tcW w:w="1342" w:type="dxa"/>
                  <w:tcBorders>
                    <w:tl2br w:val="nil"/>
                    <w:tr2bl w:val="nil"/>
                  </w:tcBorders>
                  <w:noWrap w:val="0"/>
                  <w:vAlign w:val="center"/>
                </w:tcPr>
                <w:p>
                  <w:pPr>
                    <w:adjustRightInd/>
                    <w:snapToGrid/>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特别</w:t>
                  </w:r>
                  <w:r>
                    <w:rPr>
                      <w:rFonts w:hint="default" w:ascii="Times New Roman" w:hAnsi="Times New Roman" w:eastAsia="宋体" w:cs="Times New Roman"/>
                      <w:color w:val="auto"/>
                      <w:sz w:val="21"/>
                      <w:szCs w:val="21"/>
                      <w:highlight w:val="none"/>
                    </w:rPr>
                    <w:t>排放限值（mg/m</w:t>
                  </w:r>
                  <w:r>
                    <w:rPr>
                      <w:rFonts w:hint="default" w:ascii="Times New Roman" w:hAnsi="Times New Roman" w:eastAsia="宋体" w:cs="Times New Roman"/>
                      <w:color w:val="auto"/>
                      <w:sz w:val="21"/>
                      <w:szCs w:val="21"/>
                      <w:highlight w:val="none"/>
                      <w:vertAlign w:val="superscript"/>
                    </w:rPr>
                    <w:t>3</w:t>
                  </w:r>
                  <w:r>
                    <w:rPr>
                      <w:rFonts w:hint="default" w:ascii="Times New Roman" w:hAnsi="Times New Roman" w:eastAsia="宋体" w:cs="Times New Roman"/>
                      <w:color w:val="auto"/>
                      <w:sz w:val="21"/>
                      <w:szCs w:val="21"/>
                      <w:highlight w:val="none"/>
                    </w:rPr>
                    <w:t>）</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cs="Times New Roman"/>
                      <w:i w:val="0"/>
                      <w:iCs w:val="0"/>
                      <w:color w:val="auto"/>
                      <w:sz w:val="21"/>
                      <w:szCs w:val="21"/>
                      <w:highlight w:val="none"/>
                      <w:shd w:val="clear" w:color="auto" w:fill="auto"/>
                      <w:vertAlign w:val="baseline"/>
                      <w:lang w:val="en-US" w:eastAsia="zh-CN"/>
                    </w:rPr>
                    <w:t>污染物排放监控位置</w:t>
                  </w:r>
                </w:p>
              </w:tc>
              <w:tc>
                <w:tcPr>
                  <w:tcW w:w="4801" w:type="dxa"/>
                  <w:tcBorders>
                    <w:tl2br w:val="nil"/>
                    <w:tr2bl w:val="nil"/>
                  </w:tcBorders>
                  <w:noWrap w:val="0"/>
                  <w:vAlign w:val="center"/>
                </w:tcPr>
                <w:p>
                  <w:pPr>
                    <w:adjustRightInd/>
                    <w:snapToGrid/>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968" w:type="dxa"/>
                  <w:tcBorders>
                    <w:tl2br w:val="nil"/>
                    <w:tr2bl w:val="nil"/>
                  </w:tcBorders>
                  <w:noWrap w:val="0"/>
                  <w:vAlign w:val="center"/>
                </w:tcPr>
                <w:p>
                  <w:pPr>
                    <w:adjustRightInd/>
                    <w:snapToGrid/>
                    <w:spacing w:after="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NMHC</w:t>
                  </w:r>
                </w:p>
              </w:tc>
              <w:tc>
                <w:tcPr>
                  <w:tcW w:w="1342" w:type="dxa"/>
                  <w:tcBorders>
                    <w:tl2br w:val="nil"/>
                    <w:tr2bl w:val="nil"/>
                  </w:tcBorders>
                  <w:noWrap w:val="0"/>
                  <w:vAlign w:val="center"/>
                </w:tcPr>
                <w:p>
                  <w:pPr>
                    <w:adjustRightInd/>
                    <w:snapToGrid/>
                    <w:spacing w:after="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60</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cs="Times New Roman"/>
                      <w:i w:val="0"/>
                      <w:iCs w:val="0"/>
                      <w:color w:val="auto"/>
                      <w:sz w:val="21"/>
                      <w:szCs w:val="21"/>
                      <w:highlight w:val="none"/>
                      <w:shd w:val="clear" w:color="auto" w:fill="auto"/>
                      <w:vertAlign w:val="baseline"/>
                      <w:lang w:val="en-US" w:eastAsia="zh-CN"/>
                    </w:rPr>
                    <w:t>车间或生产设施排气筒</w:t>
                  </w:r>
                </w:p>
              </w:tc>
              <w:tc>
                <w:tcPr>
                  <w:tcW w:w="4801" w:type="dxa"/>
                  <w:tcBorders>
                    <w:tl2br w:val="nil"/>
                    <w:tr2bl w:val="nil"/>
                  </w:tcBorders>
                  <w:noWrap w:val="0"/>
                  <w:vAlign w:val="center"/>
                </w:tcPr>
                <w:p>
                  <w:pPr>
                    <w:adjustRightInd/>
                    <w:snapToGrid/>
                    <w:spacing w:after="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《合成树脂工业污染物排放标准》</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GB31572-2015</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表</w:t>
                  </w:r>
                  <w:r>
                    <w:rPr>
                      <w:rFonts w:hint="default" w:ascii="Times New Roman" w:hAnsi="Times New Roman" w:eastAsia="宋体" w:cs="Times New Roman"/>
                      <w:color w:val="auto"/>
                      <w:sz w:val="21"/>
                      <w:szCs w:val="21"/>
                      <w:highlight w:val="none"/>
                      <w:lang w:eastAsia="zh-CN"/>
                    </w:rPr>
                    <w:t>5</w:t>
                  </w:r>
                  <w:r>
                    <w:rPr>
                      <w:rFonts w:hint="default" w:ascii="Times New Roman" w:hAnsi="Times New Roman" w:eastAsia="宋体" w:cs="Times New Roman"/>
                      <w:color w:val="auto"/>
                      <w:sz w:val="21"/>
                      <w:szCs w:val="21"/>
                      <w:highlight w:val="none"/>
                    </w:rPr>
                    <w:t>排放标准</w:t>
                  </w:r>
                </w:p>
              </w:tc>
            </w:tr>
          </w:tbl>
          <w:p>
            <w:pPr>
              <w:spacing w:line="240" w:lineRule="auto"/>
              <w:ind w:firstLine="440" w:firstLineChars="200"/>
              <w:rPr>
                <w:rFonts w:hint="eastAsia"/>
                <w:color w:val="auto"/>
                <w:sz w:val="22"/>
                <w:szCs w:val="22"/>
                <w:highlight w:val="none"/>
                <w:lang w:val="en-US" w:eastAsia="zh-CN"/>
              </w:rPr>
            </w:pPr>
          </w:p>
          <w:p>
            <w:pPr>
              <w:spacing w:line="360" w:lineRule="auto"/>
              <w:ind w:firstLine="480" w:firstLineChars="200"/>
              <w:rPr>
                <w:rFonts w:hint="default" w:ascii="Times New Roman" w:hAnsi="Times New Roman" w:cs="Times New Roman"/>
                <w:i w:val="0"/>
                <w:iCs w:val="0"/>
                <w:color w:val="auto"/>
                <w:sz w:val="24"/>
                <w:highlight w:val="none"/>
                <w:u w:val="none"/>
                <w:shd w:val="clear" w:color="auto" w:fill="auto"/>
              </w:rPr>
            </w:pPr>
            <w:r>
              <w:rPr>
                <w:rFonts w:hint="default" w:ascii="Times New Roman" w:hAnsi="Times New Roman" w:cs="Times New Roman"/>
                <w:i w:val="0"/>
                <w:iCs w:val="0"/>
                <w:color w:val="auto"/>
                <w:sz w:val="24"/>
                <w:highlight w:val="none"/>
                <w:u w:val="none"/>
                <w:shd w:val="clear" w:color="auto" w:fill="auto"/>
                <w:lang w:val="en-US" w:eastAsia="zh-CN"/>
              </w:rPr>
              <w:t>厂区内NMHC执行《挥发性有机物无组织排放控制标准》（GB37822-2019）中无组织特别排放限值，厂界无组织NMHC执行</w:t>
            </w:r>
            <w:r>
              <w:rPr>
                <w:rFonts w:hint="default" w:ascii="Times New Roman" w:hAnsi="Times New Roman" w:eastAsia="宋体" w:cs="Times New Roman"/>
                <w:color w:val="auto"/>
                <w:sz w:val="24"/>
                <w:szCs w:val="24"/>
                <w:highlight w:val="none"/>
              </w:rPr>
              <w:t>《合成树脂工业污染物排放标准》</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GB31572-2015</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cs="Times New Roman"/>
                <w:i w:val="0"/>
                <w:iCs w:val="0"/>
                <w:color w:val="auto"/>
                <w:sz w:val="24"/>
                <w:highlight w:val="none"/>
                <w:u w:val="none"/>
                <w:shd w:val="clear" w:color="auto" w:fill="auto"/>
                <w:lang w:val="en-US" w:eastAsia="zh-CN"/>
              </w:rPr>
              <w:t>中企业边界大气污染物浓度限值</w:t>
            </w:r>
            <w:r>
              <w:rPr>
                <w:rFonts w:hint="default" w:ascii="Times New Roman" w:hAnsi="Times New Roman" w:cs="Times New Roman"/>
                <w:i w:val="0"/>
                <w:iCs w:val="0"/>
                <w:color w:val="auto"/>
                <w:sz w:val="24"/>
                <w:highlight w:val="none"/>
                <w:shd w:val="clear" w:color="auto" w:fill="auto"/>
                <w:lang w:val="en-US" w:eastAsia="zh-CN"/>
              </w:rPr>
              <w:t>。</w:t>
            </w:r>
            <w:r>
              <w:rPr>
                <w:rFonts w:hint="default" w:ascii="Times New Roman" w:hAnsi="Times New Roman" w:cs="Times New Roman"/>
                <w:i w:val="0"/>
                <w:iCs w:val="0"/>
                <w:color w:val="auto"/>
                <w:sz w:val="24"/>
                <w:highlight w:val="none"/>
                <w:u w:val="none"/>
                <w:shd w:val="clear" w:color="auto" w:fill="auto"/>
                <w:lang w:val="en-US" w:eastAsia="zh-CN"/>
              </w:rPr>
              <w:t>执行标准详</w:t>
            </w:r>
            <w:r>
              <w:rPr>
                <w:rFonts w:hint="default" w:ascii="Times New Roman" w:hAnsi="Times New Roman" w:cs="Times New Roman"/>
                <w:i w:val="0"/>
                <w:iCs w:val="0"/>
                <w:color w:val="auto"/>
                <w:sz w:val="24"/>
                <w:highlight w:val="none"/>
                <w:u w:val="none"/>
                <w:shd w:val="clear" w:color="auto" w:fill="auto"/>
              </w:rPr>
              <w:t>见表</w:t>
            </w:r>
            <w:r>
              <w:rPr>
                <w:rFonts w:hint="eastAsia" w:ascii="Times New Roman" w:hAnsi="Times New Roman" w:cs="Times New Roman"/>
                <w:i w:val="0"/>
                <w:iCs w:val="0"/>
                <w:color w:val="auto"/>
                <w:sz w:val="24"/>
                <w:highlight w:val="none"/>
                <w:u w:val="none"/>
                <w:shd w:val="clear" w:color="auto" w:fill="auto"/>
                <w:lang w:val="en-US" w:eastAsia="zh-CN"/>
              </w:rPr>
              <w:t>31</w:t>
            </w:r>
            <w:r>
              <w:rPr>
                <w:rFonts w:hint="default" w:ascii="Times New Roman" w:hAnsi="Times New Roman" w:cs="Times New Roman"/>
                <w:i w:val="0"/>
                <w:iCs w:val="0"/>
                <w:color w:val="auto"/>
                <w:sz w:val="24"/>
                <w:highlight w:val="none"/>
                <w:u w:val="none"/>
                <w:shd w:val="clear" w:color="auto" w:fill="auto"/>
                <w:lang w:val="en-US" w:eastAsia="zh-CN"/>
              </w:rPr>
              <w:t>-</w:t>
            </w:r>
            <w:r>
              <w:rPr>
                <w:rFonts w:hint="eastAsia" w:ascii="Times New Roman" w:hAnsi="Times New Roman" w:cs="Times New Roman"/>
                <w:i w:val="0"/>
                <w:iCs w:val="0"/>
                <w:color w:val="auto"/>
                <w:sz w:val="24"/>
                <w:highlight w:val="none"/>
                <w:u w:val="none"/>
                <w:shd w:val="clear" w:color="auto" w:fill="auto"/>
                <w:lang w:val="en-US" w:eastAsia="zh-CN"/>
              </w:rPr>
              <w:t>32</w:t>
            </w:r>
            <w:r>
              <w:rPr>
                <w:rFonts w:hint="default" w:ascii="Times New Roman" w:hAnsi="Times New Roman" w:cs="Times New Roman"/>
                <w:i w:val="0"/>
                <w:iCs w:val="0"/>
                <w:color w:val="auto"/>
                <w:sz w:val="24"/>
                <w:highlight w:val="none"/>
                <w:u w:val="none"/>
                <w:shd w:val="clear" w:color="auto" w:fill="auto"/>
              </w:rPr>
              <w:t>。</w:t>
            </w:r>
          </w:p>
          <w:p>
            <w:pPr>
              <w:pStyle w:val="8"/>
              <w:bidi w:val="0"/>
              <w:rPr>
                <w:rFonts w:hint="default" w:ascii="Times New Roman" w:hAnsi="Times New Roman" w:eastAsia="宋体" w:cs="Times New Roman"/>
                <w:b/>
                <w:bCs w:val="0"/>
                <w:i w:val="0"/>
                <w:iCs w:val="0"/>
                <w:color w:val="auto"/>
                <w:highlight w:val="none"/>
                <w:u w:val="none"/>
                <w:shd w:val="clear" w:color="auto" w:fill="auto"/>
                <w:lang w:eastAsia="zh-CN"/>
              </w:rPr>
            </w:pPr>
            <w:r>
              <w:rPr>
                <w:rFonts w:hint="default" w:ascii="Times New Roman" w:hAnsi="Times New Roman" w:cs="Times New Roman"/>
                <w:b/>
                <w:bCs w:val="0"/>
                <w:i w:val="0"/>
                <w:iCs w:val="0"/>
                <w:color w:val="auto"/>
                <w:highlight w:val="none"/>
                <w:u w:val="none"/>
                <w:shd w:val="clear" w:color="auto" w:fill="auto"/>
              </w:rPr>
              <w:t>表</w:t>
            </w:r>
            <w:r>
              <w:rPr>
                <w:rFonts w:hint="eastAsia" w:ascii="Times New Roman" w:hAnsi="Times New Roman" w:cs="Times New Roman"/>
                <w:b/>
                <w:bCs w:val="0"/>
                <w:i w:val="0"/>
                <w:iCs w:val="0"/>
                <w:color w:val="auto"/>
                <w:highlight w:val="none"/>
                <w:u w:val="none"/>
                <w:shd w:val="clear" w:color="auto" w:fill="auto"/>
                <w:lang w:val="en-US" w:eastAsia="zh-CN"/>
              </w:rPr>
              <w:t>3</w:t>
            </w:r>
            <w:r>
              <w:rPr>
                <w:rFonts w:hint="eastAsia" w:cs="Times New Roman"/>
                <w:b/>
                <w:bCs w:val="0"/>
                <w:i w:val="0"/>
                <w:iCs w:val="0"/>
                <w:color w:val="auto"/>
                <w:highlight w:val="none"/>
                <w:u w:val="none"/>
                <w:shd w:val="clear" w:color="auto" w:fill="auto"/>
                <w:lang w:val="en-US" w:eastAsia="zh-CN"/>
              </w:rPr>
              <w:t>-8</w:t>
            </w:r>
            <w:r>
              <w:rPr>
                <w:rFonts w:hint="default" w:ascii="Times New Roman" w:hAnsi="Times New Roman" w:cs="Times New Roman"/>
                <w:b/>
                <w:bCs w:val="0"/>
                <w:i w:val="0"/>
                <w:iCs w:val="0"/>
                <w:color w:val="auto"/>
                <w:highlight w:val="none"/>
                <w:u w:val="none"/>
                <w:shd w:val="clear" w:color="auto" w:fill="auto"/>
                <w:lang w:val="en-US" w:eastAsia="zh-CN"/>
              </w:rPr>
              <w:t xml:space="preserve"> </w:t>
            </w:r>
            <w:r>
              <w:rPr>
                <w:rFonts w:hint="default" w:ascii="Times New Roman" w:hAnsi="Times New Roman" w:cs="Times New Roman"/>
                <w:b/>
                <w:bCs w:val="0"/>
                <w:i w:val="0"/>
                <w:iCs w:val="0"/>
                <w:color w:val="auto"/>
                <w:highlight w:val="none"/>
                <w:u w:val="none"/>
                <w:shd w:val="clear" w:color="auto" w:fill="auto"/>
              </w:rPr>
              <w:t xml:space="preserve"> </w:t>
            </w:r>
            <w:r>
              <w:rPr>
                <w:rFonts w:hint="default" w:ascii="Times New Roman" w:hAnsi="Times New Roman" w:cs="Times New Roman"/>
                <w:b/>
                <w:bCs w:val="0"/>
                <w:i w:val="0"/>
                <w:iCs w:val="0"/>
                <w:color w:val="auto"/>
                <w:highlight w:val="none"/>
                <w:u w:val="none"/>
                <w:shd w:val="clear" w:color="auto" w:fill="auto"/>
                <w:lang w:val="en-US" w:eastAsia="zh-CN"/>
              </w:rPr>
              <w:t xml:space="preserve"> </w:t>
            </w:r>
            <w:r>
              <w:rPr>
                <w:rFonts w:hint="default" w:ascii="Times New Roman" w:hAnsi="Times New Roman" w:eastAsia="宋体" w:cs="Times New Roman"/>
                <w:color w:val="auto"/>
                <w:sz w:val="24"/>
                <w:szCs w:val="24"/>
                <w:highlight w:val="none"/>
              </w:rPr>
              <w:t>《合成树脂工业污染物排放标准》</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GB31572-2015</w:t>
            </w:r>
            <w:r>
              <w:rPr>
                <w:rFonts w:hint="default" w:ascii="Times New Roman" w:hAnsi="Times New Roman" w:eastAsia="宋体" w:cs="Times New Roman"/>
                <w:color w:val="auto"/>
                <w:sz w:val="24"/>
                <w:szCs w:val="24"/>
                <w:highlight w:val="none"/>
                <w:lang w:eastAsia="zh-CN"/>
              </w:rPr>
              <w:t>）</w:t>
            </w:r>
          </w:p>
          <w:tbl>
            <w:tblPr>
              <w:tblStyle w:val="30"/>
              <w:tblW w:w="8339"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448"/>
              <w:gridCol w:w="3320"/>
              <w:gridCol w:w="257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13" w:hRule="atLeast"/>
                <w:jc w:val="center"/>
              </w:trPr>
              <w:tc>
                <w:tcPr>
                  <w:tcW w:w="2448" w:type="dxa"/>
                  <w:vMerge w:val="restart"/>
                  <w:noWrap w:val="0"/>
                  <w:vAlign w:val="center"/>
                </w:tcPr>
                <w:p>
                  <w:pPr>
                    <w:jc w:val="center"/>
                    <w:rPr>
                      <w:rFonts w:hint="default" w:ascii="Times New Roman" w:hAnsi="Times New Roman" w:cs="Times New Roman"/>
                      <w:i w:val="0"/>
                      <w:iCs w:val="0"/>
                      <w:color w:val="auto"/>
                      <w:szCs w:val="21"/>
                      <w:highlight w:val="none"/>
                      <w:u w:val="none"/>
                      <w:shd w:val="clear" w:color="auto" w:fill="auto"/>
                    </w:rPr>
                  </w:pPr>
                  <w:r>
                    <w:rPr>
                      <w:rFonts w:hint="default" w:ascii="Times New Roman" w:hAnsi="Times New Roman" w:cs="Times New Roman"/>
                      <w:i w:val="0"/>
                      <w:iCs w:val="0"/>
                      <w:color w:val="auto"/>
                      <w:szCs w:val="21"/>
                      <w:highlight w:val="none"/>
                      <w:u w:val="none"/>
                      <w:shd w:val="clear" w:color="auto" w:fill="auto"/>
                    </w:rPr>
                    <w:t>污染物名称</w:t>
                  </w:r>
                </w:p>
              </w:tc>
              <w:tc>
                <w:tcPr>
                  <w:tcW w:w="5891" w:type="dxa"/>
                  <w:gridSpan w:val="2"/>
                  <w:noWrap w:val="0"/>
                  <w:vAlign w:val="center"/>
                </w:tcPr>
                <w:p>
                  <w:pPr>
                    <w:jc w:val="center"/>
                    <w:rPr>
                      <w:rFonts w:hint="default" w:ascii="Times New Roman" w:hAnsi="Times New Roman" w:cs="Times New Roman"/>
                      <w:b w:val="0"/>
                      <w:bCs/>
                      <w:i w:val="0"/>
                      <w:iCs w:val="0"/>
                      <w:color w:val="auto"/>
                      <w:szCs w:val="21"/>
                      <w:highlight w:val="none"/>
                      <w:u w:val="none"/>
                      <w:shd w:val="clear" w:color="auto" w:fill="auto"/>
                    </w:rPr>
                  </w:pPr>
                  <w:r>
                    <w:rPr>
                      <w:rFonts w:hint="default" w:ascii="Times New Roman" w:hAnsi="Times New Roman" w:cs="Times New Roman"/>
                      <w:b w:val="0"/>
                      <w:bCs/>
                      <w:i w:val="0"/>
                      <w:iCs w:val="0"/>
                      <w:color w:val="auto"/>
                      <w:szCs w:val="21"/>
                      <w:highlight w:val="none"/>
                      <w:u w:val="none"/>
                      <w:shd w:val="clear" w:color="auto" w:fill="auto"/>
                    </w:rPr>
                    <w:t>无组织排放监控点浓度限值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93" w:hRule="atLeast"/>
                <w:jc w:val="center"/>
              </w:trPr>
              <w:tc>
                <w:tcPr>
                  <w:tcW w:w="2448" w:type="dxa"/>
                  <w:vMerge w:val="continue"/>
                  <w:noWrap w:val="0"/>
                  <w:vAlign w:val="center"/>
                </w:tcPr>
                <w:p>
                  <w:pPr>
                    <w:jc w:val="center"/>
                    <w:rPr>
                      <w:rFonts w:hint="default" w:ascii="Times New Roman" w:hAnsi="Times New Roman" w:cs="Times New Roman"/>
                      <w:i w:val="0"/>
                      <w:iCs w:val="0"/>
                      <w:color w:val="auto"/>
                      <w:szCs w:val="21"/>
                      <w:highlight w:val="none"/>
                      <w:u w:val="none"/>
                      <w:shd w:val="clear" w:color="auto" w:fill="auto"/>
                    </w:rPr>
                  </w:pPr>
                </w:p>
              </w:tc>
              <w:tc>
                <w:tcPr>
                  <w:tcW w:w="3320" w:type="dxa"/>
                  <w:noWrap w:val="0"/>
                  <w:vAlign w:val="center"/>
                </w:tcPr>
                <w:p>
                  <w:pPr>
                    <w:jc w:val="center"/>
                    <w:rPr>
                      <w:rFonts w:hint="default" w:ascii="Times New Roman" w:hAnsi="Times New Roman" w:cs="Times New Roman"/>
                      <w:b w:val="0"/>
                      <w:bCs/>
                      <w:i w:val="0"/>
                      <w:iCs w:val="0"/>
                      <w:color w:val="auto"/>
                      <w:szCs w:val="21"/>
                      <w:highlight w:val="none"/>
                      <w:u w:val="none"/>
                      <w:shd w:val="clear" w:color="auto" w:fill="auto"/>
                    </w:rPr>
                  </w:pPr>
                  <w:r>
                    <w:rPr>
                      <w:rFonts w:hint="default" w:ascii="Times New Roman" w:hAnsi="Times New Roman" w:cs="Times New Roman"/>
                      <w:b w:val="0"/>
                      <w:bCs/>
                      <w:i w:val="0"/>
                      <w:iCs w:val="0"/>
                      <w:color w:val="auto"/>
                      <w:szCs w:val="21"/>
                      <w:highlight w:val="none"/>
                      <w:u w:val="none"/>
                      <w:shd w:val="clear" w:color="auto" w:fill="auto"/>
                    </w:rPr>
                    <w:t>监控点</w:t>
                  </w:r>
                </w:p>
              </w:tc>
              <w:tc>
                <w:tcPr>
                  <w:tcW w:w="2571" w:type="dxa"/>
                  <w:noWrap w:val="0"/>
                  <w:vAlign w:val="center"/>
                </w:tcPr>
                <w:p>
                  <w:pPr>
                    <w:jc w:val="center"/>
                    <w:rPr>
                      <w:rFonts w:hint="default" w:ascii="Times New Roman" w:hAnsi="Times New Roman" w:cs="Times New Roman"/>
                      <w:b w:val="0"/>
                      <w:bCs/>
                      <w:i w:val="0"/>
                      <w:iCs w:val="0"/>
                      <w:color w:val="auto"/>
                      <w:szCs w:val="21"/>
                      <w:highlight w:val="none"/>
                      <w:u w:val="none"/>
                      <w:shd w:val="clear" w:color="auto" w:fill="auto"/>
                    </w:rPr>
                  </w:pPr>
                  <w:r>
                    <w:rPr>
                      <w:rFonts w:hint="default" w:ascii="Times New Roman" w:hAnsi="Times New Roman" w:cs="Times New Roman"/>
                      <w:b w:val="0"/>
                      <w:bCs/>
                      <w:i w:val="0"/>
                      <w:iCs w:val="0"/>
                      <w:color w:val="auto"/>
                      <w:szCs w:val="21"/>
                      <w:highlight w:val="none"/>
                      <w:u w:val="none"/>
                      <w:shd w:val="clear" w:color="auto" w:fill="auto"/>
                    </w:rPr>
                    <w:t>浓度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30" w:hRule="atLeast"/>
                <w:jc w:val="center"/>
              </w:trPr>
              <w:tc>
                <w:tcPr>
                  <w:tcW w:w="2448" w:type="dxa"/>
                  <w:noWrap w:val="0"/>
                  <w:vAlign w:val="center"/>
                </w:tcPr>
                <w:p>
                  <w:pPr>
                    <w:jc w:val="center"/>
                    <w:rPr>
                      <w:rFonts w:hint="default" w:ascii="Times New Roman" w:hAnsi="Times New Roman" w:cs="Times New Roman"/>
                      <w:i w:val="0"/>
                      <w:iCs w:val="0"/>
                      <w:color w:val="auto"/>
                      <w:szCs w:val="21"/>
                      <w:highlight w:val="none"/>
                      <w:u w:val="none"/>
                      <w:shd w:val="clear" w:color="auto" w:fill="auto"/>
                      <w:vertAlign w:val="subscript"/>
                    </w:rPr>
                  </w:pPr>
                  <w:r>
                    <w:rPr>
                      <w:rFonts w:hint="default" w:ascii="Times New Roman" w:hAnsi="Times New Roman" w:cs="Times New Roman"/>
                      <w:i w:val="0"/>
                      <w:iCs w:val="0"/>
                      <w:color w:val="auto"/>
                      <w:highlight w:val="none"/>
                      <w:u w:val="none"/>
                      <w:shd w:val="clear" w:color="auto" w:fill="auto"/>
                      <w:vertAlign w:val="baseline"/>
                      <w:lang w:val="en-US" w:eastAsia="zh-CN"/>
                    </w:rPr>
                    <w:t>NMHC</w:t>
                  </w:r>
                </w:p>
              </w:tc>
              <w:tc>
                <w:tcPr>
                  <w:tcW w:w="3320" w:type="dxa"/>
                  <w:vMerge w:val="restart"/>
                  <w:noWrap w:val="0"/>
                  <w:vAlign w:val="center"/>
                </w:tcPr>
                <w:p>
                  <w:pPr>
                    <w:jc w:val="center"/>
                    <w:rPr>
                      <w:rFonts w:hint="default" w:ascii="Times New Roman" w:hAnsi="Times New Roman" w:cs="Times New Roman"/>
                      <w:i w:val="0"/>
                      <w:iCs w:val="0"/>
                      <w:color w:val="auto"/>
                      <w:highlight w:val="none"/>
                      <w:u w:val="none"/>
                      <w:shd w:val="clear" w:color="auto" w:fill="auto"/>
                      <w:vertAlign w:val="baseline"/>
                      <w:lang w:val="en-US" w:eastAsia="zh-CN"/>
                    </w:rPr>
                  </w:pPr>
                  <w:r>
                    <w:rPr>
                      <w:rFonts w:hint="eastAsia" w:ascii="Times New Roman" w:hAnsi="Times New Roman" w:cs="Times New Roman"/>
                      <w:i w:val="0"/>
                      <w:iCs w:val="0"/>
                      <w:color w:val="auto"/>
                      <w:highlight w:val="none"/>
                      <w:u w:val="none"/>
                      <w:shd w:val="clear" w:color="auto" w:fill="auto"/>
                      <w:vertAlign w:val="baseline"/>
                      <w:lang w:val="en-US" w:eastAsia="zh-CN"/>
                    </w:rPr>
                    <w:t>企业边界</w:t>
                  </w:r>
                  <w:r>
                    <w:rPr>
                      <w:rFonts w:hint="default" w:ascii="Times New Roman" w:hAnsi="Times New Roman" w:cs="Times New Roman"/>
                      <w:i w:val="0"/>
                      <w:iCs w:val="0"/>
                      <w:color w:val="auto"/>
                      <w:highlight w:val="none"/>
                      <w:u w:val="none"/>
                      <w:shd w:val="clear" w:color="auto" w:fill="auto"/>
                      <w:vertAlign w:val="baseline"/>
                      <w:lang w:val="en-US" w:eastAsia="zh-CN"/>
                    </w:rPr>
                    <w:t>浓度最高点</w:t>
                  </w:r>
                </w:p>
              </w:tc>
              <w:tc>
                <w:tcPr>
                  <w:tcW w:w="2571" w:type="dxa"/>
                  <w:noWrap w:val="0"/>
                  <w:vAlign w:val="center"/>
                </w:tcPr>
                <w:p>
                  <w:pPr>
                    <w:jc w:val="center"/>
                    <w:rPr>
                      <w:rFonts w:hint="default" w:ascii="Times New Roman" w:hAnsi="Times New Roman" w:cs="Times New Roman"/>
                      <w:i w:val="0"/>
                      <w:iCs w:val="0"/>
                      <w:color w:val="auto"/>
                      <w:highlight w:val="none"/>
                      <w:u w:val="none"/>
                      <w:shd w:val="clear" w:color="auto" w:fill="auto"/>
                      <w:vertAlign w:val="baseline"/>
                      <w:lang w:val="en-US" w:eastAsia="zh-CN"/>
                    </w:rPr>
                  </w:pPr>
                  <w:r>
                    <w:rPr>
                      <w:rFonts w:hint="default" w:ascii="Times New Roman" w:hAnsi="Times New Roman" w:cs="Times New Roman"/>
                      <w:i w:val="0"/>
                      <w:iCs w:val="0"/>
                      <w:color w:val="auto"/>
                      <w:highlight w:val="none"/>
                      <w:u w:val="none"/>
                      <w:shd w:val="clear" w:color="auto" w:fill="auto"/>
                      <w:vertAlign w:val="baseline"/>
                      <w:lang w:val="en-US" w:eastAsia="zh-CN"/>
                    </w:rPr>
                    <w:t>4.0mg/m</w:t>
                  </w:r>
                  <w:r>
                    <w:rPr>
                      <w:rFonts w:hint="default" w:ascii="Times New Roman" w:hAnsi="Times New Roman" w:cs="Times New Roman"/>
                      <w:i w:val="0"/>
                      <w:iCs w:val="0"/>
                      <w:color w:val="auto"/>
                      <w:highlight w:val="none"/>
                      <w:u w:val="none"/>
                      <w:shd w:val="clear" w:color="auto" w:fill="auto"/>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49" w:hRule="atLeast"/>
                <w:jc w:val="center"/>
              </w:trPr>
              <w:tc>
                <w:tcPr>
                  <w:tcW w:w="2448" w:type="dxa"/>
                  <w:noWrap w:val="0"/>
                  <w:vAlign w:val="center"/>
                </w:tcPr>
                <w:p>
                  <w:pPr>
                    <w:jc w:val="center"/>
                    <w:rPr>
                      <w:rFonts w:hint="default" w:ascii="Times New Roman" w:hAnsi="Times New Roman" w:cs="Times New Roman"/>
                      <w:i w:val="0"/>
                      <w:iCs w:val="0"/>
                      <w:color w:val="auto"/>
                      <w:highlight w:val="none"/>
                      <w:u w:val="none"/>
                      <w:shd w:val="clear" w:color="auto" w:fill="auto"/>
                      <w:vertAlign w:val="baseline"/>
                      <w:lang w:val="en-US" w:eastAsia="zh-CN"/>
                    </w:rPr>
                  </w:pPr>
                  <w:r>
                    <w:rPr>
                      <w:rFonts w:hint="eastAsia" w:cs="Times New Roman"/>
                      <w:i w:val="0"/>
                      <w:iCs w:val="0"/>
                      <w:color w:val="auto"/>
                      <w:highlight w:val="none"/>
                      <w:u w:val="none"/>
                      <w:shd w:val="clear" w:color="auto" w:fill="auto"/>
                      <w:vertAlign w:val="baseline"/>
                      <w:lang w:val="en-US" w:eastAsia="zh-CN"/>
                    </w:rPr>
                    <w:t>颗粒物</w:t>
                  </w:r>
                </w:p>
              </w:tc>
              <w:tc>
                <w:tcPr>
                  <w:tcW w:w="3320" w:type="dxa"/>
                  <w:vMerge w:val="continue"/>
                  <w:noWrap w:val="0"/>
                  <w:vAlign w:val="center"/>
                </w:tcPr>
                <w:p>
                  <w:pPr>
                    <w:jc w:val="center"/>
                    <w:rPr>
                      <w:rFonts w:hint="eastAsia" w:ascii="Times New Roman" w:hAnsi="Times New Roman" w:cs="Times New Roman"/>
                      <w:i w:val="0"/>
                      <w:iCs w:val="0"/>
                      <w:color w:val="auto"/>
                      <w:highlight w:val="none"/>
                      <w:u w:val="none"/>
                      <w:shd w:val="clear" w:color="auto" w:fill="auto"/>
                      <w:vertAlign w:val="baseline"/>
                      <w:lang w:val="en-US" w:eastAsia="zh-CN"/>
                    </w:rPr>
                  </w:pPr>
                </w:p>
              </w:tc>
              <w:tc>
                <w:tcPr>
                  <w:tcW w:w="2571" w:type="dxa"/>
                  <w:noWrap w:val="0"/>
                  <w:vAlign w:val="center"/>
                </w:tcPr>
                <w:p>
                  <w:pPr>
                    <w:jc w:val="center"/>
                    <w:rPr>
                      <w:rFonts w:hint="default" w:ascii="Times New Roman" w:hAnsi="Times New Roman" w:cs="Times New Roman"/>
                      <w:i w:val="0"/>
                      <w:iCs w:val="0"/>
                      <w:color w:val="auto"/>
                      <w:highlight w:val="none"/>
                      <w:u w:val="none"/>
                      <w:shd w:val="clear" w:color="auto" w:fill="auto"/>
                      <w:vertAlign w:val="baseline"/>
                      <w:lang w:val="en-US" w:eastAsia="zh-CN"/>
                    </w:rPr>
                  </w:pPr>
                  <w:r>
                    <w:rPr>
                      <w:rFonts w:hint="eastAsia" w:ascii="Times New Roman" w:hAnsi="Times New Roman" w:cs="Times New Roman"/>
                      <w:i w:val="0"/>
                      <w:iCs w:val="0"/>
                      <w:color w:val="auto"/>
                      <w:highlight w:val="none"/>
                      <w:u w:val="none"/>
                      <w:shd w:val="clear" w:color="auto" w:fill="auto"/>
                      <w:vertAlign w:val="baseline"/>
                      <w:lang w:val="en-US" w:eastAsia="zh-CN"/>
                    </w:rPr>
                    <w:t>1</w:t>
                  </w:r>
                  <w:r>
                    <w:rPr>
                      <w:rFonts w:hint="default" w:ascii="Times New Roman" w:hAnsi="Times New Roman" w:cs="Times New Roman"/>
                      <w:i w:val="0"/>
                      <w:iCs w:val="0"/>
                      <w:color w:val="auto"/>
                      <w:highlight w:val="none"/>
                      <w:u w:val="none"/>
                      <w:shd w:val="clear" w:color="auto" w:fill="auto"/>
                      <w:vertAlign w:val="baseline"/>
                      <w:lang w:val="en-US" w:eastAsia="zh-CN"/>
                    </w:rPr>
                    <w:t>.0mg/m</w:t>
                  </w:r>
                  <w:r>
                    <w:rPr>
                      <w:rFonts w:hint="default" w:ascii="Times New Roman" w:hAnsi="Times New Roman" w:cs="Times New Roman"/>
                      <w:i w:val="0"/>
                      <w:iCs w:val="0"/>
                      <w:color w:val="auto"/>
                      <w:highlight w:val="none"/>
                      <w:u w:val="none"/>
                      <w:shd w:val="clear" w:color="auto" w:fill="auto"/>
                      <w:vertAlign w:val="superscript"/>
                      <w:lang w:val="en-US" w:eastAsia="zh-CN"/>
                    </w:rPr>
                    <w:t>3</w:t>
                  </w:r>
                </w:p>
              </w:tc>
            </w:tr>
          </w:tbl>
          <w:p>
            <w:pPr>
              <w:pStyle w:val="8"/>
              <w:bidi w:val="0"/>
              <w:spacing w:line="240" w:lineRule="auto"/>
              <w:rPr>
                <w:rFonts w:hint="default" w:ascii="Times New Roman" w:hAnsi="Times New Roman" w:cs="Times New Roman"/>
                <w:b/>
                <w:bCs w:val="0"/>
                <w:i w:val="0"/>
                <w:iCs w:val="0"/>
                <w:color w:val="auto"/>
                <w:highlight w:val="none"/>
                <w:u w:val="none"/>
                <w:shd w:val="clear" w:color="auto" w:fill="auto"/>
              </w:rPr>
            </w:pPr>
          </w:p>
          <w:p>
            <w:pPr>
              <w:pStyle w:val="8"/>
              <w:bidi w:val="0"/>
              <w:rPr>
                <w:rFonts w:hint="default" w:ascii="Times New Roman" w:hAnsi="Times New Roman" w:eastAsia="宋体" w:cs="Times New Roman"/>
                <w:b/>
                <w:bCs w:val="0"/>
                <w:i w:val="0"/>
                <w:iCs w:val="0"/>
                <w:color w:val="auto"/>
                <w:highlight w:val="none"/>
                <w:u w:val="none"/>
                <w:shd w:val="clear" w:color="auto" w:fill="auto"/>
                <w:lang w:val="en-US" w:eastAsia="zh-CN"/>
              </w:rPr>
            </w:pPr>
            <w:r>
              <w:rPr>
                <w:rFonts w:hint="default" w:ascii="Times New Roman" w:hAnsi="Times New Roman" w:cs="Times New Roman"/>
                <w:b/>
                <w:bCs w:val="0"/>
                <w:i w:val="0"/>
                <w:iCs w:val="0"/>
                <w:color w:val="auto"/>
                <w:highlight w:val="none"/>
                <w:u w:val="none"/>
                <w:shd w:val="clear" w:color="auto" w:fill="auto"/>
              </w:rPr>
              <w:t>表</w:t>
            </w:r>
            <w:r>
              <w:rPr>
                <w:rFonts w:hint="eastAsia" w:ascii="Times New Roman" w:hAnsi="Times New Roman" w:cs="Times New Roman"/>
                <w:b/>
                <w:bCs w:val="0"/>
                <w:i w:val="0"/>
                <w:iCs w:val="0"/>
                <w:color w:val="auto"/>
                <w:highlight w:val="none"/>
                <w:u w:val="none"/>
                <w:shd w:val="clear" w:color="auto" w:fill="auto"/>
                <w:lang w:val="en-US" w:eastAsia="zh-CN"/>
              </w:rPr>
              <w:t>3</w:t>
            </w:r>
            <w:r>
              <w:rPr>
                <w:rFonts w:hint="eastAsia" w:cs="Times New Roman"/>
                <w:b/>
                <w:bCs w:val="0"/>
                <w:i w:val="0"/>
                <w:iCs w:val="0"/>
                <w:color w:val="auto"/>
                <w:highlight w:val="none"/>
                <w:u w:val="none"/>
                <w:shd w:val="clear" w:color="auto" w:fill="auto"/>
                <w:lang w:val="en-US" w:eastAsia="zh-CN"/>
              </w:rPr>
              <w:t>-9</w:t>
            </w:r>
            <w:r>
              <w:rPr>
                <w:rFonts w:hint="default" w:ascii="Times New Roman" w:hAnsi="Times New Roman" w:cs="Times New Roman"/>
                <w:b/>
                <w:bCs w:val="0"/>
                <w:i w:val="0"/>
                <w:iCs w:val="0"/>
                <w:color w:val="auto"/>
                <w:highlight w:val="none"/>
                <w:u w:val="none"/>
                <w:shd w:val="clear" w:color="auto" w:fill="auto"/>
              </w:rPr>
              <w:t xml:space="preserve">   </w:t>
            </w:r>
            <w:r>
              <w:rPr>
                <w:rFonts w:hint="default" w:ascii="Times New Roman" w:hAnsi="Times New Roman" w:cs="Times New Roman"/>
                <w:b/>
                <w:bCs w:val="0"/>
                <w:i w:val="0"/>
                <w:iCs w:val="0"/>
                <w:color w:val="auto"/>
                <w:highlight w:val="none"/>
                <w:u w:val="none"/>
                <w:shd w:val="clear" w:color="auto" w:fill="auto"/>
                <w:lang w:val="en-US" w:eastAsia="zh-CN"/>
              </w:rPr>
              <w:t>厂区内VOCs无组织排放限值</w:t>
            </w:r>
          </w:p>
          <w:tbl>
            <w:tblPr>
              <w:tblStyle w:val="31"/>
              <w:tblW w:w="833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666"/>
              <w:gridCol w:w="1738"/>
              <w:gridCol w:w="226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668" w:type="dxa"/>
                  <w:tcBorders>
                    <w:top w:val="single" w:color="auto" w:sz="12" w:space="0"/>
                  </w:tcBorders>
                  <w:noWrap w:val="0"/>
                  <w:vAlign w:val="center"/>
                </w:tcPr>
                <w:p>
                  <w:pPr>
                    <w:jc w:val="center"/>
                    <w:rPr>
                      <w:rFonts w:hint="default" w:ascii="Times New Roman" w:hAnsi="Times New Roman" w:eastAsia="宋体" w:cs="Times New Roman"/>
                      <w:i w:val="0"/>
                      <w:iCs w:val="0"/>
                      <w:color w:val="auto"/>
                      <w:highlight w:val="none"/>
                      <w:u w:val="none"/>
                      <w:shd w:val="clear" w:color="auto" w:fill="auto"/>
                      <w:vertAlign w:val="baseline"/>
                      <w:lang w:val="en-US" w:eastAsia="zh-CN"/>
                    </w:rPr>
                  </w:pPr>
                  <w:r>
                    <w:rPr>
                      <w:rFonts w:hint="default" w:ascii="Times New Roman" w:hAnsi="Times New Roman" w:cs="Times New Roman"/>
                      <w:i w:val="0"/>
                      <w:iCs w:val="0"/>
                      <w:color w:val="auto"/>
                      <w:highlight w:val="none"/>
                      <w:u w:val="none"/>
                      <w:shd w:val="clear" w:color="auto" w:fill="auto"/>
                      <w:vertAlign w:val="baseline"/>
                      <w:lang w:val="en-US" w:eastAsia="zh-CN"/>
                    </w:rPr>
                    <w:t>污染物项目</w:t>
                  </w:r>
                </w:p>
              </w:tc>
              <w:tc>
                <w:tcPr>
                  <w:tcW w:w="2666" w:type="dxa"/>
                  <w:tcBorders>
                    <w:top w:val="single" w:color="auto" w:sz="12" w:space="0"/>
                  </w:tcBorders>
                  <w:noWrap w:val="0"/>
                  <w:vAlign w:val="center"/>
                </w:tcPr>
                <w:p>
                  <w:pPr>
                    <w:jc w:val="center"/>
                    <w:rPr>
                      <w:rFonts w:hint="default" w:ascii="Times New Roman" w:hAnsi="Times New Roman" w:eastAsia="宋体" w:cs="Times New Roman"/>
                      <w:i w:val="0"/>
                      <w:iCs w:val="0"/>
                      <w:color w:val="auto"/>
                      <w:highlight w:val="none"/>
                      <w:u w:val="none"/>
                      <w:shd w:val="clear" w:color="auto" w:fill="auto"/>
                      <w:vertAlign w:val="baseline"/>
                      <w:lang w:val="en-US" w:eastAsia="zh-CN"/>
                    </w:rPr>
                  </w:pPr>
                  <w:r>
                    <w:rPr>
                      <w:rFonts w:hint="default" w:ascii="Times New Roman" w:hAnsi="Times New Roman" w:cs="Times New Roman"/>
                      <w:i w:val="0"/>
                      <w:iCs w:val="0"/>
                      <w:color w:val="auto"/>
                      <w:highlight w:val="none"/>
                      <w:u w:val="none"/>
                      <w:shd w:val="clear" w:color="auto" w:fill="auto"/>
                      <w:vertAlign w:val="baseline"/>
                      <w:lang w:val="en-US" w:eastAsia="zh-CN"/>
                    </w:rPr>
                    <w:t>限值定义</w:t>
                  </w:r>
                </w:p>
              </w:tc>
              <w:tc>
                <w:tcPr>
                  <w:tcW w:w="1738" w:type="dxa"/>
                  <w:tcBorders>
                    <w:top w:val="single" w:color="auto" w:sz="12" w:space="0"/>
                  </w:tcBorders>
                  <w:noWrap w:val="0"/>
                  <w:vAlign w:val="center"/>
                </w:tcPr>
                <w:p>
                  <w:pPr>
                    <w:jc w:val="center"/>
                    <w:rPr>
                      <w:rFonts w:hint="default" w:ascii="Times New Roman" w:hAnsi="Times New Roman" w:cs="Times New Roman"/>
                      <w:i w:val="0"/>
                      <w:iCs w:val="0"/>
                      <w:color w:val="auto"/>
                      <w:highlight w:val="none"/>
                      <w:u w:val="none"/>
                      <w:shd w:val="clear" w:color="auto" w:fill="auto"/>
                      <w:vertAlign w:val="baseline"/>
                    </w:rPr>
                  </w:pPr>
                  <w:r>
                    <w:rPr>
                      <w:rFonts w:hint="default" w:ascii="Times New Roman" w:hAnsi="Times New Roman" w:cs="Times New Roman"/>
                      <w:i w:val="0"/>
                      <w:iCs w:val="0"/>
                      <w:color w:val="auto"/>
                      <w:highlight w:val="none"/>
                      <w:u w:val="none"/>
                      <w:shd w:val="clear" w:color="auto" w:fill="auto"/>
                      <w:vertAlign w:val="baseline"/>
                      <w:lang w:val="en-US" w:eastAsia="zh-CN"/>
                    </w:rPr>
                    <w:t>特别排放限值</w:t>
                  </w:r>
                </w:p>
              </w:tc>
              <w:tc>
                <w:tcPr>
                  <w:tcW w:w="2266" w:type="dxa"/>
                  <w:tcBorders>
                    <w:top w:val="single" w:color="auto" w:sz="12" w:space="0"/>
                  </w:tcBorders>
                  <w:noWrap w:val="0"/>
                  <w:vAlign w:val="top"/>
                </w:tcPr>
                <w:p>
                  <w:pPr>
                    <w:rPr>
                      <w:rFonts w:hint="default" w:ascii="Times New Roman" w:hAnsi="Times New Roman" w:eastAsia="宋体" w:cs="Times New Roman"/>
                      <w:i w:val="0"/>
                      <w:iCs w:val="0"/>
                      <w:color w:val="auto"/>
                      <w:highlight w:val="none"/>
                      <w:u w:val="none"/>
                      <w:shd w:val="clear" w:color="auto" w:fill="auto"/>
                      <w:vertAlign w:val="baseline"/>
                      <w:lang w:val="en-US" w:eastAsia="zh-CN"/>
                    </w:rPr>
                  </w:pPr>
                  <w:r>
                    <w:rPr>
                      <w:rFonts w:hint="default" w:ascii="Times New Roman" w:hAnsi="Times New Roman" w:cs="Times New Roman"/>
                      <w:i w:val="0"/>
                      <w:iCs w:val="0"/>
                      <w:color w:val="auto"/>
                      <w:highlight w:val="none"/>
                      <w:u w:val="none"/>
                      <w:shd w:val="clear" w:color="auto" w:fill="auto"/>
                      <w:vertAlign w:val="baseline"/>
                      <w:lang w:val="en-US" w:eastAsia="zh-CN"/>
                    </w:rPr>
                    <w:t>无组织排放监控位置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668" w:type="dxa"/>
                  <w:vMerge w:val="restart"/>
                  <w:noWrap w:val="0"/>
                  <w:vAlign w:val="center"/>
                </w:tcPr>
                <w:p>
                  <w:pPr>
                    <w:jc w:val="center"/>
                    <w:rPr>
                      <w:rFonts w:hint="default" w:ascii="Times New Roman" w:hAnsi="Times New Roman" w:eastAsia="宋体" w:cs="Times New Roman"/>
                      <w:i w:val="0"/>
                      <w:iCs w:val="0"/>
                      <w:color w:val="auto"/>
                      <w:highlight w:val="none"/>
                      <w:u w:val="none"/>
                      <w:shd w:val="clear" w:color="auto" w:fill="auto"/>
                      <w:vertAlign w:val="baseline"/>
                      <w:lang w:val="en-US" w:eastAsia="zh-CN"/>
                    </w:rPr>
                  </w:pPr>
                  <w:r>
                    <w:rPr>
                      <w:rFonts w:hint="default" w:ascii="Times New Roman" w:hAnsi="Times New Roman" w:cs="Times New Roman"/>
                      <w:i w:val="0"/>
                      <w:iCs w:val="0"/>
                      <w:color w:val="auto"/>
                      <w:highlight w:val="none"/>
                      <w:u w:val="none"/>
                      <w:shd w:val="clear" w:color="auto" w:fill="auto"/>
                      <w:vertAlign w:val="baseline"/>
                      <w:lang w:val="en-US" w:eastAsia="zh-CN"/>
                    </w:rPr>
                    <w:t>NMHC</w:t>
                  </w:r>
                </w:p>
              </w:tc>
              <w:tc>
                <w:tcPr>
                  <w:tcW w:w="2666" w:type="dxa"/>
                  <w:noWrap w:val="0"/>
                  <w:vAlign w:val="center"/>
                </w:tcPr>
                <w:p>
                  <w:pPr>
                    <w:jc w:val="center"/>
                    <w:rPr>
                      <w:rFonts w:hint="default" w:ascii="Times New Roman" w:hAnsi="Times New Roman" w:eastAsia="宋体" w:cs="Times New Roman"/>
                      <w:i w:val="0"/>
                      <w:iCs w:val="0"/>
                      <w:color w:val="auto"/>
                      <w:highlight w:val="none"/>
                      <w:u w:val="none"/>
                      <w:shd w:val="clear" w:color="auto" w:fill="auto"/>
                      <w:vertAlign w:val="baseline"/>
                      <w:lang w:val="en-US" w:eastAsia="zh-CN"/>
                    </w:rPr>
                  </w:pPr>
                  <w:r>
                    <w:rPr>
                      <w:rFonts w:hint="default" w:ascii="Times New Roman" w:hAnsi="Times New Roman" w:cs="Times New Roman"/>
                      <w:i w:val="0"/>
                      <w:iCs w:val="0"/>
                      <w:color w:val="auto"/>
                      <w:highlight w:val="none"/>
                      <w:u w:val="none"/>
                      <w:shd w:val="clear" w:color="auto" w:fill="auto"/>
                      <w:vertAlign w:val="baseline"/>
                      <w:lang w:val="en-US" w:eastAsia="zh-CN"/>
                    </w:rPr>
                    <w:t>监控点处1h平均浓度值</w:t>
                  </w:r>
                </w:p>
              </w:tc>
              <w:tc>
                <w:tcPr>
                  <w:tcW w:w="1738" w:type="dxa"/>
                  <w:noWrap w:val="0"/>
                  <w:vAlign w:val="center"/>
                </w:tcPr>
                <w:p>
                  <w:pPr>
                    <w:jc w:val="center"/>
                    <w:rPr>
                      <w:rFonts w:hint="default" w:ascii="Times New Roman" w:hAnsi="Times New Roman" w:cs="Times New Roman"/>
                      <w:i w:val="0"/>
                      <w:iCs w:val="0"/>
                      <w:color w:val="auto"/>
                      <w:highlight w:val="none"/>
                      <w:u w:val="none"/>
                      <w:shd w:val="clear" w:color="auto" w:fill="auto"/>
                      <w:vertAlign w:val="baseline"/>
                    </w:rPr>
                  </w:pPr>
                  <w:r>
                    <w:rPr>
                      <w:rFonts w:hint="default" w:ascii="Times New Roman" w:hAnsi="Times New Roman" w:cs="Times New Roman"/>
                      <w:i w:val="0"/>
                      <w:iCs w:val="0"/>
                      <w:color w:val="auto"/>
                      <w:highlight w:val="none"/>
                      <w:u w:val="none"/>
                      <w:shd w:val="clear" w:color="auto" w:fill="auto"/>
                      <w:vertAlign w:val="baseline"/>
                      <w:lang w:val="en-US" w:eastAsia="zh-CN"/>
                    </w:rPr>
                    <w:t>6mg/m</w:t>
                  </w:r>
                  <w:r>
                    <w:rPr>
                      <w:rFonts w:hint="default" w:ascii="Times New Roman" w:hAnsi="Times New Roman" w:cs="Times New Roman"/>
                      <w:i w:val="0"/>
                      <w:iCs w:val="0"/>
                      <w:color w:val="auto"/>
                      <w:highlight w:val="none"/>
                      <w:u w:val="none"/>
                      <w:shd w:val="clear" w:color="auto" w:fill="auto"/>
                      <w:vertAlign w:val="superscript"/>
                      <w:lang w:val="en-US" w:eastAsia="zh-CN"/>
                    </w:rPr>
                    <w:t>3</w:t>
                  </w:r>
                </w:p>
              </w:tc>
              <w:tc>
                <w:tcPr>
                  <w:tcW w:w="2266" w:type="dxa"/>
                  <w:vMerge w:val="restart"/>
                  <w:noWrap w:val="0"/>
                  <w:vAlign w:val="center"/>
                </w:tcPr>
                <w:p>
                  <w:pPr>
                    <w:jc w:val="center"/>
                    <w:rPr>
                      <w:rFonts w:hint="default" w:ascii="Times New Roman" w:hAnsi="Times New Roman" w:eastAsia="宋体" w:cs="Times New Roman"/>
                      <w:i w:val="0"/>
                      <w:iCs w:val="0"/>
                      <w:color w:val="auto"/>
                      <w:highlight w:val="none"/>
                      <w:u w:val="none"/>
                      <w:shd w:val="clear" w:color="auto" w:fill="auto"/>
                      <w:vertAlign w:val="baseline"/>
                      <w:lang w:val="en-US" w:eastAsia="zh-CN"/>
                    </w:rPr>
                  </w:pPr>
                  <w:r>
                    <w:rPr>
                      <w:rFonts w:hint="default" w:ascii="Times New Roman" w:hAnsi="Times New Roman" w:cs="Times New Roman"/>
                      <w:i w:val="0"/>
                      <w:iCs w:val="0"/>
                      <w:color w:val="auto"/>
                      <w:highlight w:val="none"/>
                      <w:u w:val="none"/>
                      <w:shd w:val="clear" w:color="auto" w:fill="auto"/>
                      <w:vertAlign w:val="baseline"/>
                      <w:lang w:val="en-US" w:eastAsia="zh-CN"/>
                    </w:rPr>
                    <w:t>在厂房外设置监控点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1668" w:type="dxa"/>
                  <w:vMerge w:val="continue"/>
                  <w:tcBorders>
                    <w:bottom w:val="single" w:color="auto" w:sz="12" w:space="0"/>
                  </w:tcBorders>
                  <w:noWrap w:val="0"/>
                  <w:vAlign w:val="center"/>
                </w:tcPr>
                <w:p>
                  <w:pPr>
                    <w:jc w:val="center"/>
                    <w:rPr>
                      <w:rFonts w:hint="default" w:ascii="Times New Roman" w:hAnsi="Times New Roman" w:cs="Times New Roman"/>
                      <w:i w:val="0"/>
                      <w:iCs w:val="0"/>
                      <w:color w:val="auto"/>
                      <w:highlight w:val="none"/>
                      <w:u w:val="none"/>
                      <w:shd w:val="clear" w:color="auto" w:fill="auto"/>
                      <w:vertAlign w:val="baseline"/>
                    </w:rPr>
                  </w:pPr>
                </w:p>
              </w:tc>
              <w:tc>
                <w:tcPr>
                  <w:tcW w:w="2666" w:type="dxa"/>
                  <w:tcBorders>
                    <w:bottom w:val="single" w:color="auto" w:sz="12" w:space="0"/>
                  </w:tcBorders>
                  <w:noWrap w:val="0"/>
                  <w:vAlign w:val="center"/>
                </w:tcPr>
                <w:p>
                  <w:pPr>
                    <w:jc w:val="center"/>
                    <w:rPr>
                      <w:rFonts w:hint="default" w:ascii="Times New Roman" w:hAnsi="Times New Roman" w:eastAsia="宋体" w:cs="Times New Roman"/>
                      <w:i w:val="0"/>
                      <w:iCs w:val="0"/>
                      <w:color w:val="auto"/>
                      <w:highlight w:val="none"/>
                      <w:u w:val="none"/>
                      <w:shd w:val="clear" w:color="auto" w:fill="auto"/>
                      <w:vertAlign w:val="baseline"/>
                      <w:lang w:val="en-US" w:eastAsia="zh-CN"/>
                    </w:rPr>
                  </w:pPr>
                  <w:r>
                    <w:rPr>
                      <w:rFonts w:hint="default" w:ascii="Times New Roman" w:hAnsi="Times New Roman" w:cs="Times New Roman"/>
                      <w:i w:val="0"/>
                      <w:iCs w:val="0"/>
                      <w:color w:val="auto"/>
                      <w:highlight w:val="none"/>
                      <w:u w:val="none"/>
                      <w:shd w:val="clear" w:color="auto" w:fill="auto"/>
                      <w:vertAlign w:val="baseline"/>
                      <w:lang w:val="en-US" w:eastAsia="zh-CN"/>
                    </w:rPr>
                    <w:t>监控点处任意一次浓度值</w:t>
                  </w:r>
                </w:p>
              </w:tc>
              <w:tc>
                <w:tcPr>
                  <w:tcW w:w="1738" w:type="dxa"/>
                  <w:tcBorders>
                    <w:bottom w:val="single" w:color="auto" w:sz="12" w:space="0"/>
                  </w:tcBorders>
                  <w:noWrap w:val="0"/>
                  <w:vAlign w:val="center"/>
                </w:tcPr>
                <w:p>
                  <w:pPr>
                    <w:jc w:val="center"/>
                    <w:rPr>
                      <w:rFonts w:hint="default" w:ascii="Times New Roman" w:hAnsi="Times New Roman" w:cs="Times New Roman"/>
                      <w:i w:val="0"/>
                      <w:iCs w:val="0"/>
                      <w:color w:val="auto"/>
                      <w:highlight w:val="none"/>
                      <w:u w:val="none"/>
                      <w:shd w:val="clear" w:color="auto" w:fill="auto"/>
                      <w:vertAlign w:val="baseline"/>
                    </w:rPr>
                  </w:pPr>
                  <w:r>
                    <w:rPr>
                      <w:rFonts w:hint="default" w:ascii="Times New Roman" w:hAnsi="Times New Roman" w:cs="Times New Roman"/>
                      <w:i w:val="0"/>
                      <w:iCs w:val="0"/>
                      <w:color w:val="auto"/>
                      <w:highlight w:val="none"/>
                      <w:u w:val="none"/>
                      <w:shd w:val="clear" w:color="auto" w:fill="auto"/>
                      <w:vertAlign w:val="baseline"/>
                      <w:lang w:val="en-US" w:eastAsia="zh-CN"/>
                    </w:rPr>
                    <w:t>20mg/m</w:t>
                  </w:r>
                  <w:r>
                    <w:rPr>
                      <w:rFonts w:hint="default" w:ascii="Times New Roman" w:hAnsi="Times New Roman" w:cs="Times New Roman"/>
                      <w:i w:val="0"/>
                      <w:iCs w:val="0"/>
                      <w:color w:val="auto"/>
                      <w:highlight w:val="none"/>
                      <w:u w:val="none"/>
                      <w:shd w:val="clear" w:color="auto" w:fill="auto"/>
                      <w:vertAlign w:val="superscript"/>
                      <w:lang w:val="en-US" w:eastAsia="zh-CN"/>
                    </w:rPr>
                    <w:t>3</w:t>
                  </w:r>
                </w:p>
              </w:tc>
              <w:tc>
                <w:tcPr>
                  <w:tcW w:w="2266" w:type="dxa"/>
                  <w:vMerge w:val="continue"/>
                  <w:tcBorders>
                    <w:bottom w:val="single" w:color="auto" w:sz="12" w:space="0"/>
                  </w:tcBorders>
                  <w:noWrap w:val="0"/>
                  <w:vAlign w:val="top"/>
                </w:tcPr>
                <w:p>
                  <w:pPr>
                    <w:rPr>
                      <w:rFonts w:hint="default" w:ascii="Times New Roman" w:hAnsi="Times New Roman" w:cs="Times New Roman"/>
                      <w:i w:val="0"/>
                      <w:iCs w:val="0"/>
                      <w:color w:val="auto"/>
                      <w:highlight w:val="none"/>
                      <w:u w:val="none"/>
                      <w:shd w:val="clear" w:color="auto" w:fill="auto"/>
                      <w:vertAlign w:val="baseline"/>
                    </w:rPr>
                  </w:pPr>
                </w:p>
              </w:tc>
            </w:tr>
          </w:tbl>
          <w:p>
            <w:pPr>
              <w:spacing w:line="240" w:lineRule="auto"/>
              <w:ind w:firstLine="480" w:firstLineChars="200"/>
              <w:rPr>
                <w:rFonts w:hint="eastAsia"/>
                <w:color w:val="auto"/>
                <w:sz w:val="24"/>
                <w:highlight w:val="none"/>
                <w:lang w:val="en-US" w:eastAsia="zh-CN"/>
              </w:rPr>
            </w:pPr>
          </w:p>
          <w:p>
            <w:pPr>
              <w:spacing w:line="360" w:lineRule="auto"/>
              <w:ind w:firstLine="480" w:firstLineChars="200"/>
              <w:rPr>
                <w:rFonts w:hint="eastAsia" w:eastAsia="宋体"/>
                <w:color w:val="auto"/>
                <w:sz w:val="24"/>
                <w:highlight w:val="none"/>
                <w:lang w:val="en-US" w:eastAsia="zh-CN"/>
              </w:rPr>
            </w:pPr>
            <w:r>
              <w:rPr>
                <w:rFonts w:hint="eastAsia"/>
                <w:color w:val="auto"/>
                <w:sz w:val="24"/>
                <w:highlight w:val="none"/>
                <w:lang w:val="en-US" w:eastAsia="zh-CN"/>
              </w:rPr>
              <w:t>2）颗粒物</w:t>
            </w:r>
          </w:p>
          <w:p>
            <w:pPr>
              <w:spacing w:line="360" w:lineRule="auto"/>
              <w:ind w:firstLine="480" w:firstLineChars="200"/>
              <w:rPr>
                <w:rFonts w:hint="eastAsia" w:cs="Times New Roman"/>
                <w:i w:val="0"/>
                <w:iCs w:val="0"/>
                <w:color w:val="auto"/>
                <w:sz w:val="24"/>
                <w:highlight w:val="none"/>
                <w:u w:val="none"/>
                <w:shd w:val="clear" w:color="auto" w:fill="auto"/>
                <w:lang w:val="en-US" w:eastAsia="zh-CN"/>
              </w:rPr>
            </w:pPr>
            <w:r>
              <w:rPr>
                <w:rFonts w:hint="default" w:ascii="Times New Roman" w:hAnsi="Times New Roman" w:cs="Times New Roman"/>
                <w:i w:val="0"/>
                <w:iCs w:val="0"/>
                <w:color w:val="auto"/>
                <w:sz w:val="24"/>
                <w:highlight w:val="none"/>
                <w:shd w:val="clear" w:color="auto" w:fill="auto"/>
                <w:lang w:val="en-US" w:eastAsia="zh-CN"/>
              </w:rPr>
              <w:t>根据《排污许可证申请与核发技术规范 废弃资源加工工业》（HJ1034-2019）4.7.3.2废塑料加工颗粒物执行标准为</w:t>
            </w:r>
            <w:r>
              <w:rPr>
                <w:rFonts w:hint="default" w:ascii="Times New Roman" w:hAnsi="Times New Roman" w:cs="Times New Roman"/>
                <w:i w:val="0"/>
                <w:iCs w:val="0"/>
                <w:color w:val="auto"/>
                <w:sz w:val="24"/>
                <w:highlight w:val="none"/>
                <w:u w:val="none"/>
                <w:shd w:val="clear" w:color="auto" w:fill="auto"/>
                <w:lang w:val="en-US" w:eastAsia="zh-CN"/>
              </w:rPr>
              <w:t>《大气污染物综合排放标准》（GB16297-1996），故</w:t>
            </w:r>
            <w:r>
              <w:rPr>
                <w:rFonts w:hint="default" w:ascii="Times New Roman" w:hAnsi="Times New Roman" w:cs="Times New Roman"/>
                <w:i w:val="0"/>
                <w:iCs w:val="0"/>
                <w:color w:val="auto"/>
                <w:sz w:val="24"/>
                <w:highlight w:val="none"/>
                <w:shd w:val="clear" w:color="auto" w:fill="auto"/>
                <w:lang w:val="en-US" w:eastAsia="zh-CN"/>
              </w:rPr>
              <w:t>本项目</w:t>
            </w:r>
            <w:r>
              <w:rPr>
                <w:rFonts w:hint="eastAsia" w:cs="Times New Roman"/>
                <w:i w:val="0"/>
                <w:iCs w:val="0"/>
                <w:color w:val="auto"/>
                <w:sz w:val="24"/>
                <w:highlight w:val="none"/>
                <w:shd w:val="clear" w:color="auto" w:fill="auto"/>
                <w:lang w:val="en-US" w:eastAsia="zh-CN"/>
              </w:rPr>
              <w:t>树脂隔音材料破碎工序中</w:t>
            </w:r>
            <w:r>
              <w:rPr>
                <w:rFonts w:hint="default" w:ascii="Times New Roman" w:hAnsi="Times New Roman" w:cs="Times New Roman"/>
                <w:i w:val="0"/>
                <w:iCs w:val="0"/>
                <w:color w:val="auto"/>
                <w:sz w:val="24"/>
                <w:highlight w:val="none"/>
                <w:shd w:val="clear" w:color="auto" w:fill="auto"/>
                <w:lang w:val="en-US" w:eastAsia="zh-CN"/>
              </w:rPr>
              <w:t>不合格产品破碎产生的颗粒物</w:t>
            </w:r>
            <w:r>
              <w:rPr>
                <w:rFonts w:hint="default" w:ascii="Times New Roman" w:hAnsi="Times New Roman" w:cs="Times New Roman"/>
                <w:color w:val="auto"/>
                <w:sz w:val="24"/>
                <w:szCs w:val="24"/>
                <w:highlight w:val="none"/>
                <w:lang w:val="en-US" w:eastAsia="zh-CN"/>
              </w:rPr>
              <w:t>（G</w:t>
            </w:r>
            <w:r>
              <w:rPr>
                <w:rFonts w:hint="eastAsia"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lang w:val="en-US" w:eastAsia="zh-CN"/>
              </w:rPr>
              <w:t>）</w:t>
            </w:r>
            <w:r>
              <w:rPr>
                <w:rFonts w:hint="default" w:ascii="Times New Roman" w:hAnsi="Times New Roman" w:cs="Times New Roman"/>
                <w:i w:val="0"/>
                <w:iCs w:val="0"/>
                <w:color w:val="auto"/>
                <w:sz w:val="24"/>
                <w:highlight w:val="none"/>
                <w:shd w:val="clear" w:color="auto" w:fill="auto"/>
                <w:lang w:val="en-US" w:eastAsia="zh-CN"/>
              </w:rPr>
              <w:t>执行</w:t>
            </w:r>
            <w:r>
              <w:rPr>
                <w:rFonts w:hint="default" w:ascii="Times New Roman" w:hAnsi="Times New Roman" w:cs="Times New Roman"/>
                <w:i w:val="0"/>
                <w:iCs w:val="0"/>
                <w:color w:val="auto"/>
                <w:sz w:val="24"/>
                <w:highlight w:val="none"/>
                <w:u w:val="none"/>
                <w:shd w:val="clear" w:color="auto" w:fill="auto"/>
                <w:lang w:val="en-US" w:eastAsia="zh-CN"/>
              </w:rPr>
              <w:t>《大气污染物综合排放标准中》（GB16297-1996）中表2新污染源大气污染物二级排放限值要求</w:t>
            </w:r>
            <w:r>
              <w:rPr>
                <w:rFonts w:hint="eastAsia" w:cs="Times New Roman"/>
                <w:i w:val="0"/>
                <w:iCs w:val="0"/>
                <w:color w:val="auto"/>
                <w:sz w:val="24"/>
                <w:highlight w:val="none"/>
                <w:u w:val="none"/>
                <w:shd w:val="clear" w:color="auto" w:fill="auto"/>
                <w:lang w:val="en-US" w:eastAsia="zh-CN"/>
              </w:rPr>
              <w:t>。</w:t>
            </w:r>
          </w:p>
          <w:p>
            <w:pPr>
              <w:ind w:firstLine="482"/>
              <w:jc w:val="center"/>
              <w:rPr>
                <w:rFonts w:hint="default" w:ascii="Times New Roman" w:hAnsi="Times New Roman" w:eastAsia="宋体" w:cs="Times New Roman"/>
                <w:b/>
                <w:bCs/>
                <w:i w:val="0"/>
                <w:iCs w:val="0"/>
                <w:color w:val="auto"/>
                <w:sz w:val="24"/>
                <w:szCs w:val="24"/>
                <w:highlight w:val="none"/>
                <w:shd w:val="clear" w:color="auto" w:fill="auto"/>
                <w:lang w:val="en-US" w:eastAsia="zh-CN"/>
              </w:rPr>
            </w:pPr>
            <w:r>
              <w:rPr>
                <w:rFonts w:hint="default" w:ascii="Times New Roman" w:hAnsi="Times New Roman" w:eastAsia="宋体" w:cs="Times New Roman"/>
                <w:b/>
                <w:bCs/>
                <w:i w:val="0"/>
                <w:iCs w:val="0"/>
                <w:color w:val="auto"/>
                <w:sz w:val="24"/>
                <w:szCs w:val="24"/>
                <w:highlight w:val="none"/>
                <w:shd w:val="clear" w:color="auto" w:fill="auto"/>
                <w:lang w:val="en-US" w:eastAsia="zh-CN"/>
              </w:rPr>
              <w:t>表</w:t>
            </w:r>
            <w:r>
              <w:rPr>
                <w:rFonts w:hint="eastAsia" w:ascii="Times New Roman" w:hAnsi="Times New Roman" w:cs="Times New Roman"/>
                <w:b/>
                <w:bCs/>
                <w:i w:val="0"/>
                <w:iCs w:val="0"/>
                <w:color w:val="auto"/>
                <w:sz w:val="24"/>
                <w:szCs w:val="24"/>
                <w:highlight w:val="none"/>
                <w:shd w:val="clear" w:color="auto" w:fill="auto"/>
                <w:lang w:val="en-US" w:eastAsia="zh-CN"/>
              </w:rPr>
              <w:t>3</w:t>
            </w:r>
            <w:r>
              <w:rPr>
                <w:rFonts w:hint="eastAsia" w:cs="Times New Roman"/>
                <w:b/>
                <w:bCs/>
                <w:i w:val="0"/>
                <w:iCs w:val="0"/>
                <w:color w:val="auto"/>
                <w:sz w:val="24"/>
                <w:szCs w:val="24"/>
                <w:highlight w:val="none"/>
                <w:shd w:val="clear" w:color="auto" w:fill="auto"/>
                <w:lang w:val="en-US" w:eastAsia="zh-CN"/>
              </w:rPr>
              <w:t>-1</w:t>
            </w:r>
            <w:r>
              <w:rPr>
                <w:rFonts w:hint="eastAsia" w:ascii="Times New Roman" w:hAnsi="Times New Roman" w:cs="Times New Roman"/>
                <w:b/>
                <w:bCs/>
                <w:i w:val="0"/>
                <w:iCs w:val="0"/>
                <w:color w:val="auto"/>
                <w:sz w:val="24"/>
                <w:szCs w:val="24"/>
                <w:highlight w:val="none"/>
                <w:shd w:val="clear" w:color="auto" w:fill="auto"/>
                <w:lang w:val="en-US" w:eastAsia="zh-CN"/>
              </w:rPr>
              <w:t>0</w:t>
            </w:r>
            <w:r>
              <w:rPr>
                <w:rFonts w:hint="default" w:ascii="Times New Roman" w:hAnsi="Times New Roman" w:cs="Times New Roman"/>
                <w:b/>
                <w:bCs/>
                <w:i w:val="0"/>
                <w:iCs w:val="0"/>
                <w:color w:val="auto"/>
                <w:sz w:val="24"/>
                <w:szCs w:val="24"/>
                <w:highlight w:val="none"/>
                <w:shd w:val="clear" w:color="auto" w:fill="auto"/>
                <w:lang w:val="en-US" w:eastAsia="zh-CN"/>
              </w:rPr>
              <w:t xml:space="preserve"> </w:t>
            </w:r>
            <w:r>
              <w:rPr>
                <w:rFonts w:hint="default" w:ascii="Times New Roman" w:hAnsi="Times New Roman" w:eastAsia="宋体" w:cs="Times New Roman"/>
                <w:b/>
                <w:bCs/>
                <w:i w:val="0"/>
                <w:iCs w:val="0"/>
                <w:color w:val="auto"/>
                <w:sz w:val="24"/>
                <w:szCs w:val="24"/>
                <w:highlight w:val="none"/>
                <w:shd w:val="clear" w:color="auto" w:fill="auto"/>
                <w:lang w:val="en-US" w:eastAsia="zh-CN"/>
              </w:rPr>
              <w:t xml:space="preserve">  破碎废气污染物排放标准</w:t>
            </w:r>
          </w:p>
          <w:tbl>
            <w:tblPr>
              <w:tblStyle w:val="31"/>
              <w:tblW w:w="843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249"/>
              <w:gridCol w:w="1262"/>
              <w:gridCol w:w="885"/>
              <w:gridCol w:w="2385"/>
              <w:gridCol w:w="149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1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val="0"/>
                      <w:iCs w:val="0"/>
                      <w:color w:val="auto"/>
                      <w:sz w:val="21"/>
                      <w:szCs w:val="21"/>
                      <w:highlight w:val="none"/>
                      <w:shd w:val="clear" w:color="auto" w:fill="auto"/>
                      <w:vertAlign w:val="baseline"/>
                      <w:lang w:val="en-US" w:eastAsia="zh-CN"/>
                    </w:rPr>
                  </w:pPr>
                  <w:r>
                    <w:rPr>
                      <w:rFonts w:hint="default" w:ascii="Times New Roman" w:hAnsi="Times New Roman" w:cs="Times New Roman"/>
                      <w:i w:val="0"/>
                      <w:iCs w:val="0"/>
                      <w:color w:val="auto"/>
                      <w:sz w:val="21"/>
                      <w:szCs w:val="21"/>
                      <w:highlight w:val="none"/>
                      <w:shd w:val="clear" w:color="auto" w:fill="auto"/>
                      <w:vertAlign w:val="baseline"/>
                      <w:lang w:val="en-US" w:eastAsia="zh-CN"/>
                    </w:rPr>
                    <w:t>污染项目</w:t>
                  </w:r>
                </w:p>
              </w:tc>
              <w:tc>
                <w:tcPr>
                  <w:tcW w:w="124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val="0"/>
                      <w:iCs w:val="0"/>
                      <w:color w:val="auto"/>
                      <w:sz w:val="21"/>
                      <w:szCs w:val="21"/>
                      <w:highlight w:val="none"/>
                      <w:shd w:val="clear" w:color="auto" w:fill="auto"/>
                      <w:vertAlign w:val="baseline"/>
                      <w:lang w:val="en-US" w:eastAsia="zh-CN"/>
                    </w:rPr>
                  </w:pPr>
                  <w:r>
                    <w:rPr>
                      <w:rFonts w:hint="default" w:ascii="Times New Roman" w:hAnsi="Times New Roman" w:cs="Times New Roman"/>
                      <w:i w:val="0"/>
                      <w:iCs w:val="0"/>
                      <w:color w:val="auto"/>
                      <w:sz w:val="21"/>
                      <w:szCs w:val="21"/>
                      <w:highlight w:val="none"/>
                      <w:shd w:val="clear" w:color="auto" w:fill="auto"/>
                      <w:vertAlign w:val="baseline"/>
                      <w:lang w:val="en-US" w:eastAsia="zh-CN"/>
                    </w:rPr>
                    <w:t>最高排放速率</w:t>
                  </w:r>
                </w:p>
              </w:tc>
              <w:tc>
                <w:tcPr>
                  <w:tcW w:w="12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val="0"/>
                      <w:iCs w:val="0"/>
                      <w:color w:val="auto"/>
                      <w:sz w:val="21"/>
                      <w:szCs w:val="21"/>
                      <w:highlight w:val="none"/>
                      <w:shd w:val="clear" w:color="auto" w:fill="auto"/>
                      <w:vertAlign w:val="baseline"/>
                      <w:lang w:val="en-US" w:eastAsia="zh-CN"/>
                    </w:rPr>
                  </w:pPr>
                  <w:r>
                    <w:rPr>
                      <w:rFonts w:hint="default" w:ascii="Times New Roman" w:hAnsi="Times New Roman" w:cs="Times New Roman"/>
                      <w:i w:val="0"/>
                      <w:iCs w:val="0"/>
                      <w:color w:val="auto"/>
                      <w:sz w:val="21"/>
                      <w:szCs w:val="21"/>
                      <w:highlight w:val="none"/>
                      <w:shd w:val="clear" w:color="auto" w:fill="auto"/>
                      <w:vertAlign w:val="baseline"/>
                      <w:lang w:val="en-US" w:eastAsia="zh-CN"/>
                    </w:rPr>
                    <w:t>最高排放浓度</w:t>
                  </w:r>
                </w:p>
              </w:tc>
              <w:tc>
                <w:tcPr>
                  <w:tcW w:w="8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val="0"/>
                      <w:iCs w:val="0"/>
                      <w:color w:val="auto"/>
                      <w:sz w:val="21"/>
                      <w:szCs w:val="21"/>
                      <w:highlight w:val="none"/>
                      <w:shd w:val="clear" w:color="auto" w:fill="auto"/>
                      <w:vertAlign w:val="baseline"/>
                      <w:lang w:val="en-US" w:eastAsia="zh-CN"/>
                    </w:rPr>
                  </w:pPr>
                  <w:r>
                    <w:rPr>
                      <w:rFonts w:hint="default" w:ascii="Times New Roman" w:hAnsi="Times New Roman" w:cs="Times New Roman"/>
                      <w:i w:val="0"/>
                      <w:iCs w:val="0"/>
                      <w:color w:val="auto"/>
                      <w:sz w:val="21"/>
                      <w:szCs w:val="21"/>
                      <w:highlight w:val="none"/>
                      <w:shd w:val="clear" w:color="auto" w:fill="auto"/>
                      <w:vertAlign w:val="baseline"/>
                      <w:lang w:val="en-US" w:eastAsia="zh-CN"/>
                    </w:rPr>
                    <w:t>排放筒高度</w:t>
                  </w:r>
                </w:p>
              </w:tc>
              <w:tc>
                <w:tcPr>
                  <w:tcW w:w="23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val="0"/>
                      <w:iCs w:val="0"/>
                      <w:color w:val="auto"/>
                      <w:sz w:val="21"/>
                      <w:szCs w:val="21"/>
                      <w:highlight w:val="none"/>
                      <w:shd w:val="clear" w:color="auto" w:fill="auto"/>
                      <w:vertAlign w:val="baseline"/>
                      <w:lang w:val="en-US" w:eastAsia="zh-CN"/>
                    </w:rPr>
                  </w:pPr>
                  <w:r>
                    <w:rPr>
                      <w:rFonts w:hint="default" w:ascii="Times New Roman" w:hAnsi="Times New Roman" w:cs="Times New Roman"/>
                      <w:i w:val="0"/>
                      <w:iCs w:val="0"/>
                      <w:color w:val="auto"/>
                      <w:sz w:val="21"/>
                      <w:szCs w:val="21"/>
                      <w:highlight w:val="none"/>
                      <w:shd w:val="clear" w:color="auto" w:fill="auto"/>
                      <w:vertAlign w:val="baseline"/>
                      <w:lang w:val="en-US" w:eastAsia="zh-CN"/>
                    </w:rPr>
                    <w:t>污染物排放监控位置</w:t>
                  </w:r>
                </w:p>
              </w:tc>
              <w:tc>
                <w:tcPr>
                  <w:tcW w:w="14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val="0"/>
                      <w:iCs w:val="0"/>
                      <w:color w:val="auto"/>
                      <w:sz w:val="21"/>
                      <w:szCs w:val="21"/>
                      <w:highlight w:val="none"/>
                      <w:shd w:val="clear" w:color="auto" w:fill="auto"/>
                      <w:vertAlign w:val="baseline"/>
                      <w:lang w:val="en-US" w:eastAsia="zh-CN"/>
                    </w:rPr>
                  </w:pPr>
                  <w:r>
                    <w:rPr>
                      <w:rFonts w:hint="default" w:ascii="Times New Roman" w:hAnsi="Times New Roman" w:cs="Times New Roman"/>
                      <w:i w:val="0"/>
                      <w:iCs w:val="0"/>
                      <w:color w:val="auto"/>
                      <w:sz w:val="21"/>
                      <w:szCs w:val="21"/>
                      <w:highlight w:val="none"/>
                      <w:shd w:val="clear" w:color="auto" w:fill="auto"/>
                      <w:vertAlign w:val="baseline"/>
                      <w:lang w:val="en-US" w:eastAsia="zh-CN"/>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1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val="0"/>
                      <w:iCs w:val="0"/>
                      <w:color w:val="auto"/>
                      <w:sz w:val="21"/>
                      <w:szCs w:val="21"/>
                      <w:highlight w:val="none"/>
                      <w:shd w:val="clear" w:color="auto" w:fill="auto"/>
                      <w:vertAlign w:val="baseline"/>
                      <w:lang w:val="en-US" w:eastAsia="zh-CN"/>
                    </w:rPr>
                  </w:pPr>
                  <w:r>
                    <w:rPr>
                      <w:rFonts w:hint="default" w:ascii="Times New Roman" w:hAnsi="Times New Roman" w:cs="Times New Roman"/>
                      <w:i w:val="0"/>
                      <w:iCs w:val="0"/>
                      <w:color w:val="auto"/>
                      <w:sz w:val="21"/>
                      <w:szCs w:val="21"/>
                      <w:highlight w:val="none"/>
                      <w:shd w:val="clear" w:color="auto" w:fill="auto"/>
                      <w:vertAlign w:val="baseline"/>
                      <w:lang w:val="en-US" w:eastAsia="zh-CN"/>
                    </w:rPr>
                    <w:t>颗粒物</w:t>
                  </w:r>
                </w:p>
              </w:tc>
              <w:tc>
                <w:tcPr>
                  <w:tcW w:w="124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val="0"/>
                      <w:iCs w:val="0"/>
                      <w:color w:val="auto"/>
                      <w:sz w:val="21"/>
                      <w:szCs w:val="21"/>
                      <w:highlight w:val="none"/>
                      <w:shd w:val="clear" w:color="auto" w:fill="auto"/>
                      <w:vertAlign w:val="baseline"/>
                      <w:lang w:val="en-US" w:eastAsia="zh-CN"/>
                    </w:rPr>
                  </w:pPr>
                  <w:r>
                    <w:rPr>
                      <w:rFonts w:hint="default" w:ascii="Times New Roman" w:hAnsi="Times New Roman" w:cs="Times New Roman"/>
                      <w:i w:val="0"/>
                      <w:iCs w:val="0"/>
                      <w:color w:val="auto"/>
                      <w:sz w:val="21"/>
                      <w:szCs w:val="21"/>
                      <w:highlight w:val="none"/>
                      <w:shd w:val="clear" w:color="auto" w:fill="auto"/>
                      <w:vertAlign w:val="baseline"/>
                      <w:lang w:val="en-US" w:eastAsia="zh-CN"/>
                    </w:rPr>
                    <w:t>3.5kg/h</w:t>
                  </w:r>
                </w:p>
              </w:tc>
              <w:tc>
                <w:tcPr>
                  <w:tcW w:w="12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val="0"/>
                      <w:iCs w:val="0"/>
                      <w:color w:val="auto"/>
                      <w:sz w:val="21"/>
                      <w:szCs w:val="21"/>
                      <w:highlight w:val="none"/>
                      <w:shd w:val="clear" w:color="auto" w:fill="auto"/>
                      <w:vertAlign w:val="baseline"/>
                      <w:lang w:val="en-US" w:eastAsia="zh-CN"/>
                    </w:rPr>
                  </w:pPr>
                  <w:r>
                    <w:rPr>
                      <w:rFonts w:hint="default" w:ascii="Times New Roman" w:hAnsi="Times New Roman" w:cs="Times New Roman"/>
                      <w:i w:val="0"/>
                      <w:iCs w:val="0"/>
                      <w:color w:val="auto"/>
                      <w:sz w:val="21"/>
                      <w:szCs w:val="21"/>
                      <w:highlight w:val="none"/>
                      <w:shd w:val="clear" w:color="auto" w:fill="auto"/>
                      <w:vertAlign w:val="baseline"/>
                      <w:lang w:val="en-US" w:eastAsia="zh-CN"/>
                    </w:rPr>
                    <w:t>120mg/m</w:t>
                  </w:r>
                  <w:r>
                    <w:rPr>
                      <w:rFonts w:hint="default" w:ascii="Times New Roman" w:hAnsi="Times New Roman" w:cs="Times New Roman"/>
                      <w:i w:val="0"/>
                      <w:iCs w:val="0"/>
                      <w:color w:val="auto"/>
                      <w:sz w:val="21"/>
                      <w:szCs w:val="21"/>
                      <w:highlight w:val="none"/>
                      <w:shd w:val="clear" w:color="auto" w:fill="auto"/>
                      <w:vertAlign w:val="superscript"/>
                      <w:lang w:val="en-US" w:eastAsia="zh-CN"/>
                    </w:rPr>
                    <w:t>3</w:t>
                  </w:r>
                </w:p>
              </w:tc>
              <w:tc>
                <w:tcPr>
                  <w:tcW w:w="8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val="0"/>
                      <w:iCs w:val="0"/>
                      <w:color w:val="auto"/>
                      <w:sz w:val="21"/>
                      <w:szCs w:val="21"/>
                      <w:highlight w:val="none"/>
                      <w:shd w:val="clear" w:color="auto" w:fill="auto"/>
                      <w:vertAlign w:val="baseline"/>
                      <w:lang w:val="en-US" w:eastAsia="zh-CN"/>
                    </w:rPr>
                  </w:pPr>
                  <w:r>
                    <w:rPr>
                      <w:rFonts w:hint="default" w:ascii="Times New Roman" w:hAnsi="Times New Roman" w:cs="Times New Roman"/>
                      <w:i w:val="0"/>
                      <w:iCs w:val="0"/>
                      <w:color w:val="auto"/>
                      <w:sz w:val="21"/>
                      <w:szCs w:val="21"/>
                      <w:highlight w:val="none"/>
                      <w:shd w:val="clear" w:color="auto" w:fill="auto"/>
                      <w:vertAlign w:val="baseline"/>
                      <w:lang w:val="en-US" w:eastAsia="zh-CN"/>
                    </w:rPr>
                    <w:t>15m</w:t>
                  </w:r>
                </w:p>
              </w:tc>
              <w:tc>
                <w:tcPr>
                  <w:tcW w:w="23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val="0"/>
                      <w:iCs w:val="0"/>
                      <w:color w:val="auto"/>
                      <w:sz w:val="21"/>
                      <w:szCs w:val="21"/>
                      <w:highlight w:val="none"/>
                      <w:shd w:val="clear" w:color="auto" w:fill="auto"/>
                      <w:vertAlign w:val="baseline"/>
                      <w:lang w:val="en-US" w:eastAsia="zh-CN"/>
                    </w:rPr>
                  </w:pPr>
                  <w:r>
                    <w:rPr>
                      <w:rFonts w:hint="default" w:ascii="Times New Roman" w:hAnsi="Times New Roman" w:cs="Times New Roman"/>
                      <w:i w:val="0"/>
                      <w:iCs w:val="0"/>
                      <w:color w:val="auto"/>
                      <w:sz w:val="21"/>
                      <w:szCs w:val="21"/>
                      <w:highlight w:val="none"/>
                      <w:shd w:val="clear" w:color="auto" w:fill="auto"/>
                      <w:vertAlign w:val="baseline"/>
                      <w:lang w:val="en-US" w:eastAsia="zh-CN"/>
                    </w:rPr>
                    <w:t>车间或生产设施排气筒</w:t>
                  </w:r>
                </w:p>
              </w:tc>
              <w:tc>
                <w:tcPr>
                  <w:tcW w:w="14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val="0"/>
                      <w:iCs w:val="0"/>
                      <w:color w:val="auto"/>
                      <w:sz w:val="21"/>
                      <w:szCs w:val="21"/>
                      <w:highlight w:val="none"/>
                      <w:shd w:val="clear" w:color="auto" w:fill="auto"/>
                      <w:vertAlign w:val="baseline"/>
                      <w:lang w:val="en-US" w:eastAsia="zh-CN"/>
                    </w:rPr>
                  </w:pPr>
                  <w:r>
                    <w:rPr>
                      <w:rFonts w:hint="default" w:ascii="Times New Roman" w:hAnsi="Times New Roman" w:cs="Times New Roman"/>
                      <w:i w:val="0"/>
                      <w:iCs w:val="0"/>
                      <w:color w:val="auto"/>
                      <w:sz w:val="21"/>
                      <w:szCs w:val="21"/>
                      <w:highlight w:val="none"/>
                      <w:shd w:val="clear" w:color="auto" w:fill="auto"/>
                      <w:vertAlign w:val="baseline"/>
                      <w:lang w:val="en-US" w:eastAsia="zh-CN"/>
                    </w:rPr>
                    <w:t>GB16297-1996</w:t>
                  </w:r>
                </w:p>
              </w:tc>
            </w:tr>
          </w:tbl>
          <w:p>
            <w:pPr>
              <w:spacing w:line="240" w:lineRule="auto"/>
              <w:ind w:firstLine="480" w:firstLineChars="200"/>
              <w:rPr>
                <w:rFonts w:hint="eastAsia"/>
                <w:color w:val="auto"/>
                <w:sz w:val="24"/>
                <w:highlight w:val="none"/>
                <w:lang w:val="en-US" w:eastAsia="zh-CN"/>
              </w:rPr>
            </w:pPr>
          </w:p>
          <w:p>
            <w:pPr>
              <w:pStyle w:val="11"/>
              <w:spacing w:after="0" w:line="360" w:lineRule="auto"/>
              <w:ind w:left="0" w:leftChars="0" w:firstLine="482" w:firstLineChars="200"/>
              <w:rPr>
                <w:b/>
                <w:bCs/>
                <w:color w:val="auto"/>
                <w:highlight w:val="none"/>
              </w:rPr>
            </w:pPr>
            <w:r>
              <w:rPr>
                <w:b/>
                <w:bCs/>
                <w:color w:val="auto"/>
                <w:highlight w:val="none"/>
              </w:rPr>
              <w:t>2.废水排放标准</w:t>
            </w:r>
          </w:p>
          <w:p>
            <w:pPr>
              <w:pStyle w:val="11"/>
              <w:spacing w:after="0" w:line="360" w:lineRule="auto"/>
              <w:ind w:left="0" w:leftChars="0" w:firstLine="480" w:firstLineChars="200"/>
              <w:rPr>
                <w:bCs/>
                <w:color w:val="auto"/>
                <w:kern w:val="2"/>
                <w:szCs w:val="24"/>
                <w:highlight w:val="none"/>
              </w:rPr>
            </w:pPr>
            <w:r>
              <w:rPr>
                <w:color w:val="auto"/>
                <w:szCs w:val="21"/>
                <w:highlight w:val="none"/>
              </w:rPr>
              <w:t>本项目运营期废水主要为生活污水、循环冷却水排水</w:t>
            </w:r>
            <w:r>
              <w:rPr>
                <w:rFonts w:hint="eastAsia"/>
                <w:color w:val="auto"/>
                <w:szCs w:val="21"/>
                <w:highlight w:val="none"/>
                <w:lang w:eastAsia="zh-CN"/>
              </w:rPr>
              <w:t>，</w:t>
            </w:r>
            <w:r>
              <w:rPr>
                <w:color w:val="auto"/>
                <w:szCs w:val="21"/>
                <w:highlight w:val="none"/>
              </w:rPr>
              <w:t>经下水管网排入市政污水管网后排入长春市北郊污水处理厂，处理达标后排入伊通河。</w:t>
            </w:r>
            <w:r>
              <w:rPr>
                <w:bCs/>
                <w:color w:val="auto"/>
                <w:kern w:val="2"/>
                <w:szCs w:val="24"/>
                <w:highlight w:val="none"/>
              </w:rPr>
              <w:t>项目废水排放执行《污水综合排放标准》（GB8978-1996）三级标准，标准限值详见下表。</w:t>
            </w:r>
          </w:p>
          <w:p>
            <w:pPr>
              <w:snapToGrid w:val="0"/>
              <w:jc w:val="center"/>
              <w:rPr>
                <w:b/>
                <w:color w:val="auto"/>
                <w:sz w:val="24"/>
                <w:highlight w:val="none"/>
              </w:rPr>
            </w:pPr>
            <w:r>
              <w:rPr>
                <w:b/>
                <w:color w:val="auto"/>
                <w:sz w:val="24"/>
                <w:highlight w:val="none"/>
              </w:rPr>
              <w:t>表3-</w:t>
            </w:r>
            <w:r>
              <w:rPr>
                <w:rFonts w:hint="eastAsia"/>
                <w:b/>
                <w:color w:val="auto"/>
                <w:sz w:val="24"/>
                <w:highlight w:val="none"/>
                <w:lang w:val="en-US" w:eastAsia="zh-CN"/>
              </w:rPr>
              <w:t>11</w:t>
            </w:r>
            <w:r>
              <w:rPr>
                <w:b/>
                <w:bCs/>
                <w:color w:val="auto"/>
                <w:sz w:val="24"/>
                <w:highlight w:val="none"/>
              </w:rPr>
              <w:t xml:space="preserve">  </w:t>
            </w:r>
            <w:r>
              <w:rPr>
                <w:b/>
                <w:color w:val="auto"/>
                <w:sz w:val="24"/>
                <w:highlight w:val="none"/>
              </w:rPr>
              <w:t>污水排放标准</w:t>
            </w:r>
          </w:p>
          <w:tbl>
            <w:tblPr>
              <w:tblStyle w:val="30"/>
              <w:tblW w:w="5072"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2333"/>
              <w:gridCol w:w="45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5" w:type="pct"/>
                  <w:vAlign w:val="center"/>
                </w:tcPr>
                <w:p>
                  <w:pPr>
                    <w:jc w:val="center"/>
                    <w:rPr>
                      <w:color w:val="auto"/>
                      <w:szCs w:val="21"/>
                      <w:highlight w:val="none"/>
                    </w:rPr>
                  </w:pPr>
                  <w:r>
                    <w:rPr>
                      <w:color w:val="auto"/>
                      <w:szCs w:val="21"/>
                      <w:highlight w:val="none"/>
                    </w:rPr>
                    <w:t>污染物名称</w:t>
                  </w:r>
                </w:p>
              </w:tc>
              <w:tc>
                <w:tcPr>
                  <w:tcW w:w="1370" w:type="pct"/>
                  <w:vAlign w:val="center"/>
                </w:tcPr>
                <w:p>
                  <w:pPr>
                    <w:jc w:val="center"/>
                    <w:rPr>
                      <w:color w:val="auto"/>
                      <w:szCs w:val="21"/>
                      <w:highlight w:val="none"/>
                    </w:rPr>
                  </w:pPr>
                  <w:r>
                    <w:rPr>
                      <w:color w:val="auto"/>
                      <w:szCs w:val="21"/>
                      <w:highlight w:val="none"/>
                    </w:rPr>
                    <w:t>标准限值（mg/l）</w:t>
                  </w:r>
                </w:p>
              </w:tc>
              <w:tc>
                <w:tcPr>
                  <w:tcW w:w="2684" w:type="pct"/>
                  <w:vAlign w:val="center"/>
                </w:tcPr>
                <w:p>
                  <w:pPr>
                    <w:jc w:val="center"/>
                    <w:rPr>
                      <w:color w:val="auto"/>
                      <w:szCs w:val="21"/>
                      <w:highlight w:val="none"/>
                    </w:rPr>
                  </w:pPr>
                  <w:r>
                    <w:rPr>
                      <w:color w:val="auto"/>
                      <w:szCs w:val="21"/>
                      <w:highlight w:val="none"/>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5" w:type="pct"/>
                  <w:vAlign w:val="center"/>
                </w:tcPr>
                <w:p>
                  <w:pPr>
                    <w:pStyle w:val="61"/>
                    <w:tabs>
                      <w:tab w:val="left" w:pos="3720"/>
                    </w:tabs>
                    <w:spacing w:before="48" w:after="48"/>
                    <w:ind w:firstLine="0" w:firstLineChars="0"/>
                    <w:rPr>
                      <w:bCs/>
                      <w:color w:val="auto"/>
                      <w:sz w:val="21"/>
                      <w:szCs w:val="21"/>
                      <w:highlight w:val="none"/>
                    </w:rPr>
                  </w:pPr>
                  <w:r>
                    <w:rPr>
                      <w:bCs/>
                      <w:color w:val="auto"/>
                      <w:sz w:val="21"/>
                      <w:szCs w:val="21"/>
                      <w:highlight w:val="none"/>
                    </w:rPr>
                    <w:t>pH</w:t>
                  </w:r>
                </w:p>
              </w:tc>
              <w:tc>
                <w:tcPr>
                  <w:tcW w:w="1370" w:type="pct"/>
                  <w:vAlign w:val="center"/>
                </w:tcPr>
                <w:p>
                  <w:pPr>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6</w:t>
                  </w:r>
                  <w:r>
                    <w:rPr>
                      <w:rFonts w:hint="eastAsia" w:ascii="Times New Roman" w:hAnsi="Times New Roman" w:eastAsia="宋体" w:cs="Times New Roman"/>
                      <w:color w:val="auto"/>
                      <w:szCs w:val="21"/>
                      <w:highlight w:val="none"/>
                      <w:lang w:val="en-US" w:eastAsia="zh-CN"/>
                    </w:rPr>
                    <w:t>-</w:t>
                  </w:r>
                  <w:r>
                    <w:rPr>
                      <w:rFonts w:ascii="Times New Roman" w:hAnsi="Times New Roman" w:eastAsia="宋体" w:cs="Times New Roman"/>
                      <w:color w:val="auto"/>
                      <w:szCs w:val="21"/>
                      <w:highlight w:val="none"/>
                    </w:rPr>
                    <w:t>9（无量纲）</w:t>
                  </w:r>
                </w:p>
              </w:tc>
              <w:tc>
                <w:tcPr>
                  <w:tcW w:w="2684" w:type="pct"/>
                  <w:vMerge w:val="restart"/>
                  <w:vAlign w:val="center"/>
                </w:tcPr>
                <w:p>
                  <w:pPr>
                    <w:jc w:val="center"/>
                    <w:rPr>
                      <w:color w:val="auto"/>
                      <w:szCs w:val="21"/>
                      <w:highlight w:val="none"/>
                    </w:rPr>
                  </w:pPr>
                  <w:r>
                    <w:rPr>
                      <w:color w:val="auto"/>
                      <w:szCs w:val="21"/>
                      <w:highlight w:val="none"/>
                    </w:rPr>
                    <w:t>《污水综合排放标准》（GB8978-1996）中三级标准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5" w:type="pct"/>
                  <w:vAlign w:val="center"/>
                </w:tcPr>
                <w:p>
                  <w:pPr>
                    <w:jc w:val="center"/>
                    <w:rPr>
                      <w:color w:val="auto"/>
                      <w:szCs w:val="21"/>
                      <w:highlight w:val="none"/>
                    </w:rPr>
                  </w:pPr>
                  <w:r>
                    <w:rPr>
                      <w:color w:val="auto"/>
                      <w:szCs w:val="21"/>
                      <w:highlight w:val="none"/>
                    </w:rPr>
                    <w:t>COD</w:t>
                  </w:r>
                </w:p>
              </w:tc>
              <w:tc>
                <w:tcPr>
                  <w:tcW w:w="1370" w:type="pct"/>
                  <w:vAlign w:val="center"/>
                </w:tcPr>
                <w:p>
                  <w:pPr>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≤500</w:t>
                  </w:r>
                </w:p>
              </w:tc>
              <w:tc>
                <w:tcPr>
                  <w:tcW w:w="2684" w:type="pct"/>
                  <w:vMerge w:val="continue"/>
                  <w:vAlign w:val="center"/>
                </w:tcPr>
                <w:p>
                  <w:pPr>
                    <w:jc w:val="center"/>
                    <w:rPr>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5" w:type="pct"/>
                  <w:vAlign w:val="center"/>
                </w:tcPr>
                <w:p>
                  <w:pPr>
                    <w:jc w:val="center"/>
                    <w:rPr>
                      <w:color w:val="auto"/>
                      <w:szCs w:val="21"/>
                      <w:highlight w:val="none"/>
                    </w:rPr>
                  </w:pPr>
                  <w:r>
                    <w:rPr>
                      <w:color w:val="auto"/>
                      <w:szCs w:val="21"/>
                      <w:highlight w:val="none"/>
                    </w:rPr>
                    <w:t>BOD</w:t>
                  </w:r>
                  <w:r>
                    <w:rPr>
                      <w:color w:val="auto"/>
                      <w:szCs w:val="21"/>
                      <w:highlight w:val="none"/>
                      <w:vertAlign w:val="subscript"/>
                    </w:rPr>
                    <w:t>5</w:t>
                  </w:r>
                </w:p>
              </w:tc>
              <w:tc>
                <w:tcPr>
                  <w:tcW w:w="1370" w:type="pct"/>
                  <w:vAlign w:val="center"/>
                </w:tcPr>
                <w:p>
                  <w:pPr>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≤300</w:t>
                  </w:r>
                </w:p>
              </w:tc>
              <w:tc>
                <w:tcPr>
                  <w:tcW w:w="2684" w:type="pct"/>
                  <w:vMerge w:val="continue"/>
                </w:tcPr>
                <w:p>
                  <w:pPr>
                    <w:jc w:val="center"/>
                    <w:rPr>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5" w:type="pct"/>
                  <w:vAlign w:val="center"/>
                </w:tcPr>
                <w:p>
                  <w:pPr>
                    <w:jc w:val="center"/>
                    <w:rPr>
                      <w:color w:val="auto"/>
                      <w:szCs w:val="21"/>
                      <w:highlight w:val="none"/>
                    </w:rPr>
                  </w:pPr>
                  <w:r>
                    <w:rPr>
                      <w:color w:val="auto"/>
                      <w:szCs w:val="21"/>
                      <w:highlight w:val="none"/>
                    </w:rPr>
                    <w:t>SS</w:t>
                  </w:r>
                </w:p>
              </w:tc>
              <w:tc>
                <w:tcPr>
                  <w:tcW w:w="1370" w:type="pct"/>
                  <w:vAlign w:val="center"/>
                </w:tcPr>
                <w:p>
                  <w:pPr>
                    <w:jc w:val="center"/>
                    <w:rPr>
                      <w:color w:val="auto"/>
                      <w:szCs w:val="21"/>
                      <w:highlight w:val="none"/>
                    </w:rPr>
                  </w:pPr>
                  <w:r>
                    <w:rPr>
                      <w:color w:val="auto"/>
                      <w:szCs w:val="21"/>
                      <w:highlight w:val="none"/>
                    </w:rPr>
                    <w:t>≤400</w:t>
                  </w:r>
                </w:p>
              </w:tc>
              <w:tc>
                <w:tcPr>
                  <w:tcW w:w="2684" w:type="pct"/>
                  <w:vMerge w:val="continue"/>
                </w:tcPr>
                <w:p>
                  <w:pPr>
                    <w:jc w:val="center"/>
                    <w:rPr>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5" w:type="pct"/>
                  <w:vAlign w:val="center"/>
                </w:tcPr>
                <w:p>
                  <w:pPr>
                    <w:jc w:val="center"/>
                    <w:rPr>
                      <w:color w:val="auto"/>
                      <w:szCs w:val="21"/>
                      <w:highlight w:val="none"/>
                    </w:rPr>
                  </w:pPr>
                  <w:r>
                    <w:rPr>
                      <w:color w:val="auto"/>
                      <w:szCs w:val="21"/>
                      <w:highlight w:val="none"/>
                    </w:rPr>
                    <w:t>氨氮</w:t>
                  </w:r>
                </w:p>
              </w:tc>
              <w:tc>
                <w:tcPr>
                  <w:tcW w:w="1370" w:type="pct"/>
                  <w:vAlign w:val="center"/>
                </w:tcPr>
                <w:p>
                  <w:pPr>
                    <w:jc w:val="center"/>
                    <w:rPr>
                      <w:color w:val="auto"/>
                      <w:szCs w:val="21"/>
                      <w:highlight w:val="none"/>
                    </w:rPr>
                  </w:pPr>
                  <w:r>
                    <w:rPr>
                      <w:color w:val="auto"/>
                      <w:szCs w:val="21"/>
                      <w:highlight w:val="none"/>
                    </w:rPr>
                    <w:t>/</w:t>
                  </w:r>
                </w:p>
              </w:tc>
              <w:tc>
                <w:tcPr>
                  <w:tcW w:w="2684" w:type="pct"/>
                  <w:vMerge w:val="continue"/>
                </w:tcPr>
                <w:p>
                  <w:pPr>
                    <w:jc w:val="center"/>
                    <w:rPr>
                      <w:color w:val="auto"/>
                      <w:szCs w:val="21"/>
                      <w:highlight w:val="none"/>
                    </w:rPr>
                  </w:pPr>
                </w:p>
              </w:tc>
            </w:tr>
          </w:tbl>
          <w:p>
            <w:pPr>
              <w:pStyle w:val="11"/>
              <w:spacing w:after="0" w:line="240" w:lineRule="auto"/>
              <w:ind w:left="0" w:leftChars="0" w:firstLine="482" w:firstLineChars="200"/>
              <w:rPr>
                <w:b/>
                <w:bCs/>
                <w:color w:val="auto"/>
                <w:highlight w:val="none"/>
              </w:rPr>
            </w:pPr>
          </w:p>
          <w:p>
            <w:pPr>
              <w:pStyle w:val="11"/>
              <w:spacing w:after="0" w:line="360" w:lineRule="auto"/>
              <w:ind w:left="0" w:leftChars="0" w:firstLine="482" w:firstLineChars="200"/>
              <w:rPr>
                <w:b/>
                <w:bCs/>
                <w:color w:val="auto"/>
                <w:highlight w:val="none"/>
              </w:rPr>
            </w:pPr>
            <w:r>
              <w:rPr>
                <w:b/>
                <w:bCs/>
                <w:color w:val="auto"/>
                <w:highlight w:val="none"/>
              </w:rPr>
              <w:t>3.噪声排放标准</w:t>
            </w:r>
          </w:p>
          <w:p>
            <w:pPr>
              <w:spacing w:line="360" w:lineRule="auto"/>
              <w:ind w:firstLine="480" w:firstLineChars="200"/>
              <w:rPr>
                <w:rFonts w:hint="eastAsia" w:eastAsia="宋体"/>
                <w:bCs/>
                <w:color w:val="auto"/>
                <w:sz w:val="24"/>
                <w:highlight w:val="none"/>
                <w:lang w:eastAsia="zh-CN"/>
              </w:rPr>
            </w:pPr>
            <w:r>
              <w:rPr>
                <w:bCs/>
                <w:color w:val="auto"/>
                <w:sz w:val="24"/>
                <w:highlight w:val="none"/>
              </w:rPr>
              <w:t>施工期噪声执行《建筑施工场界环境噪声排放标准》（GB12523-2011）中限值要求</w:t>
            </w:r>
            <w:r>
              <w:rPr>
                <w:rFonts w:hint="eastAsia"/>
                <w:bCs/>
                <w:color w:val="auto"/>
                <w:sz w:val="24"/>
                <w:highlight w:val="none"/>
                <w:lang w:eastAsia="zh-CN"/>
              </w:rPr>
              <w:t>。</w:t>
            </w:r>
          </w:p>
          <w:p>
            <w:pPr>
              <w:snapToGrid w:val="0"/>
              <w:jc w:val="center"/>
              <w:rPr>
                <w:b/>
                <w:color w:val="auto"/>
                <w:sz w:val="24"/>
                <w:highlight w:val="none"/>
              </w:rPr>
            </w:pPr>
            <w:r>
              <w:rPr>
                <w:b/>
                <w:color w:val="auto"/>
                <w:sz w:val="24"/>
                <w:highlight w:val="none"/>
              </w:rPr>
              <w:t>表3-</w:t>
            </w:r>
            <w:r>
              <w:rPr>
                <w:rFonts w:hint="eastAsia"/>
                <w:b/>
                <w:color w:val="auto"/>
                <w:sz w:val="24"/>
                <w:highlight w:val="none"/>
                <w:lang w:val="en-US" w:eastAsia="zh-CN"/>
              </w:rPr>
              <w:t>12</w:t>
            </w:r>
            <w:r>
              <w:rPr>
                <w:b/>
                <w:bCs/>
                <w:color w:val="auto"/>
                <w:sz w:val="24"/>
                <w:highlight w:val="none"/>
              </w:rPr>
              <w:t xml:space="preserve">  </w:t>
            </w:r>
            <w:r>
              <w:rPr>
                <w:b/>
                <w:color w:val="auto"/>
                <w:sz w:val="24"/>
                <w:highlight w:val="none"/>
              </w:rPr>
              <w:t>《建筑施工场界环境噪声排放标准》（GB12523-2011）</w:t>
            </w:r>
          </w:p>
          <w:tbl>
            <w:tblPr>
              <w:tblStyle w:val="30"/>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810"/>
              <w:gridCol w:w="458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70" w:type="pct"/>
                  <w:vAlign w:val="center"/>
                </w:tcPr>
                <w:p>
                  <w:pPr>
                    <w:jc w:val="center"/>
                    <w:rPr>
                      <w:color w:val="auto"/>
                      <w:szCs w:val="21"/>
                      <w:highlight w:val="none"/>
                    </w:rPr>
                  </w:pPr>
                  <w:r>
                    <w:rPr>
                      <w:color w:val="auto"/>
                      <w:szCs w:val="21"/>
                      <w:highlight w:val="none"/>
                    </w:rPr>
                    <w:t>昼间</w:t>
                  </w:r>
                </w:p>
              </w:tc>
              <w:tc>
                <w:tcPr>
                  <w:tcW w:w="2729" w:type="pct"/>
                  <w:vAlign w:val="center"/>
                </w:tcPr>
                <w:p>
                  <w:pPr>
                    <w:jc w:val="center"/>
                    <w:rPr>
                      <w:color w:val="auto"/>
                      <w:szCs w:val="21"/>
                      <w:highlight w:val="none"/>
                    </w:rPr>
                  </w:pPr>
                  <w:r>
                    <w:rPr>
                      <w:color w:val="auto"/>
                      <w:szCs w:val="21"/>
                      <w:highlight w:val="none"/>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70" w:type="pct"/>
                  <w:vAlign w:val="center"/>
                </w:tcPr>
                <w:p>
                  <w:pPr>
                    <w:jc w:val="center"/>
                    <w:rPr>
                      <w:color w:val="auto"/>
                      <w:szCs w:val="21"/>
                      <w:highlight w:val="none"/>
                    </w:rPr>
                  </w:pPr>
                  <w:r>
                    <w:rPr>
                      <w:color w:val="auto"/>
                      <w:szCs w:val="21"/>
                      <w:highlight w:val="none"/>
                    </w:rPr>
                    <w:t>70</w:t>
                  </w:r>
                </w:p>
              </w:tc>
              <w:tc>
                <w:tcPr>
                  <w:tcW w:w="2729" w:type="pct"/>
                  <w:vAlign w:val="center"/>
                </w:tcPr>
                <w:p>
                  <w:pPr>
                    <w:jc w:val="center"/>
                    <w:rPr>
                      <w:color w:val="auto"/>
                      <w:szCs w:val="21"/>
                      <w:highlight w:val="none"/>
                    </w:rPr>
                  </w:pPr>
                  <w:r>
                    <w:rPr>
                      <w:color w:val="auto"/>
                      <w:szCs w:val="21"/>
                      <w:highlight w:val="none"/>
                    </w:rPr>
                    <w:t>55</w:t>
                  </w:r>
                </w:p>
              </w:tc>
            </w:tr>
          </w:tbl>
          <w:p>
            <w:pPr>
              <w:spacing w:line="240" w:lineRule="auto"/>
              <w:ind w:firstLine="480" w:firstLineChars="200"/>
              <w:rPr>
                <w:bCs/>
                <w:color w:val="auto"/>
                <w:sz w:val="24"/>
                <w:highlight w:val="none"/>
              </w:rPr>
            </w:pPr>
          </w:p>
          <w:p>
            <w:pPr>
              <w:spacing w:line="360" w:lineRule="auto"/>
              <w:ind w:firstLine="480" w:firstLineChars="200"/>
              <w:rPr>
                <w:bCs/>
                <w:color w:val="auto"/>
                <w:sz w:val="24"/>
                <w:highlight w:val="none"/>
              </w:rPr>
            </w:pPr>
            <w:r>
              <w:rPr>
                <w:bCs/>
                <w:color w:val="auto"/>
                <w:sz w:val="24"/>
                <w:highlight w:val="none"/>
              </w:rPr>
              <w:t>项目所在功能区为3类区，运营期厂界噪声执行《工业企业厂界环境噪声排放标准》（GB12348-2008）中3类标准。标准值详见下表。</w:t>
            </w:r>
          </w:p>
          <w:p>
            <w:pPr>
              <w:pStyle w:val="11"/>
              <w:spacing w:after="0"/>
              <w:ind w:left="0" w:leftChars="0"/>
              <w:jc w:val="center"/>
              <w:rPr>
                <w:b/>
                <w:color w:val="auto"/>
                <w:highlight w:val="none"/>
              </w:rPr>
            </w:pPr>
            <w:r>
              <w:rPr>
                <w:b/>
                <w:color w:val="auto"/>
                <w:highlight w:val="none"/>
              </w:rPr>
              <w:t>表3-</w:t>
            </w:r>
            <w:r>
              <w:rPr>
                <w:rFonts w:hint="eastAsia"/>
                <w:b/>
                <w:color w:val="auto"/>
                <w:highlight w:val="none"/>
                <w:lang w:val="en-US" w:eastAsia="zh-CN"/>
              </w:rPr>
              <w:t>13</w:t>
            </w:r>
            <w:r>
              <w:rPr>
                <w:b/>
                <w:bCs/>
                <w:color w:val="auto"/>
                <w:highlight w:val="none"/>
              </w:rPr>
              <w:t xml:space="preserve">  </w:t>
            </w:r>
            <w:r>
              <w:rPr>
                <w:b/>
                <w:color w:val="auto"/>
                <w:highlight w:val="none"/>
              </w:rPr>
              <w:t>《工业企业厂界环境噪声排放标准》（GB12348-2008）</w:t>
            </w:r>
          </w:p>
          <w:tbl>
            <w:tblPr>
              <w:tblStyle w:val="30"/>
              <w:tblW w:w="4999"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98"/>
              <w:gridCol w:w="2993"/>
              <w:gridCol w:w="29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429" w:type="pct"/>
                  <w:vMerge w:val="restart"/>
                  <w:vAlign w:val="center"/>
                </w:tcPr>
                <w:p>
                  <w:pPr>
                    <w:jc w:val="center"/>
                    <w:rPr>
                      <w:color w:val="auto"/>
                      <w:szCs w:val="21"/>
                      <w:highlight w:val="none"/>
                    </w:rPr>
                  </w:pPr>
                  <w:r>
                    <w:rPr>
                      <w:color w:val="auto"/>
                      <w:szCs w:val="21"/>
                      <w:highlight w:val="none"/>
                    </w:rPr>
                    <w:t>类别</w:t>
                  </w:r>
                </w:p>
              </w:tc>
              <w:tc>
                <w:tcPr>
                  <w:tcW w:w="3570" w:type="pct"/>
                  <w:gridSpan w:val="2"/>
                  <w:vAlign w:val="center"/>
                </w:tcPr>
                <w:p>
                  <w:pPr>
                    <w:jc w:val="center"/>
                    <w:rPr>
                      <w:color w:val="auto"/>
                      <w:szCs w:val="21"/>
                      <w:highlight w:val="none"/>
                    </w:rPr>
                  </w:pPr>
                  <w:r>
                    <w:rPr>
                      <w:color w:val="auto"/>
                      <w:szCs w:val="21"/>
                      <w:highlight w:val="none"/>
                    </w:rPr>
                    <w:t>标准值LAeq：dB</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9" w:type="pct"/>
                  <w:vMerge w:val="continue"/>
                  <w:vAlign w:val="center"/>
                </w:tcPr>
                <w:p>
                  <w:pPr>
                    <w:jc w:val="center"/>
                    <w:rPr>
                      <w:color w:val="auto"/>
                      <w:szCs w:val="21"/>
                      <w:highlight w:val="none"/>
                    </w:rPr>
                  </w:pPr>
                </w:p>
              </w:tc>
              <w:tc>
                <w:tcPr>
                  <w:tcW w:w="1783" w:type="pct"/>
                  <w:vAlign w:val="center"/>
                </w:tcPr>
                <w:p>
                  <w:pPr>
                    <w:jc w:val="center"/>
                    <w:rPr>
                      <w:color w:val="auto"/>
                      <w:szCs w:val="21"/>
                      <w:highlight w:val="none"/>
                    </w:rPr>
                  </w:pPr>
                  <w:r>
                    <w:rPr>
                      <w:color w:val="auto"/>
                      <w:szCs w:val="21"/>
                      <w:highlight w:val="none"/>
                    </w:rPr>
                    <w:t>昼</w:t>
                  </w:r>
                </w:p>
              </w:tc>
              <w:tc>
                <w:tcPr>
                  <w:tcW w:w="1786" w:type="pct"/>
                  <w:vAlign w:val="center"/>
                </w:tcPr>
                <w:p>
                  <w:pPr>
                    <w:jc w:val="center"/>
                    <w:rPr>
                      <w:color w:val="auto"/>
                      <w:szCs w:val="21"/>
                      <w:highlight w:val="none"/>
                    </w:rPr>
                  </w:pPr>
                  <w:r>
                    <w:rPr>
                      <w:color w:val="auto"/>
                      <w:szCs w:val="21"/>
                      <w:highlight w:val="none"/>
                    </w:rPr>
                    <w:t>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429" w:type="pct"/>
                  <w:vAlign w:val="center"/>
                </w:tcPr>
                <w:p>
                  <w:pPr>
                    <w:jc w:val="center"/>
                    <w:rPr>
                      <w:color w:val="auto"/>
                      <w:szCs w:val="21"/>
                      <w:highlight w:val="none"/>
                    </w:rPr>
                  </w:pPr>
                  <w:r>
                    <w:rPr>
                      <w:color w:val="auto"/>
                      <w:szCs w:val="21"/>
                      <w:highlight w:val="none"/>
                    </w:rPr>
                    <w:t>3</w:t>
                  </w:r>
                </w:p>
              </w:tc>
              <w:tc>
                <w:tcPr>
                  <w:tcW w:w="1783" w:type="pct"/>
                  <w:vAlign w:val="center"/>
                </w:tcPr>
                <w:p>
                  <w:pPr>
                    <w:jc w:val="center"/>
                    <w:rPr>
                      <w:color w:val="auto"/>
                      <w:szCs w:val="21"/>
                      <w:highlight w:val="none"/>
                    </w:rPr>
                  </w:pPr>
                  <w:r>
                    <w:rPr>
                      <w:color w:val="auto"/>
                      <w:szCs w:val="21"/>
                      <w:highlight w:val="none"/>
                    </w:rPr>
                    <w:t>65</w:t>
                  </w:r>
                </w:p>
              </w:tc>
              <w:tc>
                <w:tcPr>
                  <w:tcW w:w="1786" w:type="pct"/>
                  <w:vAlign w:val="center"/>
                </w:tcPr>
                <w:p>
                  <w:pPr>
                    <w:jc w:val="center"/>
                    <w:rPr>
                      <w:color w:val="auto"/>
                      <w:szCs w:val="21"/>
                      <w:highlight w:val="none"/>
                    </w:rPr>
                  </w:pPr>
                  <w:r>
                    <w:rPr>
                      <w:color w:val="auto"/>
                      <w:szCs w:val="21"/>
                      <w:highlight w:val="none"/>
                    </w:rPr>
                    <w:t>55</w:t>
                  </w:r>
                </w:p>
              </w:tc>
            </w:tr>
          </w:tbl>
          <w:p>
            <w:pPr>
              <w:spacing w:line="240" w:lineRule="auto"/>
              <w:ind w:firstLine="482" w:firstLineChars="200"/>
              <w:rPr>
                <w:b/>
                <w:bCs/>
                <w:color w:val="auto"/>
                <w:kern w:val="0"/>
                <w:sz w:val="24"/>
                <w:szCs w:val="20"/>
                <w:highlight w:val="none"/>
              </w:rPr>
            </w:pPr>
          </w:p>
          <w:p>
            <w:pPr>
              <w:spacing w:line="360" w:lineRule="auto"/>
              <w:ind w:firstLine="482" w:firstLineChars="200"/>
              <w:rPr>
                <w:b/>
                <w:bCs/>
                <w:color w:val="auto"/>
                <w:kern w:val="0"/>
                <w:sz w:val="24"/>
                <w:szCs w:val="20"/>
                <w:highlight w:val="none"/>
              </w:rPr>
            </w:pPr>
            <w:r>
              <w:rPr>
                <w:rFonts w:hint="eastAsia"/>
                <w:b/>
                <w:bCs/>
                <w:color w:val="auto"/>
                <w:kern w:val="0"/>
                <w:sz w:val="24"/>
                <w:szCs w:val="20"/>
                <w:highlight w:val="none"/>
                <w:lang w:val="en-US" w:eastAsia="zh-CN"/>
              </w:rPr>
              <w:t>4</w:t>
            </w:r>
            <w:r>
              <w:rPr>
                <w:b/>
                <w:bCs/>
                <w:color w:val="auto"/>
                <w:kern w:val="0"/>
                <w:sz w:val="24"/>
                <w:szCs w:val="20"/>
                <w:highlight w:val="none"/>
              </w:rPr>
              <w:t>.固体废物</w:t>
            </w:r>
          </w:p>
          <w:p>
            <w:pPr>
              <w:pStyle w:val="63"/>
              <w:adjustRightInd/>
              <w:spacing w:line="360" w:lineRule="auto"/>
              <w:ind w:firstLine="480" w:firstLineChars="200"/>
              <w:textAlignment w:val="auto"/>
              <w:rPr>
                <w:color w:val="auto"/>
                <w:kern w:val="0"/>
                <w:highlight w:val="none"/>
              </w:rPr>
            </w:pPr>
            <w:r>
              <w:rPr>
                <w:color w:val="auto"/>
                <w:highlight w:val="none"/>
              </w:rPr>
              <w:t>一般工业固体废物执行《一般工业废物贮存和填埋污染控制指标》（GB18599-2020）中相关要求，危险废物执行《危险废物贮存污染控制标准》（</w:t>
            </w:r>
            <w:r>
              <w:rPr>
                <w:rFonts w:hint="eastAsia"/>
                <w:color w:val="auto"/>
                <w:highlight w:val="none"/>
                <w:lang w:eastAsia="zh-CN"/>
              </w:rPr>
              <w:t>GB18597-2023</w:t>
            </w:r>
            <w:r>
              <w:rPr>
                <w:color w:val="auto"/>
                <w:highlight w:val="none"/>
              </w:rPr>
              <w:t>）相关要求。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453" w:type="dxa"/>
            <w:vAlign w:val="center"/>
          </w:tcPr>
          <w:p>
            <w:pPr>
              <w:adjustRightInd w:val="0"/>
              <w:snapToGrid w:val="0"/>
              <w:jc w:val="center"/>
              <w:rPr>
                <w:b/>
                <w:bCs/>
                <w:color w:val="auto"/>
                <w:kern w:val="0"/>
                <w:sz w:val="24"/>
                <w:highlight w:val="none"/>
              </w:rPr>
            </w:pPr>
            <w:r>
              <w:rPr>
                <w:b/>
                <w:bCs/>
                <w:color w:val="auto"/>
                <w:kern w:val="0"/>
                <w:sz w:val="24"/>
                <w:highlight w:val="none"/>
              </w:rPr>
              <w:t>总量</w:t>
            </w:r>
          </w:p>
          <w:p>
            <w:pPr>
              <w:adjustRightInd w:val="0"/>
              <w:snapToGrid w:val="0"/>
              <w:jc w:val="center"/>
              <w:rPr>
                <w:b/>
                <w:bCs/>
                <w:color w:val="auto"/>
                <w:kern w:val="0"/>
                <w:sz w:val="24"/>
                <w:highlight w:val="none"/>
              </w:rPr>
            </w:pPr>
            <w:r>
              <w:rPr>
                <w:b/>
                <w:bCs/>
                <w:color w:val="auto"/>
                <w:kern w:val="0"/>
                <w:sz w:val="24"/>
                <w:highlight w:val="none"/>
              </w:rPr>
              <w:t>控制</w:t>
            </w:r>
          </w:p>
          <w:p>
            <w:pPr>
              <w:adjustRightInd w:val="0"/>
              <w:snapToGrid w:val="0"/>
              <w:jc w:val="center"/>
              <w:rPr>
                <w:color w:val="auto"/>
                <w:kern w:val="0"/>
                <w:sz w:val="24"/>
                <w:highlight w:val="none"/>
              </w:rPr>
            </w:pPr>
            <w:r>
              <w:rPr>
                <w:b/>
                <w:bCs/>
                <w:color w:val="auto"/>
                <w:kern w:val="0"/>
                <w:sz w:val="24"/>
                <w:highlight w:val="none"/>
              </w:rPr>
              <w:t>指标</w:t>
            </w:r>
          </w:p>
        </w:tc>
        <w:tc>
          <w:tcPr>
            <w:tcW w:w="8608" w:type="dxa"/>
            <w:vAlign w:val="center"/>
          </w:tcPr>
          <w:p>
            <w:pPr>
              <w:widowControl/>
              <w:spacing w:line="360" w:lineRule="auto"/>
              <w:ind w:firstLine="480" w:firstLineChars="200"/>
              <w:rPr>
                <w:color w:val="auto"/>
                <w:kern w:val="0"/>
                <w:sz w:val="24"/>
                <w:highlight w:val="none"/>
                <w:lang w:bidi="ar"/>
              </w:rPr>
            </w:pPr>
            <w:r>
              <w:rPr>
                <w:color w:val="auto"/>
                <w:kern w:val="0"/>
                <w:sz w:val="24"/>
                <w:highlight w:val="none"/>
                <w:lang w:bidi="ar"/>
              </w:rPr>
              <w:t>根据吉林省生态环境厅《关于进一步明确建设项目主要污染物排放总量审核有关事宜的复函》，对COD、NH</w:t>
            </w:r>
            <w:r>
              <w:rPr>
                <w:color w:val="auto"/>
                <w:kern w:val="0"/>
                <w:sz w:val="24"/>
                <w:highlight w:val="none"/>
                <w:vertAlign w:val="subscript"/>
                <w:lang w:bidi="ar"/>
              </w:rPr>
              <w:t>3</w:t>
            </w:r>
            <w:r>
              <w:rPr>
                <w:color w:val="auto"/>
                <w:kern w:val="0"/>
                <w:sz w:val="24"/>
                <w:highlight w:val="none"/>
                <w:lang w:bidi="ar"/>
              </w:rPr>
              <w:t>-N、SO</w:t>
            </w:r>
            <w:r>
              <w:rPr>
                <w:color w:val="auto"/>
                <w:kern w:val="0"/>
                <w:sz w:val="24"/>
                <w:highlight w:val="none"/>
                <w:vertAlign w:val="subscript"/>
                <w:lang w:bidi="ar"/>
              </w:rPr>
              <w:t>2</w:t>
            </w:r>
            <w:r>
              <w:rPr>
                <w:color w:val="auto"/>
                <w:kern w:val="0"/>
                <w:sz w:val="24"/>
                <w:highlight w:val="none"/>
                <w:lang w:bidi="ar"/>
              </w:rPr>
              <w:t>、NO</w:t>
            </w:r>
            <w:r>
              <w:rPr>
                <w:color w:val="auto"/>
                <w:kern w:val="0"/>
                <w:sz w:val="24"/>
                <w:highlight w:val="none"/>
                <w:vertAlign w:val="subscript"/>
                <w:lang w:bidi="ar"/>
              </w:rPr>
              <w:t>X</w:t>
            </w:r>
            <w:r>
              <w:rPr>
                <w:color w:val="auto"/>
                <w:kern w:val="0"/>
                <w:sz w:val="24"/>
                <w:highlight w:val="none"/>
                <w:lang w:bidi="ar"/>
              </w:rPr>
              <w:t>、NMHC、烟尘等污染物实施总量控制。根据复函，对建设项目污染物排放总量审核实施分类管理，按照行业排污绩效，将建设项目污染物排放总量分为重点行业排放管理，一般行业排放管理和其他行业排放管理三类管理方式。</w:t>
            </w:r>
          </w:p>
          <w:p>
            <w:pPr>
              <w:widowControl/>
              <w:spacing w:line="360" w:lineRule="auto"/>
              <w:ind w:firstLine="480" w:firstLineChars="200"/>
              <w:rPr>
                <w:color w:val="auto"/>
                <w:kern w:val="0"/>
                <w:sz w:val="24"/>
                <w:highlight w:val="none"/>
                <w:lang w:bidi="ar"/>
              </w:rPr>
            </w:pPr>
            <w:r>
              <w:rPr>
                <w:color w:val="auto"/>
                <w:kern w:val="0"/>
                <w:sz w:val="24"/>
                <w:highlight w:val="none"/>
                <w:lang w:bidi="ar"/>
              </w:rPr>
              <w:t>本项目不涉及主要排放口，属于其他行业。其他行业因排污量很少或基本不新增排污量，在环评审批过程中予以豁免主要污染物总量审核。各级环评审批部门应自行建立统计台账，纳入环境管理。</w:t>
            </w:r>
          </w:p>
          <w:p>
            <w:pPr>
              <w:widowControl/>
              <w:spacing w:line="360" w:lineRule="auto"/>
              <w:ind w:firstLine="480" w:firstLineChars="200"/>
              <w:rPr>
                <w:color w:val="auto"/>
                <w:kern w:val="0"/>
                <w:sz w:val="24"/>
                <w:highlight w:val="none"/>
                <w:lang w:bidi="ar"/>
              </w:rPr>
            </w:pPr>
            <w:r>
              <w:rPr>
                <w:color w:val="auto"/>
                <w:kern w:val="0"/>
                <w:sz w:val="24"/>
                <w:highlight w:val="none"/>
                <w:lang w:bidi="ar"/>
              </w:rPr>
              <w:t>本项目运营期废水经</w:t>
            </w:r>
            <w:r>
              <w:rPr>
                <w:rFonts w:hint="eastAsia"/>
                <w:color w:val="auto"/>
                <w:kern w:val="0"/>
                <w:sz w:val="24"/>
                <w:highlight w:val="none"/>
                <w:lang w:eastAsia="zh-CN" w:bidi="ar"/>
              </w:rPr>
              <w:t>市政污水</w:t>
            </w:r>
            <w:r>
              <w:rPr>
                <w:color w:val="auto"/>
                <w:kern w:val="0"/>
                <w:sz w:val="24"/>
                <w:highlight w:val="none"/>
                <w:lang w:bidi="ar"/>
              </w:rPr>
              <w:t>管网排入市政污水管网后排入长春市北郊污水处理厂，处理达标后排入伊通河。项目废水总量控制指标已纳入长春市北郊污水处理厂总量，本次无需重复申请COD、NH</w:t>
            </w:r>
            <w:r>
              <w:rPr>
                <w:color w:val="auto"/>
                <w:kern w:val="0"/>
                <w:sz w:val="24"/>
                <w:highlight w:val="none"/>
                <w:vertAlign w:val="subscript"/>
                <w:lang w:bidi="ar"/>
              </w:rPr>
              <w:t>3</w:t>
            </w:r>
            <w:r>
              <w:rPr>
                <w:color w:val="auto"/>
                <w:kern w:val="0"/>
                <w:sz w:val="24"/>
                <w:highlight w:val="none"/>
                <w:lang w:bidi="ar"/>
              </w:rPr>
              <w:t>-N的总量控制指标。</w:t>
            </w:r>
            <w:r>
              <w:rPr>
                <w:rFonts w:hint="eastAsia" w:ascii="Times New Roman" w:hAnsi="Times New Roman" w:eastAsia="宋体"/>
                <w:bCs/>
                <w:i w:val="0"/>
                <w:iCs w:val="0"/>
                <w:smallCaps w:val="0"/>
                <w:color w:val="auto"/>
                <w:kern w:val="2"/>
                <w:sz w:val="24"/>
                <w:szCs w:val="24"/>
                <w:highlight w:val="none"/>
                <w:shd w:val="clear" w:color="auto" w:fill="auto"/>
                <w:lang w:val="en-US" w:eastAsia="zh-CN" w:bidi="ar-SA"/>
              </w:rPr>
              <w:t>经核算，污染物排放量为颗粒物：</w:t>
            </w:r>
            <w:r>
              <w:rPr>
                <w:rFonts w:hint="eastAsia"/>
                <w:bCs/>
                <w:i w:val="0"/>
                <w:iCs w:val="0"/>
                <w:smallCaps w:val="0"/>
                <w:color w:val="auto"/>
                <w:kern w:val="2"/>
                <w:sz w:val="24"/>
                <w:szCs w:val="24"/>
                <w:highlight w:val="none"/>
                <w:shd w:val="clear" w:color="auto" w:fill="auto"/>
                <w:lang w:val="en-US" w:eastAsia="zh-CN" w:bidi="ar-SA"/>
              </w:rPr>
              <w:t>0.000094</w:t>
            </w:r>
            <w:r>
              <w:rPr>
                <w:rFonts w:hint="default" w:ascii="Times New Roman" w:hAnsi="Times New Roman" w:eastAsia="宋体" w:cs="Times New Roman"/>
                <w:b w:val="0"/>
                <w:bCs w:val="0"/>
                <w:i w:val="0"/>
                <w:iCs w:val="0"/>
                <w:color w:val="auto"/>
                <w:sz w:val="24"/>
                <w:szCs w:val="24"/>
                <w:highlight w:val="none"/>
                <w:u w:val="none"/>
                <w:shd w:val="clear" w:color="auto" w:fill="auto"/>
                <w:lang w:val="en-US" w:eastAsia="zh-CN"/>
              </w:rPr>
              <w:t>t/a</w:t>
            </w:r>
            <w:r>
              <w:rPr>
                <w:rFonts w:hint="eastAsia" w:ascii="Times New Roman" w:hAnsi="Times New Roman" w:eastAsia="宋体"/>
                <w:bCs/>
                <w:i w:val="0"/>
                <w:iCs w:val="0"/>
                <w:smallCaps w:val="0"/>
                <w:color w:val="auto"/>
                <w:kern w:val="2"/>
                <w:sz w:val="24"/>
                <w:szCs w:val="24"/>
                <w:highlight w:val="none"/>
                <w:shd w:val="clear" w:color="auto" w:fill="auto"/>
                <w:lang w:val="en-US" w:eastAsia="zh-CN" w:bidi="ar-SA"/>
              </w:rPr>
              <w:t>；</w:t>
            </w:r>
            <w:r>
              <w:rPr>
                <w:color w:val="auto"/>
                <w:kern w:val="0"/>
                <w:sz w:val="24"/>
                <w:highlight w:val="none"/>
                <w:lang w:bidi="ar"/>
              </w:rPr>
              <w:t>NMHC</w:t>
            </w:r>
            <w:r>
              <w:rPr>
                <w:rFonts w:hint="eastAsia"/>
                <w:color w:val="auto"/>
                <w:kern w:val="0"/>
                <w:sz w:val="24"/>
                <w:highlight w:val="none"/>
                <w:lang w:eastAsia="zh-CN" w:bidi="ar"/>
              </w:rPr>
              <w:t>：</w:t>
            </w:r>
            <w:r>
              <w:rPr>
                <w:rFonts w:hint="eastAsia"/>
                <w:color w:val="auto"/>
                <w:kern w:val="0"/>
                <w:sz w:val="24"/>
                <w:highlight w:val="none"/>
                <w:lang w:val="en-US" w:eastAsia="zh-CN" w:bidi="ar"/>
              </w:rPr>
              <w:t>0.611</w:t>
            </w:r>
            <w:r>
              <w:rPr>
                <w:color w:val="auto"/>
                <w:kern w:val="0"/>
                <w:sz w:val="24"/>
                <w:highlight w:val="none"/>
                <w:lang w:bidi="ar"/>
              </w:rPr>
              <w:t>t/a。</w:t>
            </w:r>
          </w:p>
          <w:p>
            <w:pPr>
              <w:pStyle w:val="23"/>
              <w:rPr>
                <w:color w:val="auto"/>
                <w:kern w:val="0"/>
                <w:sz w:val="24"/>
                <w:highlight w:val="none"/>
                <w:lang w:bidi="ar"/>
              </w:rPr>
            </w:pPr>
          </w:p>
          <w:p>
            <w:pPr>
              <w:rPr>
                <w:color w:val="auto"/>
                <w:kern w:val="0"/>
                <w:sz w:val="24"/>
                <w:highlight w:val="none"/>
                <w:lang w:bidi="ar"/>
              </w:rPr>
            </w:pPr>
          </w:p>
          <w:p>
            <w:pPr>
              <w:pStyle w:val="23"/>
              <w:rPr>
                <w:color w:val="auto"/>
                <w:kern w:val="0"/>
                <w:sz w:val="24"/>
                <w:highlight w:val="none"/>
                <w:lang w:bidi="ar"/>
              </w:rPr>
            </w:pPr>
          </w:p>
          <w:p>
            <w:pPr>
              <w:rPr>
                <w:color w:val="auto"/>
                <w:kern w:val="0"/>
                <w:sz w:val="24"/>
                <w:highlight w:val="none"/>
                <w:lang w:bidi="ar"/>
              </w:rPr>
            </w:pPr>
          </w:p>
          <w:p>
            <w:pPr>
              <w:pStyle w:val="23"/>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widowControl/>
              <w:spacing w:line="360" w:lineRule="auto"/>
              <w:rPr>
                <w:color w:val="auto"/>
                <w:highlight w:val="none"/>
              </w:rPr>
            </w:pPr>
          </w:p>
        </w:tc>
      </w:tr>
    </w:tbl>
    <w:p>
      <w:pPr>
        <w:pStyle w:val="26"/>
        <w:spacing w:before="0" w:beforeAutospacing="0" w:after="0" w:afterAutospacing="0"/>
        <w:jc w:val="center"/>
        <w:outlineLvl w:val="0"/>
        <w:rPr>
          <w:rFonts w:ascii="Times New Roman" w:hAnsi="Times New Roman"/>
          <w:snapToGrid w:val="0"/>
          <w:color w:val="auto"/>
          <w:sz w:val="30"/>
          <w:szCs w:val="30"/>
          <w:highlight w:val="none"/>
        </w:rPr>
      </w:pPr>
      <w:r>
        <w:rPr>
          <w:rFonts w:ascii="Times New Roman" w:hAnsi="Times New Roman"/>
          <w:snapToGrid w:val="0"/>
          <w:color w:val="auto"/>
          <w:sz w:val="36"/>
          <w:szCs w:val="36"/>
          <w:highlight w:val="none"/>
        </w:rPr>
        <w:br w:type="page"/>
      </w:r>
      <w:r>
        <w:rPr>
          <w:rFonts w:ascii="Times New Roman" w:hAnsi="Times New Roman"/>
          <w:b/>
          <w:bCs/>
          <w:snapToGrid w:val="0"/>
          <w:color w:val="auto"/>
          <w:sz w:val="30"/>
          <w:szCs w:val="30"/>
          <w:highlight w:val="none"/>
        </w:rPr>
        <w:t>四、主要环境影响和保护措施</w:t>
      </w:r>
    </w:p>
    <w:tbl>
      <w:tblPr>
        <w:tblStyle w:val="30"/>
        <w:tblW w:w="89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78"/>
        <w:gridCol w:w="86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77" w:hRule="atLeast"/>
          <w:jc w:val="center"/>
        </w:trPr>
        <w:tc>
          <w:tcPr>
            <w:tcW w:w="378" w:type="dxa"/>
            <w:tcMar>
              <w:left w:w="28" w:type="dxa"/>
              <w:right w:w="28" w:type="dxa"/>
            </w:tcMar>
            <w:vAlign w:val="center"/>
          </w:tcPr>
          <w:p>
            <w:pPr>
              <w:pStyle w:val="26"/>
              <w:adjustRightInd w:val="0"/>
              <w:snapToGrid w:val="0"/>
              <w:spacing w:before="0" w:beforeAutospacing="0" w:after="0" w:afterAutospacing="0"/>
              <w:jc w:val="center"/>
              <w:rPr>
                <w:rFonts w:ascii="Times New Roman" w:hAnsi="Times New Roman"/>
                <w:b/>
                <w:bCs/>
                <w:color w:val="auto"/>
                <w:kern w:val="2"/>
                <w:szCs w:val="24"/>
                <w:highlight w:val="none"/>
              </w:rPr>
            </w:pPr>
            <w:r>
              <w:rPr>
                <w:rFonts w:ascii="Times New Roman" w:hAnsi="Times New Roman"/>
                <w:b/>
                <w:bCs/>
                <w:color w:val="auto"/>
                <w:kern w:val="2"/>
                <w:szCs w:val="24"/>
                <w:highlight w:val="none"/>
              </w:rPr>
              <w:t>施工</w:t>
            </w:r>
          </w:p>
          <w:p>
            <w:pPr>
              <w:pStyle w:val="26"/>
              <w:adjustRightInd w:val="0"/>
              <w:snapToGrid w:val="0"/>
              <w:spacing w:before="0" w:beforeAutospacing="0" w:after="0" w:afterAutospacing="0"/>
              <w:jc w:val="center"/>
              <w:rPr>
                <w:rFonts w:ascii="Times New Roman" w:hAnsi="Times New Roman"/>
                <w:b/>
                <w:bCs/>
                <w:color w:val="auto"/>
                <w:kern w:val="2"/>
                <w:szCs w:val="24"/>
                <w:highlight w:val="none"/>
              </w:rPr>
            </w:pPr>
            <w:r>
              <w:rPr>
                <w:rFonts w:ascii="Times New Roman" w:hAnsi="Times New Roman"/>
                <w:b/>
                <w:bCs/>
                <w:color w:val="auto"/>
                <w:kern w:val="2"/>
                <w:szCs w:val="24"/>
                <w:highlight w:val="none"/>
              </w:rPr>
              <w:t>期环</w:t>
            </w:r>
          </w:p>
          <w:p>
            <w:pPr>
              <w:pStyle w:val="26"/>
              <w:adjustRightInd w:val="0"/>
              <w:snapToGrid w:val="0"/>
              <w:spacing w:before="0" w:beforeAutospacing="0" w:after="0" w:afterAutospacing="0"/>
              <w:jc w:val="center"/>
              <w:rPr>
                <w:rFonts w:ascii="Times New Roman" w:hAnsi="Times New Roman"/>
                <w:b/>
                <w:bCs/>
                <w:color w:val="auto"/>
                <w:kern w:val="2"/>
                <w:szCs w:val="24"/>
                <w:highlight w:val="none"/>
              </w:rPr>
            </w:pPr>
            <w:r>
              <w:rPr>
                <w:rFonts w:ascii="Times New Roman" w:hAnsi="Times New Roman"/>
                <w:b/>
                <w:bCs/>
                <w:color w:val="auto"/>
                <w:kern w:val="2"/>
                <w:szCs w:val="24"/>
                <w:highlight w:val="none"/>
              </w:rPr>
              <w:t>境保</w:t>
            </w:r>
          </w:p>
          <w:p>
            <w:pPr>
              <w:pStyle w:val="26"/>
              <w:adjustRightInd w:val="0"/>
              <w:snapToGrid w:val="0"/>
              <w:spacing w:before="0" w:beforeAutospacing="0" w:after="0" w:afterAutospacing="0"/>
              <w:jc w:val="center"/>
              <w:rPr>
                <w:rFonts w:ascii="Times New Roman" w:hAnsi="Times New Roman"/>
                <w:b/>
                <w:bCs/>
                <w:color w:val="auto"/>
                <w:kern w:val="2"/>
                <w:szCs w:val="24"/>
                <w:highlight w:val="none"/>
              </w:rPr>
            </w:pPr>
            <w:r>
              <w:rPr>
                <w:rFonts w:ascii="Times New Roman" w:hAnsi="Times New Roman"/>
                <w:b/>
                <w:bCs/>
                <w:color w:val="auto"/>
                <w:kern w:val="2"/>
                <w:szCs w:val="24"/>
                <w:highlight w:val="none"/>
              </w:rPr>
              <w:t>护措</w:t>
            </w:r>
          </w:p>
          <w:p>
            <w:pPr>
              <w:pStyle w:val="26"/>
              <w:adjustRightInd w:val="0"/>
              <w:snapToGrid w:val="0"/>
              <w:spacing w:before="0" w:beforeAutospacing="0" w:after="0" w:afterAutospacing="0"/>
              <w:jc w:val="center"/>
              <w:rPr>
                <w:rFonts w:ascii="Times New Roman" w:hAnsi="Times New Roman"/>
                <w:bCs/>
                <w:color w:val="auto"/>
                <w:kern w:val="2"/>
                <w:szCs w:val="24"/>
                <w:highlight w:val="none"/>
              </w:rPr>
            </w:pPr>
            <w:r>
              <w:rPr>
                <w:rFonts w:ascii="Times New Roman" w:hAnsi="Times New Roman"/>
                <w:b/>
                <w:bCs/>
                <w:color w:val="auto"/>
                <w:kern w:val="2"/>
                <w:szCs w:val="24"/>
                <w:highlight w:val="none"/>
              </w:rPr>
              <w:t>施</w:t>
            </w:r>
          </w:p>
        </w:tc>
        <w:tc>
          <w:tcPr>
            <w:tcW w:w="8603" w:type="dxa"/>
            <w:vAlign w:val="center"/>
          </w:tcPr>
          <w:p>
            <w:pPr>
              <w:adjustRightInd w:val="0"/>
              <w:snapToGrid w:val="0"/>
              <w:spacing w:line="360" w:lineRule="auto"/>
              <w:ind w:firstLine="482" w:firstLineChars="200"/>
              <w:rPr>
                <w:b/>
                <w:bCs/>
                <w:color w:val="auto"/>
                <w:kern w:val="0"/>
                <w:sz w:val="24"/>
                <w:highlight w:val="none"/>
              </w:rPr>
            </w:pPr>
            <w:r>
              <w:rPr>
                <w:b/>
                <w:bCs/>
                <w:color w:val="auto"/>
                <w:kern w:val="0"/>
                <w:sz w:val="24"/>
                <w:highlight w:val="none"/>
              </w:rPr>
              <w:t>1.</w:t>
            </w:r>
            <w:r>
              <w:rPr>
                <w:rFonts w:hint="eastAsia"/>
                <w:b/>
                <w:bCs/>
                <w:color w:val="auto"/>
                <w:kern w:val="0"/>
                <w:sz w:val="24"/>
                <w:highlight w:val="none"/>
              </w:rPr>
              <w:t>施工期污染防治措施</w:t>
            </w:r>
          </w:p>
          <w:p>
            <w:pPr>
              <w:tabs>
                <w:tab w:val="left" w:pos="624"/>
              </w:tabs>
              <w:spacing w:line="360" w:lineRule="auto"/>
              <w:ind w:firstLine="480" w:firstLineChars="200"/>
              <w:jc w:val="left"/>
              <w:rPr>
                <w:color w:val="auto"/>
                <w:sz w:val="24"/>
                <w:highlight w:val="none"/>
              </w:rPr>
            </w:pPr>
            <w:r>
              <w:rPr>
                <w:rFonts w:hint="eastAsia"/>
                <w:color w:val="auto"/>
                <w:sz w:val="24"/>
                <w:highlight w:val="none"/>
                <w:lang w:eastAsia="zh-CN"/>
              </w:rPr>
              <w:t>本项目依托现有厂房内现产品存储区进行扩建，厂房已建设完成，地面已做好防渗硬化处理，</w:t>
            </w:r>
            <w:r>
              <w:rPr>
                <w:rFonts w:hint="default" w:ascii="Times New Roman" w:hAnsi="Times New Roman" w:eastAsia="宋体" w:cs="Times New Roman"/>
                <w:b w:val="0"/>
                <w:bCs/>
                <w:color w:val="auto"/>
                <w:sz w:val="24"/>
                <w:szCs w:val="24"/>
                <w:highlight w:val="none"/>
                <w:lang w:eastAsia="zh-CN"/>
              </w:rPr>
              <w:t>无土建施工、</w:t>
            </w:r>
            <w:r>
              <w:rPr>
                <w:rFonts w:hint="eastAsia" w:ascii="Times New Roman" w:hAnsi="Times New Roman" w:eastAsia="宋体" w:cs="Times New Roman"/>
                <w:b w:val="0"/>
                <w:bCs/>
                <w:color w:val="auto"/>
                <w:sz w:val="24"/>
                <w:szCs w:val="24"/>
                <w:highlight w:val="none"/>
                <w:lang w:val="en-US" w:eastAsia="zh-CN"/>
              </w:rPr>
              <w:t>需要简单</w:t>
            </w:r>
            <w:r>
              <w:rPr>
                <w:rFonts w:hint="default" w:ascii="Times New Roman" w:hAnsi="Times New Roman" w:eastAsia="宋体" w:cs="Times New Roman"/>
                <w:b w:val="0"/>
                <w:bCs/>
                <w:color w:val="auto"/>
                <w:sz w:val="24"/>
                <w:szCs w:val="24"/>
                <w:highlight w:val="none"/>
                <w:lang w:eastAsia="zh-CN"/>
              </w:rPr>
              <w:t>装修施工</w:t>
            </w:r>
            <w:r>
              <w:rPr>
                <w:rFonts w:hint="eastAsia" w:ascii="Times New Roman" w:hAnsi="Times New Roman" w:eastAsia="宋体" w:cs="Times New Roman"/>
                <w:b w:val="0"/>
                <w:bCs/>
                <w:color w:val="auto"/>
                <w:sz w:val="24"/>
                <w:szCs w:val="24"/>
                <w:highlight w:val="none"/>
                <w:lang w:val="en-US" w:eastAsia="zh-CN"/>
              </w:rPr>
              <w:t>及</w:t>
            </w:r>
            <w:r>
              <w:rPr>
                <w:rFonts w:hint="default" w:ascii="Times New Roman" w:hAnsi="Times New Roman" w:eastAsia="宋体" w:cs="Times New Roman"/>
                <w:b w:val="0"/>
                <w:bCs/>
                <w:color w:val="auto"/>
                <w:sz w:val="24"/>
                <w:szCs w:val="24"/>
                <w:highlight w:val="none"/>
                <w:lang w:eastAsia="zh-CN"/>
              </w:rPr>
              <w:t>设备安装、调试。</w:t>
            </w:r>
            <w:r>
              <w:rPr>
                <w:rFonts w:hint="eastAsia" w:ascii="Times New Roman" w:hAnsi="Times New Roman" w:eastAsia="宋体" w:cs="Times New Roman"/>
                <w:color w:val="auto"/>
                <w:kern w:val="0"/>
                <w:sz w:val="24"/>
                <w:szCs w:val="24"/>
                <w:highlight w:val="none"/>
                <w:lang w:val="en-US" w:eastAsia="zh-CN" w:bidi="zh-CN"/>
              </w:rPr>
              <w:t>故不再进行施工期影响分析。</w:t>
            </w:r>
          </w:p>
          <w:p>
            <w:pPr>
              <w:pStyle w:val="16"/>
              <w:rPr>
                <w:color w:val="auto"/>
                <w:highlight w:val="none"/>
              </w:rPr>
            </w:pPr>
          </w:p>
          <w:p>
            <w:pPr>
              <w:rPr>
                <w:color w:val="auto"/>
                <w:sz w:val="24"/>
                <w:highlight w:val="none"/>
              </w:rPr>
            </w:pPr>
          </w:p>
          <w:p>
            <w:pPr>
              <w:adjustRightInd w:val="0"/>
              <w:snapToGrid w:val="0"/>
              <w:spacing w:line="360" w:lineRule="auto"/>
              <w:rPr>
                <w:bCs/>
                <w:color w:val="auto"/>
                <w:spacing w:val="-1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07" w:hRule="atLeast"/>
          <w:jc w:val="center"/>
        </w:trPr>
        <w:tc>
          <w:tcPr>
            <w:tcW w:w="378" w:type="dxa"/>
            <w:tcMar>
              <w:left w:w="28" w:type="dxa"/>
              <w:right w:w="28" w:type="dxa"/>
            </w:tcMar>
            <w:vAlign w:val="center"/>
          </w:tcPr>
          <w:p>
            <w:pPr>
              <w:adjustRightInd w:val="0"/>
              <w:snapToGrid w:val="0"/>
              <w:jc w:val="center"/>
              <w:rPr>
                <w:bCs/>
                <w:color w:val="auto"/>
                <w:sz w:val="24"/>
                <w:highlight w:val="none"/>
              </w:rPr>
            </w:pPr>
            <w:r>
              <w:rPr>
                <w:b/>
                <w:color w:val="auto"/>
                <w:sz w:val="24"/>
                <w:highlight w:val="none"/>
              </w:rPr>
              <w:t>运营期环境影响和保护措施</w:t>
            </w:r>
          </w:p>
        </w:tc>
        <w:tc>
          <w:tcPr>
            <w:tcW w:w="8603" w:type="dxa"/>
            <w:vAlign w:val="center"/>
          </w:tcPr>
          <w:p>
            <w:pPr>
              <w:widowControl/>
              <w:spacing w:line="360" w:lineRule="auto"/>
              <w:ind w:firstLine="482" w:firstLineChars="200"/>
              <w:rPr>
                <w:b/>
                <w:bCs/>
                <w:color w:val="auto"/>
                <w:sz w:val="24"/>
                <w:highlight w:val="none"/>
              </w:rPr>
            </w:pPr>
            <w:r>
              <w:rPr>
                <w:b/>
                <w:bCs/>
                <w:color w:val="auto"/>
                <w:sz w:val="24"/>
                <w:highlight w:val="none"/>
              </w:rPr>
              <w:t>1.废气</w:t>
            </w:r>
          </w:p>
          <w:p>
            <w:pPr>
              <w:spacing w:line="360" w:lineRule="auto"/>
              <w:ind w:firstLine="480" w:firstLineChars="200"/>
              <w:rPr>
                <w:color w:val="auto"/>
                <w:sz w:val="24"/>
                <w:highlight w:val="none"/>
              </w:rPr>
            </w:pPr>
            <w:r>
              <w:rPr>
                <w:color w:val="auto"/>
                <w:sz w:val="24"/>
                <w:highlight w:val="none"/>
              </w:rPr>
              <w:t>本项目废气主要为</w:t>
            </w:r>
            <w:r>
              <w:rPr>
                <w:rFonts w:hint="default" w:ascii="Times New Roman" w:hAnsi="Times New Roman" w:cs="Times New Roman"/>
                <w:color w:val="auto"/>
                <w:sz w:val="24"/>
                <w:szCs w:val="24"/>
                <w:highlight w:val="none"/>
                <w:lang w:val="en-US" w:eastAsia="zh-CN"/>
              </w:rPr>
              <w:t>注塑废气（G1）</w:t>
            </w:r>
            <w:r>
              <w:rPr>
                <w:color w:val="auto"/>
                <w:sz w:val="24"/>
                <w:highlight w:val="none"/>
              </w:rPr>
              <w:t>、</w:t>
            </w:r>
            <w:r>
              <w:rPr>
                <w:rFonts w:hint="eastAsia"/>
                <w:color w:val="auto"/>
                <w:sz w:val="24"/>
                <w:highlight w:val="none"/>
                <w:lang w:val="en-US" w:eastAsia="zh-CN"/>
              </w:rPr>
              <w:t>破碎废气</w:t>
            </w:r>
            <w:r>
              <w:rPr>
                <w:rFonts w:hint="default" w:ascii="Times New Roman" w:hAnsi="Times New Roman" w:cs="Times New Roman"/>
                <w:color w:val="auto"/>
                <w:sz w:val="24"/>
                <w:szCs w:val="24"/>
                <w:highlight w:val="none"/>
                <w:lang w:val="en-US" w:eastAsia="zh-CN"/>
              </w:rPr>
              <w:t>（G</w:t>
            </w:r>
            <w:r>
              <w:rPr>
                <w:rFonts w:hint="eastAsia"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lang w:val="en-US" w:eastAsia="zh-CN"/>
              </w:rPr>
              <w:t>、</w:t>
            </w:r>
            <w:r>
              <w:rPr>
                <w:rFonts w:hint="default" w:ascii="Times New Roman" w:hAnsi="Times New Roman" w:cs="Times New Roman"/>
                <w:color w:val="auto"/>
                <w:sz w:val="24"/>
                <w:szCs w:val="24"/>
                <w:highlight w:val="none"/>
                <w:lang w:val="en-US" w:eastAsia="zh-CN"/>
              </w:rPr>
              <w:t>模具清洗废气（G3）、防锈剂喷涂废气（G4）</w:t>
            </w:r>
            <w:r>
              <w:rPr>
                <w:color w:val="auto"/>
                <w:sz w:val="24"/>
                <w:highlight w:val="none"/>
              </w:rPr>
              <w:t>。</w:t>
            </w:r>
          </w:p>
          <w:p>
            <w:pPr>
              <w:widowControl/>
              <w:spacing w:line="360" w:lineRule="auto"/>
              <w:ind w:firstLine="482" w:firstLineChars="200"/>
              <w:rPr>
                <w:b/>
                <w:bCs/>
                <w:color w:val="auto"/>
                <w:sz w:val="24"/>
                <w:highlight w:val="none"/>
              </w:rPr>
            </w:pPr>
            <w:r>
              <w:rPr>
                <w:b/>
                <w:bCs/>
                <w:color w:val="auto"/>
                <w:sz w:val="24"/>
                <w:highlight w:val="none"/>
              </w:rPr>
              <w:t>1.1产排污分析</w:t>
            </w:r>
          </w:p>
          <w:p>
            <w:pPr>
              <w:widowControl/>
              <w:spacing w:line="360" w:lineRule="auto"/>
              <w:ind w:firstLine="482" w:firstLineChars="200"/>
              <w:rPr>
                <w:b/>
                <w:bCs/>
                <w:color w:val="auto"/>
                <w:sz w:val="24"/>
                <w:highlight w:val="none"/>
              </w:rPr>
            </w:pPr>
            <w:r>
              <w:rPr>
                <w:rFonts w:hint="eastAsia"/>
                <w:b/>
                <w:bCs/>
                <w:color w:val="auto"/>
                <w:sz w:val="24"/>
                <w:highlight w:val="none"/>
                <w:lang w:eastAsia="zh-CN"/>
              </w:rPr>
              <w:t>（</w:t>
            </w:r>
            <w:r>
              <w:rPr>
                <w:rFonts w:hint="eastAsia"/>
                <w:b/>
                <w:bCs/>
                <w:color w:val="auto"/>
                <w:sz w:val="24"/>
                <w:highlight w:val="none"/>
                <w:lang w:val="en-US" w:eastAsia="zh-CN"/>
              </w:rPr>
              <w:t>1</w:t>
            </w:r>
            <w:r>
              <w:rPr>
                <w:rFonts w:hint="eastAsia"/>
                <w:b/>
                <w:bCs/>
                <w:color w:val="auto"/>
                <w:sz w:val="24"/>
                <w:highlight w:val="none"/>
                <w:lang w:eastAsia="zh-CN"/>
              </w:rPr>
              <w:t>）</w:t>
            </w:r>
            <w:r>
              <w:rPr>
                <w:b/>
                <w:bCs/>
                <w:color w:val="auto"/>
                <w:sz w:val="24"/>
                <w:highlight w:val="none"/>
              </w:rPr>
              <w:t>注塑工序废气（G1）</w:t>
            </w:r>
          </w:p>
          <w:p>
            <w:pPr>
              <w:spacing w:line="360" w:lineRule="auto"/>
              <w:ind w:firstLine="480" w:firstLineChars="200"/>
              <w:rPr>
                <w:color w:val="auto"/>
                <w:sz w:val="24"/>
                <w:highlight w:val="none"/>
              </w:rPr>
            </w:pPr>
            <w:r>
              <w:rPr>
                <w:rFonts w:hint="eastAsia" w:ascii="Times New Roman" w:hAnsi="Times New Roman" w:eastAsia="Times New Roman" w:cs="Times New Roman"/>
                <w:b w:val="0"/>
                <w:bCs w:val="0"/>
                <w:i w:val="0"/>
                <w:iCs w:val="0"/>
                <w:color w:val="auto"/>
                <w:sz w:val="24"/>
                <w:szCs w:val="24"/>
                <w:highlight w:val="none"/>
                <w:u w:val="none"/>
                <w:shd w:val="clear" w:color="auto" w:fill="auto"/>
                <w:lang w:val="en-US" w:eastAsia="zh-CN"/>
              </w:rPr>
              <w:t>本项目注</w:t>
            </w:r>
            <w:r>
              <w:rPr>
                <w:rFonts w:hint="default" w:ascii="Times New Roman" w:hAnsi="Times New Roman" w:eastAsia="Times New Roman" w:cs="Times New Roman"/>
                <w:b w:val="0"/>
                <w:bCs w:val="0"/>
                <w:i w:val="0"/>
                <w:iCs w:val="0"/>
                <w:color w:val="auto"/>
                <w:sz w:val="24"/>
                <w:szCs w:val="24"/>
                <w:highlight w:val="none"/>
                <w:u w:val="none"/>
                <w:shd w:val="clear" w:color="auto" w:fill="auto"/>
                <w:lang w:val="en-US" w:eastAsia="zh-CN"/>
              </w:rPr>
              <w:t>塑工序中的加热温度为180~230℃。其中</w:t>
            </w:r>
            <w:r>
              <w:rPr>
                <w:rFonts w:hint="eastAsia" w:ascii="Times New Roman" w:hAnsi="Times New Roman" w:eastAsia="Times New Roman" w:cs="Times New Roman"/>
                <w:b w:val="0"/>
                <w:bCs w:val="0"/>
                <w:i w:val="0"/>
                <w:iCs w:val="0"/>
                <w:color w:val="auto"/>
                <w:sz w:val="24"/>
                <w:szCs w:val="24"/>
                <w:highlight w:val="none"/>
                <w:u w:val="none"/>
                <w:shd w:val="clear" w:color="auto" w:fill="auto"/>
                <w:lang w:val="en-US" w:eastAsia="zh-CN"/>
              </w:rPr>
              <w:t>PE</w:t>
            </w:r>
            <w:r>
              <w:rPr>
                <w:rFonts w:hint="default" w:ascii="Times New Roman" w:hAnsi="Times New Roman" w:eastAsia="Times New Roman" w:cs="Times New Roman"/>
                <w:b w:val="0"/>
                <w:bCs w:val="0"/>
                <w:i w:val="0"/>
                <w:iCs w:val="0"/>
                <w:color w:val="auto"/>
                <w:sz w:val="24"/>
                <w:szCs w:val="24"/>
                <w:highlight w:val="none"/>
                <w:u w:val="none"/>
                <w:shd w:val="clear" w:color="auto" w:fill="auto"/>
                <w:lang w:val="en-US" w:eastAsia="zh-CN"/>
              </w:rPr>
              <w:t xml:space="preserve">塑料热分解温度为 </w:t>
            </w:r>
            <w:r>
              <w:rPr>
                <w:rFonts w:hint="eastAsia" w:ascii="Times New Roman" w:hAnsi="Times New Roman" w:eastAsia="Times New Roman" w:cs="Times New Roman"/>
                <w:b w:val="0"/>
                <w:bCs w:val="0"/>
                <w:i w:val="0"/>
                <w:iCs w:val="0"/>
                <w:color w:val="auto"/>
                <w:sz w:val="24"/>
                <w:szCs w:val="24"/>
                <w:highlight w:val="none"/>
                <w:u w:val="none"/>
                <w:shd w:val="clear" w:color="auto" w:fill="auto"/>
                <w:lang w:val="en-US" w:eastAsia="zh-CN"/>
              </w:rPr>
              <w:t>410</w:t>
            </w:r>
            <w:r>
              <w:rPr>
                <w:rFonts w:hint="default" w:ascii="Times New Roman" w:hAnsi="Times New Roman" w:eastAsia="Times New Roman" w:cs="Times New Roman"/>
                <w:b w:val="0"/>
                <w:bCs w:val="0"/>
                <w:i w:val="0"/>
                <w:iCs w:val="0"/>
                <w:color w:val="auto"/>
                <w:sz w:val="24"/>
                <w:szCs w:val="24"/>
                <w:highlight w:val="none"/>
                <w:u w:val="none"/>
                <w:shd w:val="clear" w:color="auto" w:fill="auto"/>
                <w:lang w:val="en-US" w:eastAsia="zh-CN"/>
              </w:rPr>
              <w:t>℃，</w:t>
            </w:r>
            <w:r>
              <w:rPr>
                <w:rFonts w:hint="eastAsia" w:ascii="Times New Roman" w:hAnsi="Times New Roman" w:eastAsia="Times New Roman" w:cs="Times New Roman"/>
                <w:b w:val="0"/>
                <w:bCs w:val="0"/>
                <w:i w:val="0"/>
                <w:iCs w:val="0"/>
                <w:color w:val="auto"/>
                <w:sz w:val="24"/>
                <w:szCs w:val="24"/>
                <w:highlight w:val="none"/>
                <w:u w:val="none"/>
                <w:shd w:val="clear" w:color="auto" w:fill="auto"/>
                <w:lang w:val="en-US" w:eastAsia="zh-CN"/>
              </w:rPr>
              <w:t>尼龙</w:t>
            </w:r>
            <w:r>
              <w:rPr>
                <w:rFonts w:hint="default" w:ascii="Times New Roman" w:hAnsi="Times New Roman" w:eastAsia="Times New Roman" w:cs="Times New Roman"/>
                <w:b w:val="0"/>
                <w:bCs w:val="0"/>
                <w:i w:val="0"/>
                <w:iCs w:val="0"/>
                <w:color w:val="auto"/>
                <w:sz w:val="24"/>
                <w:szCs w:val="24"/>
                <w:highlight w:val="none"/>
                <w:u w:val="none"/>
                <w:shd w:val="clear" w:color="auto" w:fill="auto"/>
                <w:lang w:val="en-US" w:eastAsia="zh-CN"/>
              </w:rPr>
              <w:t>热分解温度为</w:t>
            </w:r>
            <w:r>
              <w:rPr>
                <w:rFonts w:hint="eastAsia" w:ascii="Times New Roman" w:hAnsi="Times New Roman" w:eastAsia="Times New Roman" w:cs="Times New Roman"/>
                <w:b w:val="0"/>
                <w:bCs w:val="0"/>
                <w:i w:val="0"/>
                <w:iCs w:val="0"/>
                <w:color w:val="auto"/>
                <w:sz w:val="24"/>
                <w:szCs w:val="24"/>
                <w:highlight w:val="none"/>
                <w:u w:val="none"/>
                <w:shd w:val="clear" w:color="auto" w:fill="auto"/>
                <w:lang w:val="en-US" w:eastAsia="zh-CN"/>
              </w:rPr>
              <w:t>380</w:t>
            </w:r>
            <w:r>
              <w:rPr>
                <w:rFonts w:hint="default" w:ascii="Times New Roman" w:hAnsi="Times New Roman" w:eastAsia="Times New Roman" w:cs="Times New Roman"/>
                <w:b w:val="0"/>
                <w:bCs w:val="0"/>
                <w:i w:val="0"/>
                <w:iCs w:val="0"/>
                <w:color w:val="auto"/>
                <w:sz w:val="24"/>
                <w:szCs w:val="24"/>
                <w:highlight w:val="none"/>
                <w:u w:val="none"/>
                <w:shd w:val="clear" w:color="auto" w:fill="auto"/>
                <w:lang w:val="en-US" w:eastAsia="zh-CN"/>
              </w:rPr>
              <w:t>℃，由于本项目所用原辅材料均为基本无毒、性质稳定的物质，且加热温度均低于所用物料的热分解温度，不会使原材料发生裂解产生多环芳烃类有机物。因此生产过程中只有微量挥发性有机气体产生，主要成分为烯烃类有机物，以非甲烷总烃为表征</w:t>
            </w:r>
            <w:r>
              <w:rPr>
                <w:color w:val="auto"/>
                <w:sz w:val="24"/>
                <w:highlight w:val="none"/>
              </w:rPr>
              <w:t>。</w:t>
            </w:r>
          </w:p>
          <w:p>
            <w:pPr>
              <w:spacing w:line="360" w:lineRule="auto"/>
              <w:ind w:firstLine="480" w:firstLineChars="200"/>
              <w:rPr>
                <w:rFonts w:hint="eastAsia" w:cs="Times New Roman"/>
                <w:b w:val="0"/>
                <w:bCs w:val="0"/>
                <w:i w:val="0"/>
                <w:iCs w:val="0"/>
                <w:color w:val="auto"/>
                <w:sz w:val="24"/>
                <w:szCs w:val="24"/>
                <w:highlight w:val="none"/>
                <w:u w:val="none"/>
                <w:shd w:val="clear" w:color="auto" w:fill="auto"/>
                <w:lang w:val="en-US" w:eastAsia="zh-CN"/>
              </w:rPr>
            </w:pPr>
            <w:r>
              <w:rPr>
                <w:rFonts w:hint="eastAsia" w:cs="Times New Roman"/>
                <w:b w:val="0"/>
                <w:bCs w:val="0"/>
                <w:i w:val="0"/>
                <w:iCs w:val="0"/>
                <w:color w:val="auto"/>
                <w:sz w:val="24"/>
                <w:szCs w:val="24"/>
                <w:highlight w:val="none"/>
                <w:u w:val="none"/>
                <w:shd w:val="clear" w:color="auto" w:fill="auto"/>
                <w:lang w:val="en-US" w:eastAsia="zh-CN"/>
              </w:rPr>
              <w:t>根据《工业源产排污核算方法和系数手册》（2021）</w:t>
            </w:r>
            <w:r>
              <w:rPr>
                <w:rFonts w:hint="default" w:ascii="Times New Roman" w:hAnsi="Times New Roman" w:cs="Times New Roman"/>
                <w:b w:val="0"/>
                <w:bCs w:val="0"/>
                <w:i w:val="0"/>
                <w:iCs w:val="0"/>
                <w:color w:val="auto"/>
                <w:sz w:val="24"/>
                <w:szCs w:val="24"/>
                <w:highlight w:val="none"/>
                <w:u w:val="none"/>
                <w:shd w:val="clear" w:color="auto" w:fill="auto"/>
                <w:lang w:val="en-US" w:eastAsia="zh-CN"/>
              </w:rPr>
              <w:t>中</w:t>
            </w:r>
            <w:r>
              <w:rPr>
                <w:rFonts w:hint="eastAsia" w:ascii="Times New Roman" w:hAnsi="Times New Roman" w:cs="Times New Roman"/>
                <w:b w:val="0"/>
                <w:bCs w:val="0"/>
                <w:i w:val="0"/>
                <w:iCs w:val="0"/>
                <w:color w:val="auto"/>
                <w:sz w:val="24"/>
                <w:szCs w:val="24"/>
                <w:highlight w:val="none"/>
                <w:u w:val="none"/>
                <w:shd w:val="clear" w:color="auto" w:fill="auto"/>
                <w:lang w:val="en-US" w:eastAsia="zh-CN"/>
              </w:rPr>
              <w:t>“</w:t>
            </w:r>
            <w:r>
              <w:rPr>
                <w:rFonts w:hint="default" w:ascii="Times New Roman" w:hAnsi="Times New Roman" w:cs="Times New Roman"/>
                <w:b w:val="0"/>
                <w:bCs w:val="0"/>
                <w:i w:val="0"/>
                <w:iCs w:val="0"/>
                <w:color w:val="auto"/>
                <w:sz w:val="24"/>
                <w:szCs w:val="24"/>
                <w:highlight w:val="none"/>
                <w:u w:val="none"/>
                <w:shd w:val="clear" w:color="auto" w:fill="auto"/>
                <w:lang w:val="en-US" w:eastAsia="zh-CN"/>
              </w:rPr>
              <w:t>2929塑料零件及其他塑料制品制造行业系数表</w:t>
            </w:r>
            <w:r>
              <w:rPr>
                <w:rFonts w:hint="eastAsia" w:ascii="Times New Roman" w:hAnsi="Times New Roman" w:cs="Times New Roman"/>
                <w:b w:val="0"/>
                <w:bCs w:val="0"/>
                <w:i w:val="0"/>
                <w:iCs w:val="0"/>
                <w:color w:val="auto"/>
                <w:sz w:val="24"/>
                <w:szCs w:val="24"/>
                <w:highlight w:val="none"/>
                <w:u w:val="none"/>
                <w:shd w:val="clear" w:color="auto" w:fill="auto"/>
                <w:lang w:val="en-US" w:eastAsia="zh-CN"/>
              </w:rPr>
              <w:t>”</w:t>
            </w:r>
            <w:r>
              <w:rPr>
                <w:rFonts w:hint="default" w:ascii="Times New Roman" w:hAnsi="Times New Roman" w:cs="Times New Roman"/>
                <w:b w:val="0"/>
                <w:bCs w:val="0"/>
                <w:i w:val="0"/>
                <w:iCs w:val="0"/>
                <w:color w:val="auto"/>
                <w:sz w:val="24"/>
                <w:szCs w:val="24"/>
                <w:highlight w:val="none"/>
                <w:u w:val="none"/>
                <w:shd w:val="clear" w:color="auto" w:fill="auto"/>
                <w:lang w:val="en-US" w:eastAsia="zh-CN"/>
              </w:rPr>
              <w:t>，注塑产生的工业废气量为1.2×10</w:t>
            </w:r>
            <w:r>
              <w:rPr>
                <w:rFonts w:hint="default" w:ascii="Times New Roman" w:hAnsi="Times New Roman" w:cs="Times New Roman"/>
                <w:b w:val="0"/>
                <w:bCs w:val="0"/>
                <w:i w:val="0"/>
                <w:iCs w:val="0"/>
                <w:color w:val="auto"/>
                <w:sz w:val="24"/>
                <w:szCs w:val="24"/>
                <w:highlight w:val="none"/>
                <w:u w:val="none"/>
                <w:shd w:val="clear" w:color="auto" w:fill="auto"/>
                <w:vertAlign w:val="superscript"/>
                <w:lang w:val="en-US" w:eastAsia="zh-CN"/>
              </w:rPr>
              <w:t>5</w:t>
            </w:r>
            <w:r>
              <w:rPr>
                <w:rFonts w:hint="default" w:ascii="Times New Roman" w:hAnsi="Times New Roman" w:cs="Times New Roman"/>
                <w:b w:val="0"/>
                <w:bCs w:val="0"/>
                <w:i w:val="0"/>
                <w:iCs w:val="0"/>
                <w:color w:val="auto"/>
                <w:sz w:val="24"/>
                <w:szCs w:val="24"/>
                <w:highlight w:val="none"/>
                <w:u w:val="none"/>
                <w:shd w:val="clear" w:color="auto" w:fill="auto"/>
                <w:lang w:val="en-US" w:eastAsia="zh-CN"/>
              </w:rPr>
              <w:t>Nm</w:t>
            </w:r>
            <w:r>
              <w:rPr>
                <w:rFonts w:hint="eastAsia" w:cs="Times New Roman"/>
                <w:b w:val="0"/>
                <w:bCs w:val="0"/>
                <w:i w:val="0"/>
                <w:iCs w:val="0"/>
                <w:color w:val="auto"/>
                <w:sz w:val="24"/>
                <w:szCs w:val="24"/>
                <w:highlight w:val="none"/>
                <w:u w:val="none"/>
                <w:shd w:val="clear" w:color="auto" w:fill="auto"/>
                <w:vertAlign w:val="superscript"/>
                <w:lang w:val="en-US" w:eastAsia="zh-CN"/>
              </w:rPr>
              <w:t>3</w:t>
            </w:r>
            <w:r>
              <w:rPr>
                <w:rFonts w:hint="default" w:ascii="Times New Roman" w:hAnsi="Times New Roman" w:cs="Times New Roman"/>
                <w:b w:val="0"/>
                <w:bCs w:val="0"/>
                <w:i w:val="0"/>
                <w:iCs w:val="0"/>
                <w:color w:val="auto"/>
                <w:sz w:val="24"/>
                <w:szCs w:val="24"/>
                <w:highlight w:val="none"/>
                <w:u w:val="none"/>
                <w:shd w:val="clear" w:color="auto" w:fill="auto"/>
                <w:lang w:val="en-US" w:eastAsia="zh-CN"/>
              </w:rPr>
              <w:t>/t·产品，挥发性有机物产生量为2.7kg/t·产品。本项目生产规模为年产</w:t>
            </w:r>
            <w:r>
              <w:rPr>
                <w:rFonts w:hint="eastAsia" w:cs="Times New Roman"/>
                <w:b w:val="0"/>
                <w:bCs w:val="0"/>
                <w:i w:val="0"/>
                <w:iCs w:val="0"/>
                <w:color w:val="auto"/>
                <w:sz w:val="24"/>
                <w:szCs w:val="24"/>
                <w:highlight w:val="none"/>
                <w:u w:val="none"/>
                <w:shd w:val="clear" w:color="auto" w:fill="auto"/>
                <w:lang w:val="en-US" w:eastAsia="zh-CN"/>
              </w:rPr>
              <w:t>5</w:t>
            </w:r>
            <w:r>
              <w:rPr>
                <w:rFonts w:hint="default" w:ascii="Times New Roman" w:hAnsi="Times New Roman" w:cs="Times New Roman"/>
                <w:b w:val="0"/>
                <w:bCs w:val="0"/>
                <w:i w:val="0"/>
                <w:iCs w:val="0"/>
                <w:color w:val="auto"/>
                <w:sz w:val="24"/>
                <w:szCs w:val="24"/>
                <w:highlight w:val="none"/>
                <w:u w:val="none"/>
                <w:shd w:val="clear" w:color="auto" w:fill="auto"/>
                <w:lang w:val="en-US" w:eastAsia="zh-CN"/>
              </w:rPr>
              <w:t>00t树脂隔音材料，故注塑废气产生量为</w:t>
            </w:r>
            <w:r>
              <w:rPr>
                <w:rFonts w:hint="eastAsia" w:cs="Times New Roman"/>
                <w:b w:val="0"/>
                <w:bCs w:val="0"/>
                <w:i w:val="0"/>
                <w:iCs w:val="0"/>
                <w:color w:val="auto"/>
                <w:sz w:val="24"/>
                <w:szCs w:val="24"/>
                <w:highlight w:val="none"/>
                <w:u w:val="none"/>
                <w:shd w:val="clear" w:color="auto" w:fill="auto"/>
                <w:lang w:val="en-US" w:eastAsia="zh-CN"/>
              </w:rPr>
              <w:t>6.0</w:t>
            </w:r>
            <w:r>
              <w:rPr>
                <w:rFonts w:hint="default" w:ascii="Times New Roman" w:hAnsi="Times New Roman" w:cs="Times New Roman"/>
                <w:b w:val="0"/>
                <w:bCs w:val="0"/>
                <w:i w:val="0"/>
                <w:iCs w:val="0"/>
                <w:color w:val="auto"/>
                <w:sz w:val="24"/>
                <w:szCs w:val="24"/>
                <w:highlight w:val="none"/>
                <w:u w:val="none"/>
                <w:shd w:val="clear" w:color="auto" w:fill="auto"/>
                <w:lang w:val="en-US" w:eastAsia="zh-CN"/>
              </w:rPr>
              <w:t>×10</w:t>
            </w:r>
            <w:r>
              <w:rPr>
                <w:rFonts w:hint="default" w:ascii="Times New Roman" w:hAnsi="Times New Roman" w:cs="Times New Roman"/>
                <w:b w:val="0"/>
                <w:bCs w:val="0"/>
                <w:i w:val="0"/>
                <w:iCs w:val="0"/>
                <w:color w:val="auto"/>
                <w:sz w:val="24"/>
                <w:szCs w:val="24"/>
                <w:highlight w:val="none"/>
                <w:u w:val="none"/>
                <w:shd w:val="clear" w:color="auto" w:fill="auto"/>
                <w:vertAlign w:val="superscript"/>
                <w:lang w:val="en-US" w:eastAsia="zh-CN"/>
              </w:rPr>
              <w:t>7</w:t>
            </w:r>
            <w:r>
              <w:rPr>
                <w:rFonts w:hint="default" w:ascii="Times New Roman" w:hAnsi="Times New Roman" w:cs="Times New Roman"/>
                <w:b w:val="0"/>
                <w:bCs w:val="0"/>
                <w:i w:val="0"/>
                <w:iCs w:val="0"/>
                <w:color w:val="auto"/>
                <w:sz w:val="24"/>
                <w:szCs w:val="24"/>
                <w:highlight w:val="none"/>
                <w:u w:val="none"/>
                <w:shd w:val="clear" w:color="auto" w:fill="auto"/>
                <w:lang w:val="en-US" w:eastAsia="zh-CN"/>
              </w:rPr>
              <w:t>Nm</w:t>
            </w:r>
            <w:r>
              <w:rPr>
                <w:rFonts w:hint="default" w:ascii="Times New Roman" w:hAnsi="Times New Roman" w:cs="Times New Roman"/>
                <w:b w:val="0"/>
                <w:bCs w:val="0"/>
                <w:i w:val="0"/>
                <w:iCs w:val="0"/>
                <w:color w:val="auto"/>
                <w:sz w:val="24"/>
                <w:szCs w:val="24"/>
                <w:highlight w:val="none"/>
                <w:u w:val="none"/>
                <w:shd w:val="clear" w:color="auto" w:fill="auto"/>
                <w:vertAlign w:val="superscript"/>
                <w:lang w:val="en-US" w:eastAsia="zh-CN"/>
              </w:rPr>
              <w:t>3</w:t>
            </w:r>
            <w:r>
              <w:rPr>
                <w:rFonts w:hint="default" w:ascii="Times New Roman" w:hAnsi="Times New Roman" w:cs="Times New Roman"/>
                <w:b w:val="0"/>
                <w:bCs w:val="0"/>
                <w:i w:val="0"/>
                <w:iCs w:val="0"/>
                <w:color w:val="auto"/>
                <w:sz w:val="24"/>
                <w:szCs w:val="24"/>
                <w:highlight w:val="none"/>
                <w:u w:val="none"/>
                <w:shd w:val="clear" w:color="auto" w:fill="auto"/>
                <w:lang w:val="en-US" w:eastAsia="zh-CN"/>
              </w:rPr>
              <w:t>/a（</w:t>
            </w:r>
            <w:r>
              <w:rPr>
                <w:rFonts w:hint="eastAsia" w:cs="Times New Roman"/>
                <w:b w:val="0"/>
                <w:bCs w:val="0"/>
                <w:i w:val="0"/>
                <w:iCs w:val="0"/>
                <w:color w:val="auto"/>
                <w:sz w:val="24"/>
                <w:szCs w:val="24"/>
                <w:highlight w:val="none"/>
                <w:u w:val="none"/>
                <w:shd w:val="clear" w:color="auto" w:fill="auto"/>
                <w:lang w:val="en-US" w:eastAsia="zh-CN"/>
              </w:rPr>
              <w:t>30</w:t>
            </w:r>
            <w:r>
              <w:rPr>
                <w:rFonts w:hint="default" w:ascii="Times New Roman" w:hAnsi="Times New Roman" w:cs="Times New Roman"/>
                <w:b w:val="0"/>
                <w:bCs w:val="0"/>
                <w:i w:val="0"/>
                <w:iCs w:val="0"/>
                <w:color w:val="auto"/>
                <w:sz w:val="24"/>
                <w:szCs w:val="24"/>
                <w:highlight w:val="none"/>
                <w:u w:val="none"/>
                <w:shd w:val="clear" w:color="auto" w:fill="auto"/>
                <w:lang w:val="en-US" w:eastAsia="zh-CN"/>
              </w:rPr>
              <w:t>000m</w:t>
            </w:r>
            <w:r>
              <w:rPr>
                <w:rFonts w:hint="default" w:ascii="Times New Roman" w:hAnsi="Times New Roman" w:cs="Times New Roman"/>
                <w:b w:val="0"/>
                <w:bCs w:val="0"/>
                <w:i w:val="0"/>
                <w:iCs w:val="0"/>
                <w:color w:val="auto"/>
                <w:sz w:val="24"/>
                <w:szCs w:val="24"/>
                <w:highlight w:val="none"/>
                <w:u w:val="none"/>
                <w:shd w:val="clear" w:color="auto" w:fill="auto"/>
                <w:vertAlign w:val="superscript"/>
                <w:lang w:val="en-US" w:eastAsia="zh-CN"/>
              </w:rPr>
              <w:t>3</w:t>
            </w:r>
            <w:r>
              <w:rPr>
                <w:rFonts w:hint="default" w:ascii="Times New Roman" w:hAnsi="Times New Roman" w:cs="Times New Roman"/>
                <w:b w:val="0"/>
                <w:bCs w:val="0"/>
                <w:i w:val="0"/>
                <w:iCs w:val="0"/>
                <w:color w:val="auto"/>
                <w:sz w:val="24"/>
                <w:szCs w:val="24"/>
                <w:highlight w:val="none"/>
                <w:u w:val="none"/>
                <w:shd w:val="clear" w:color="auto" w:fill="auto"/>
                <w:lang w:val="en-US" w:eastAsia="zh-CN"/>
              </w:rPr>
              <w:t>/h），挥发</w:t>
            </w:r>
            <w:r>
              <w:rPr>
                <w:rFonts w:hint="eastAsia" w:cs="Times New Roman"/>
                <w:b w:val="0"/>
                <w:bCs w:val="0"/>
                <w:i w:val="0"/>
                <w:iCs w:val="0"/>
                <w:color w:val="auto"/>
                <w:sz w:val="24"/>
                <w:szCs w:val="24"/>
                <w:highlight w:val="none"/>
                <w:u w:val="none"/>
                <w:shd w:val="clear" w:color="auto" w:fill="auto"/>
                <w:lang w:val="en-US" w:eastAsia="zh-CN"/>
              </w:rPr>
              <w:t>性有机物（以NMHC计）产生量为1.35t/a，年运行2000h，产生速率为0.675kg/h，NMHC产生浓度为22.5mg/m</w:t>
            </w:r>
            <w:r>
              <w:rPr>
                <w:rFonts w:hint="eastAsia" w:cs="Times New Roman"/>
                <w:b w:val="0"/>
                <w:bCs w:val="0"/>
                <w:i w:val="0"/>
                <w:iCs w:val="0"/>
                <w:color w:val="auto"/>
                <w:sz w:val="24"/>
                <w:szCs w:val="24"/>
                <w:highlight w:val="none"/>
                <w:u w:val="none"/>
                <w:shd w:val="clear" w:color="auto" w:fill="auto"/>
                <w:vertAlign w:val="superscript"/>
                <w:lang w:val="en-US" w:eastAsia="zh-CN"/>
              </w:rPr>
              <w:t>3</w:t>
            </w:r>
            <w:r>
              <w:rPr>
                <w:rFonts w:hint="eastAsia" w:cs="Times New Roman"/>
                <w:b w:val="0"/>
                <w:bCs w:val="0"/>
                <w:i w:val="0"/>
                <w:iCs w:val="0"/>
                <w:color w:val="auto"/>
                <w:sz w:val="24"/>
                <w:szCs w:val="24"/>
                <w:highlight w:val="none"/>
                <w:u w:val="none"/>
                <w:shd w:val="clear" w:color="auto" w:fill="auto"/>
                <w:lang w:val="en-US" w:eastAsia="zh-CN"/>
              </w:rPr>
              <w:t>。</w:t>
            </w:r>
          </w:p>
          <w:p>
            <w:pPr>
              <w:spacing w:line="360" w:lineRule="auto"/>
              <w:ind w:firstLine="482" w:firstLineChars="200"/>
              <w:rPr>
                <w:rFonts w:hint="eastAsia"/>
                <w:color w:val="auto"/>
                <w:sz w:val="24"/>
                <w:highlight w:val="none"/>
                <w:lang w:val="en-US" w:eastAsia="zh-CN"/>
              </w:rPr>
            </w:pPr>
            <w:r>
              <w:rPr>
                <w:rFonts w:hint="eastAsia"/>
                <w:b/>
                <w:bCs/>
                <w:color w:val="auto"/>
                <w:sz w:val="24"/>
                <w:highlight w:val="none"/>
                <w:lang w:eastAsia="zh-CN"/>
              </w:rPr>
              <w:t>（</w:t>
            </w:r>
            <w:r>
              <w:rPr>
                <w:rFonts w:hint="eastAsia"/>
                <w:b/>
                <w:bCs/>
                <w:color w:val="auto"/>
                <w:sz w:val="24"/>
                <w:highlight w:val="none"/>
                <w:lang w:val="en-US" w:eastAsia="zh-CN"/>
              </w:rPr>
              <w:t>2</w:t>
            </w:r>
            <w:r>
              <w:rPr>
                <w:rFonts w:hint="eastAsia"/>
                <w:b/>
                <w:bCs/>
                <w:color w:val="auto"/>
                <w:sz w:val="24"/>
                <w:highlight w:val="none"/>
                <w:lang w:eastAsia="zh-CN"/>
              </w:rPr>
              <w:t>）</w:t>
            </w:r>
            <w:r>
              <w:rPr>
                <w:rFonts w:hint="eastAsia"/>
                <w:b/>
                <w:bCs/>
                <w:color w:val="auto"/>
                <w:sz w:val="24"/>
                <w:highlight w:val="none"/>
                <w:lang w:val="en-US" w:eastAsia="zh-CN"/>
              </w:rPr>
              <w:t>模具清洗废气</w:t>
            </w:r>
            <w:r>
              <w:rPr>
                <w:b/>
                <w:bCs/>
                <w:color w:val="auto"/>
                <w:sz w:val="24"/>
                <w:highlight w:val="none"/>
              </w:rPr>
              <w:t>（G</w:t>
            </w:r>
            <w:r>
              <w:rPr>
                <w:rFonts w:hint="eastAsia"/>
                <w:b/>
                <w:bCs/>
                <w:color w:val="auto"/>
                <w:sz w:val="24"/>
                <w:highlight w:val="none"/>
                <w:lang w:val="en-US" w:eastAsia="zh-CN"/>
              </w:rPr>
              <w:t>3</w:t>
            </w:r>
            <w:r>
              <w:rPr>
                <w:b/>
                <w:bCs/>
                <w:color w:val="auto"/>
                <w:sz w:val="24"/>
                <w:highlight w:val="none"/>
              </w:rPr>
              <w:t>）</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本项目模具清洗剂使用过程中将产生部分有机废气。本项目模具清洗剂使用WD-40清洗剂及银晶模具清洗剂。</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根据WD-40MSDS报告，烃类挥发百分比占总重量的78%。本次环评主要污染物以NMHC为表征，项目使用模具清洗剂90L，密度为0.816（水=1），模具清洗工序NMHC产生量为0.057t/a，清洗时间约为85h/a，产生速率为0.674kg/h。</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根据银晶模具清洗剂MSDS报告可知，主要成分为丙酮（60%）及丁烷液化气（40%），全部挥发，本次环评主要污染物以NMHC为表征，项目使用银晶模具清洗剂1250L，密度0.93kg/L，故产生NMHC 1.16t/a，清洗时间约为250h/a，产生速率为4.64kg/h。</w:t>
            </w:r>
          </w:p>
          <w:p>
            <w:pPr>
              <w:spacing w:line="360" w:lineRule="auto"/>
              <w:ind w:firstLine="480" w:firstLineChars="200"/>
              <w:rPr>
                <w:rFonts w:hint="default"/>
                <w:color w:val="auto"/>
                <w:sz w:val="24"/>
                <w:highlight w:val="none"/>
                <w:lang w:val="en-US" w:eastAsia="zh-CN"/>
              </w:rPr>
            </w:pPr>
            <w:r>
              <w:rPr>
                <w:rFonts w:hint="eastAsia"/>
                <w:color w:val="auto"/>
                <w:sz w:val="24"/>
                <w:highlight w:val="none"/>
                <w:lang w:val="en-US" w:eastAsia="zh-CN"/>
              </w:rPr>
              <w:t>综上，模具清洗NMHC产生量为1.217t/a，最大产生速率为5.314kg/h，最大产生浓度为177mg/m</w:t>
            </w:r>
            <w:r>
              <w:rPr>
                <w:rFonts w:hint="eastAsia"/>
                <w:color w:val="auto"/>
                <w:sz w:val="24"/>
                <w:highlight w:val="none"/>
                <w:vertAlign w:val="superscript"/>
                <w:lang w:val="en-US" w:eastAsia="zh-CN"/>
              </w:rPr>
              <w:t>3</w:t>
            </w:r>
            <w:r>
              <w:rPr>
                <w:rFonts w:hint="eastAsia"/>
                <w:color w:val="auto"/>
                <w:sz w:val="24"/>
                <w:highlight w:val="none"/>
                <w:lang w:val="en-US" w:eastAsia="zh-CN"/>
              </w:rPr>
              <w:t>。</w:t>
            </w:r>
          </w:p>
          <w:p>
            <w:pPr>
              <w:spacing w:line="360" w:lineRule="auto"/>
              <w:ind w:firstLine="482" w:firstLineChars="200"/>
              <w:rPr>
                <w:rFonts w:hint="default" w:ascii="Times New Roman" w:hAnsi="Times New Roman" w:cs="Times New Roman"/>
                <w:b/>
                <w:bCs/>
                <w:color w:val="auto"/>
                <w:sz w:val="24"/>
                <w:highlight w:val="none"/>
                <w:lang w:val="en-US" w:eastAsia="zh-CN"/>
              </w:rPr>
            </w:pPr>
            <w:r>
              <w:rPr>
                <w:rFonts w:hint="eastAsia"/>
                <w:b/>
                <w:bCs/>
                <w:color w:val="auto"/>
                <w:sz w:val="24"/>
                <w:highlight w:val="none"/>
                <w:lang w:eastAsia="zh-CN"/>
              </w:rPr>
              <w:t>（</w:t>
            </w:r>
            <w:r>
              <w:rPr>
                <w:rFonts w:hint="eastAsia"/>
                <w:b/>
                <w:bCs/>
                <w:color w:val="auto"/>
                <w:sz w:val="24"/>
                <w:highlight w:val="none"/>
                <w:lang w:val="en-US" w:eastAsia="zh-CN"/>
              </w:rPr>
              <w:t>3</w:t>
            </w:r>
            <w:r>
              <w:rPr>
                <w:rFonts w:hint="eastAsia"/>
                <w:b/>
                <w:bCs/>
                <w:color w:val="auto"/>
                <w:sz w:val="24"/>
                <w:highlight w:val="none"/>
                <w:lang w:eastAsia="zh-CN"/>
              </w:rPr>
              <w:t>）</w:t>
            </w:r>
            <w:r>
              <w:rPr>
                <w:rFonts w:hint="eastAsia" w:ascii="Times New Roman" w:hAnsi="Times New Roman" w:cs="Times New Roman"/>
                <w:b/>
                <w:bCs/>
                <w:color w:val="auto"/>
                <w:sz w:val="24"/>
                <w:highlight w:val="none"/>
                <w:lang w:val="en-US" w:eastAsia="zh-CN"/>
              </w:rPr>
              <w:t>防锈剂喷涂废气</w:t>
            </w:r>
            <w:r>
              <w:rPr>
                <w:rFonts w:ascii="Times New Roman" w:hAnsi="Times New Roman" w:cs="Times New Roman"/>
                <w:b/>
                <w:bCs/>
                <w:color w:val="auto"/>
                <w:sz w:val="24"/>
                <w:highlight w:val="none"/>
              </w:rPr>
              <w:t>（G</w:t>
            </w:r>
            <w:r>
              <w:rPr>
                <w:rFonts w:hint="eastAsia" w:ascii="Times New Roman" w:hAnsi="Times New Roman" w:cs="Times New Roman"/>
                <w:b/>
                <w:bCs/>
                <w:color w:val="auto"/>
                <w:sz w:val="24"/>
                <w:highlight w:val="none"/>
                <w:lang w:val="en-US" w:eastAsia="zh-CN"/>
              </w:rPr>
              <w:t>4</w:t>
            </w:r>
            <w:r>
              <w:rPr>
                <w:rFonts w:ascii="Times New Roman" w:hAnsi="Times New Roman" w:cs="Times New Roman"/>
                <w:b/>
                <w:bCs/>
                <w:color w:val="auto"/>
                <w:sz w:val="24"/>
                <w:highlight w:val="none"/>
              </w:rPr>
              <w:t>）</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本项目使用高效防锈剂喷涂，防锈剂使用量为50</w:t>
            </w:r>
            <w:r>
              <w:rPr>
                <w:rFonts w:hint="default"/>
                <w:color w:val="auto"/>
                <w:sz w:val="24"/>
                <w:highlight w:val="none"/>
                <w:lang w:val="en-US" w:eastAsia="zh-CN"/>
              </w:rPr>
              <w:t>L</w:t>
            </w:r>
            <w:r>
              <w:rPr>
                <w:rFonts w:hint="eastAsia"/>
                <w:color w:val="auto"/>
                <w:sz w:val="24"/>
                <w:highlight w:val="none"/>
                <w:lang w:val="en-US" w:eastAsia="zh-CN"/>
              </w:rPr>
              <w:t>，密度为770g/L。根据防锈剂MSDS报告可知，物料含丁醚占比50%，液化石油气40%，以上物质假定全部挥发，故防锈剂喷涂有机废气产生量为0.03465t/a，本次环评主要污染物以NMHC为表征，喷涂时间约为42h，NMHC产生速率为0.825kg/h，产生浓度为27.5mg/m</w:t>
            </w:r>
            <w:r>
              <w:rPr>
                <w:rFonts w:hint="eastAsia"/>
                <w:color w:val="auto"/>
                <w:sz w:val="24"/>
                <w:highlight w:val="none"/>
                <w:vertAlign w:val="superscript"/>
                <w:lang w:val="en-US" w:eastAsia="zh-CN"/>
              </w:rPr>
              <w:t>3</w:t>
            </w:r>
            <w:r>
              <w:rPr>
                <w:rFonts w:hint="eastAsia"/>
                <w:color w:val="auto"/>
                <w:sz w:val="24"/>
                <w:highlight w:val="none"/>
                <w:lang w:val="en-US" w:eastAsia="zh-CN"/>
              </w:rPr>
              <w:t>。</w:t>
            </w:r>
          </w:p>
          <w:p>
            <w:pPr>
              <w:spacing w:line="360" w:lineRule="auto"/>
              <w:ind w:firstLine="480" w:firstLineChars="200"/>
              <w:rPr>
                <w:rFonts w:hint="default"/>
                <w:color w:val="auto"/>
                <w:highlight w:val="none"/>
                <w:lang w:val="en-US" w:eastAsia="zh-CN"/>
              </w:rPr>
            </w:pPr>
            <w:r>
              <w:rPr>
                <w:rFonts w:hint="eastAsia"/>
                <w:color w:val="auto"/>
                <w:sz w:val="24"/>
                <w:highlight w:val="none"/>
                <w:lang w:val="en-US" w:eastAsia="zh-CN"/>
              </w:rPr>
              <w:t>综上，项目注塑、清洗防锈工序产生的有机废气总量共计为2.6t/a。</w:t>
            </w:r>
          </w:p>
          <w:p>
            <w:pPr>
              <w:spacing w:line="360" w:lineRule="auto"/>
              <w:ind w:firstLine="480" w:firstLineChars="200"/>
              <w:rPr>
                <w:color w:val="auto"/>
                <w:sz w:val="24"/>
                <w:highlight w:val="none"/>
              </w:rPr>
            </w:pPr>
            <w:r>
              <w:rPr>
                <w:rFonts w:hint="eastAsia"/>
                <w:i w:val="0"/>
                <w:iCs w:val="0"/>
                <w:color w:val="auto"/>
                <w:sz w:val="24"/>
                <w:highlight w:val="none"/>
                <w:u w:val="none"/>
                <w:lang w:val="en-US" w:eastAsia="zh-CN"/>
              </w:rPr>
              <w:t>企业拟在模具清洗设备和</w:t>
            </w:r>
            <w:r>
              <w:rPr>
                <w:b w:val="0"/>
                <w:bCs w:val="0"/>
                <w:i w:val="0"/>
                <w:iCs w:val="0"/>
                <w:color w:val="auto"/>
                <w:sz w:val="24"/>
                <w:highlight w:val="none"/>
                <w:u w:val="none"/>
              </w:rPr>
              <w:t>注塑机上方设置集气罩，对产生的废气进行收集，集气罩收集效率不低于</w:t>
            </w:r>
            <w:r>
              <w:rPr>
                <w:rFonts w:hint="eastAsia"/>
                <w:b w:val="0"/>
                <w:bCs w:val="0"/>
                <w:i w:val="0"/>
                <w:iCs w:val="0"/>
                <w:color w:val="auto"/>
                <w:sz w:val="24"/>
                <w:highlight w:val="none"/>
                <w:u w:val="none"/>
                <w:lang w:val="en-US" w:eastAsia="zh-CN"/>
              </w:rPr>
              <w:t>85</w:t>
            </w:r>
            <w:r>
              <w:rPr>
                <w:b w:val="0"/>
                <w:bCs w:val="0"/>
                <w:i w:val="0"/>
                <w:iCs w:val="0"/>
                <w:color w:val="auto"/>
                <w:sz w:val="24"/>
                <w:highlight w:val="none"/>
                <w:u w:val="none"/>
              </w:rPr>
              <w:t>%，</w:t>
            </w:r>
            <w:r>
              <w:rPr>
                <w:i w:val="0"/>
                <w:iCs w:val="0"/>
                <w:color w:val="auto"/>
                <w:sz w:val="24"/>
                <w:highlight w:val="none"/>
                <w:u w:val="none"/>
              </w:rPr>
              <w:t>风机风量为</w:t>
            </w:r>
            <w:r>
              <w:rPr>
                <w:rFonts w:hint="eastAsia"/>
                <w:i w:val="0"/>
                <w:iCs w:val="0"/>
                <w:color w:val="auto"/>
                <w:sz w:val="24"/>
                <w:highlight w:val="none"/>
                <w:u w:val="none"/>
                <w:lang w:val="en-US" w:eastAsia="zh-CN"/>
              </w:rPr>
              <w:t>30</w:t>
            </w:r>
            <w:r>
              <w:rPr>
                <w:i w:val="0"/>
                <w:iCs w:val="0"/>
                <w:color w:val="auto"/>
                <w:sz w:val="24"/>
                <w:highlight w:val="none"/>
                <w:u w:val="none"/>
              </w:rPr>
              <w:t>000m</w:t>
            </w:r>
            <w:r>
              <w:rPr>
                <w:rFonts w:hint="eastAsia"/>
                <w:i w:val="0"/>
                <w:iCs w:val="0"/>
                <w:color w:val="auto"/>
                <w:sz w:val="24"/>
                <w:highlight w:val="none"/>
                <w:u w:val="none"/>
                <w:vertAlign w:val="superscript"/>
                <w:lang w:val="en-US" w:eastAsia="zh-CN"/>
              </w:rPr>
              <w:t>3</w:t>
            </w:r>
            <w:r>
              <w:rPr>
                <w:i w:val="0"/>
                <w:iCs w:val="0"/>
                <w:color w:val="auto"/>
                <w:sz w:val="24"/>
                <w:highlight w:val="none"/>
                <w:u w:val="none"/>
              </w:rPr>
              <w:t>/h，收集后的废气经密闭管道进入</w:t>
            </w:r>
            <w:r>
              <w:rPr>
                <w:rFonts w:hint="eastAsia"/>
                <w:i w:val="0"/>
                <w:iCs w:val="0"/>
                <w:color w:val="auto"/>
                <w:sz w:val="24"/>
                <w:highlight w:val="none"/>
                <w:u w:val="none"/>
                <w:lang w:eastAsia="zh-CN"/>
              </w:rPr>
              <w:t>“</w:t>
            </w:r>
            <w:r>
              <w:rPr>
                <w:i w:val="0"/>
                <w:iCs w:val="0"/>
                <w:color w:val="auto"/>
                <w:sz w:val="24"/>
                <w:highlight w:val="none"/>
                <w:u w:val="none"/>
              </w:rPr>
              <w:t>活性炭吸附</w:t>
            </w:r>
            <w:r>
              <w:rPr>
                <w:rFonts w:hint="eastAsia"/>
                <w:i w:val="0"/>
                <w:iCs w:val="0"/>
                <w:color w:val="auto"/>
                <w:sz w:val="24"/>
                <w:highlight w:val="none"/>
                <w:u w:val="none"/>
                <w:lang w:eastAsia="zh-CN"/>
              </w:rPr>
              <w:t>”</w:t>
            </w:r>
            <w:r>
              <w:rPr>
                <w:i w:val="0"/>
                <w:iCs w:val="0"/>
                <w:color w:val="auto"/>
                <w:sz w:val="24"/>
                <w:highlight w:val="none"/>
                <w:u w:val="none"/>
              </w:rPr>
              <w:t>装置（TA001）处理净化，净化效率不低于90%，处理达标后经不低于15m高的排气筒高空排放（</w:t>
            </w:r>
            <w:r>
              <w:rPr>
                <w:rFonts w:hint="eastAsia"/>
                <w:i w:val="0"/>
                <w:iCs w:val="0"/>
                <w:color w:val="auto"/>
                <w:sz w:val="24"/>
                <w:highlight w:val="none"/>
                <w:u w:val="none"/>
                <w:lang w:val="en-US" w:eastAsia="zh-CN"/>
              </w:rPr>
              <w:t>注塑废气排气筒</w:t>
            </w:r>
            <w:r>
              <w:rPr>
                <w:i w:val="0"/>
                <w:iCs w:val="0"/>
                <w:color w:val="auto"/>
                <w:sz w:val="24"/>
                <w:highlight w:val="none"/>
                <w:u w:val="none"/>
              </w:rPr>
              <w:t>DA001），</w:t>
            </w:r>
            <w:r>
              <w:rPr>
                <w:color w:val="auto"/>
                <w:sz w:val="24"/>
                <w:highlight w:val="none"/>
              </w:rPr>
              <w:t>则有机废气（非甲烷总烃）有组织排放量为0.</w:t>
            </w:r>
            <w:r>
              <w:rPr>
                <w:rFonts w:hint="eastAsia"/>
                <w:color w:val="auto"/>
                <w:sz w:val="24"/>
                <w:highlight w:val="none"/>
                <w:lang w:val="en-US" w:eastAsia="zh-CN"/>
              </w:rPr>
              <w:t>221</w:t>
            </w:r>
            <w:r>
              <w:rPr>
                <w:color w:val="auto"/>
                <w:sz w:val="24"/>
                <w:highlight w:val="none"/>
              </w:rPr>
              <w:t>t/a（0.</w:t>
            </w:r>
            <w:r>
              <w:rPr>
                <w:rFonts w:hint="eastAsia"/>
                <w:color w:val="auto"/>
                <w:sz w:val="24"/>
                <w:highlight w:val="none"/>
                <w:lang w:val="en-US" w:eastAsia="zh-CN"/>
              </w:rPr>
              <w:t>579</w:t>
            </w:r>
            <w:r>
              <w:rPr>
                <w:color w:val="auto"/>
                <w:sz w:val="24"/>
                <w:highlight w:val="none"/>
              </w:rPr>
              <w:t>kg/h），排放浓度为</w:t>
            </w:r>
            <w:r>
              <w:rPr>
                <w:rFonts w:hint="eastAsia"/>
                <w:color w:val="auto"/>
                <w:sz w:val="24"/>
                <w:highlight w:val="none"/>
                <w:lang w:val="en-US" w:eastAsia="zh-CN"/>
              </w:rPr>
              <w:t>19.2</w:t>
            </w:r>
            <w:r>
              <w:rPr>
                <w:color w:val="auto"/>
                <w:sz w:val="24"/>
                <w:highlight w:val="none"/>
              </w:rPr>
              <w:t>mg/m³，无组织排放量为0.</w:t>
            </w:r>
            <w:r>
              <w:rPr>
                <w:rFonts w:hint="eastAsia"/>
                <w:color w:val="auto"/>
                <w:sz w:val="24"/>
                <w:highlight w:val="none"/>
                <w:lang w:val="en-US" w:eastAsia="zh-CN"/>
              </w:rPr>
              <w:t>39</w:t>
            </w:r>
            <w:r>
              <w:rPr>
                <w:color w:val="auto"/>
                <w:sz w:val="24"/>
                <w:highlight w:val="none"/>
              </w:rPr>
              <w:t>t/a（0.</w:t>
            </w:r>
            <w:r>
              <w:rPr>
                <w:rFonts w:hint="eastAsia"/>
                <w:color w:val="auto"/>
                <w:sz w:val="24"/>
                <w:highlight w:val="none"/>
                <w:lang w:val="en-US" w:eastAsia="zh-CN"/>
              </w:rPr>
              <w:t>195</w:t>
            </w:r>
            <w:r>
              <w:rPr>
                <w:color w:val="auto"/>
                <w:sz w:val="24"/>
                <w:highlight w:val="none"/>
              </w:rPr>
              <w:t>kg/h）。</w:t>
            </w:r>
          </w:p>
          <w:p>
            <w:pPr>
              <w:spacing w:line="360" w:lineRule="auto"/>
              <w:ind w:firstLine="482" w:firstLineChars="200"/>
              <w:rPr>
                <w:rFonts w:hint="eastAsia" w:ascii="Times New Roman" w:hAnsi="Times New Roman" w:cs="Times New Roman"/>
                <w:b/>
                <w:bCs/>
                <w:color w:val="auto"/>
                <w:sz w:val="24"/>
                <w:highlight w:val="none"/>
                <w:lang w:eastAsia="zh-CN"/>
              </w:rPr>
            </w:pPr>
            <w:r>
              <w:rPr>
                <w:rFonts w:hint="eastAsia" w:ascii="Times New Roman" w:hAnsi="Times New Roman" w:cs="Times New Roman"/>
                <w:b/>
                <w:bCs/>
                <w:color w:val="auto"/>
                <w:sz w:val="24"/>
                <w:highlight w:val="none"/>
                <w:lang w:eastAsia="zh-CN"/>
              </w:rPr>
              <w:t>（</w:t>
            </w:r>
            <w:r>
              <w:rPr>
                <w:rFonts w:hint="eastAsia" w:ascii="Times New Roman" w:hAnsi="Times New Roman" w:cs="Times New Roman"/>
                <w:b/>
                <w:bCs/>
                <w:color w:val="auto"/>
                <w:sz w:val="24"/>
                <w:highlight w:val="none"/>
                <w:lang w:val="en-US" w:eastAsia="zh-CN"/>
              </w:rPr>
              <w:t>4</w:t>
            </w:r>
            <w:r>
              <w:rPr>
                <w:rFonts w:hint="eastAsia" w:ascii="Times New Roman" w:hAnsi="Times New Roman" w:cs="Times New Roman"/>
                <w:b/>
                <w:bCs/>
                <w:color w:val="auto"/>
                <w:sz w:val="24"/>
                <w:highlight w:val="none"/>
                <w:lang w:eastAsia="zh-CN"/>
              </w:rPr>
              <w:t>）</w:t>
            </w:r>
            <w:r>
              <w:rPr>
                <w:rFonts w:hint="eastAsia"/>
                <w:b/>
                <w:bCs/>
                <w:color w:val="auto"/>
                <w:sz w:val="24"/>
                <w:szCs w:val="24"/>
                <w:highlight w:val="none"/>
                <w:lang w:val="en-US" w:eastAsia="zh-CN"/>
              </w:rPr>
              <w:t>破碎废气</w:t>
            </w:r>
            <w:r>
              <w:rPr>
                <w:rFonts w:hint="eastAsia" w:ascii="Times New Roman" w:hAnsi="Times New Roman" w:eastAsia="Times New Roman" w:cs="Times New Roman"/>
                <w:b/>
                <w:bCs/>
                <w:i w:val="0"/>
                <w:iCs w:val="0"/>
                <w:color w:val="auto"/>
                <w:sz w:val="24"/>
                <w:szCs w:val="24"/>
                <w:highlight w:val="none"/>
                <w:u w:val="none"/>
                <w:shd w:val="clear" w:color="auto" w:fill="auto"/>
                <w:lang w:val="en-US" w:eastAsia="zh-CN"/>
              </w:rPr>
              <w:t>（G2</w:t>
            </w:r>
            <w:r>
              <w:rPr>
                <w:rFonts w:hint="eastAsia" w:eastAsia="Times New Roman" w:cs="Times New Roman"/>
                <w:b/>
                <w:bCs/>
                <w:i w:val="0"/>
                <w:iCs w:val="0"/>
                <w:color w:val="auto"/>
                <w:sz w:val="24"/>
                <w:szCs w:val="24"/>
                <w:highlight w:val="none"/>
                <w:u w:val="none"/>
                <w:shd w:val="clear" w:color="auto" w:fill="auto"/>
                <w:lang w:val="en-US" w:eastAsia="zh-CN"/>
              </w:rPr>
              <w:t>）</w:t>
            </w:r>
          </w:p>
          <w:p>
            <w:pPr>
              <w:pStyle w:val="63"/>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default" w:ascii="Times New Roman" w:hAnsi="Times New Roman" w:eastAsia="宋体" w:cs="Times New Roman"/>
                <w:i w:val="0"/>
                <w:iCs w:val="0"/>
                <w:color w:val="auto"/>
                <w:szCs w:val="21"/>
                <w:highlight w:val="none"/>
                <w:u w:val="none"/>
                <w:lang w:val="en-US" w:eastAsia="zh-CN"/>
              </w:rPr>
            </w:pPr>
            <w:r>
              <w:rPr>
                <w:rFonts w:hint="eastAsia" w:cs="Times New Roman"/>
                <w:b w:val="0"/>
                <w:bCs w:val="0"/>
                <w:i w:val="0"/>
                <w:iCs w:val="0"/>
                <w:color w:val="auto"/>
                <w:sz w:val="24"/>
                <w:szCs w:val="24"/>
                <w:highlight w:val="none"/>
                <w:u w:val="none"/>
                <w:shd w:val="clear" w:color="auto" w:fill="auto"/>
                <w:lang w:val="en-US" w:eastAsia="zh-CN"/>
              </w:rPr>
              <w:t>不合格产品（塑料）破碎过程中将产生粉尘</w:t>
            </w:r>
            <w:r>
              <w:rPr>
                <w:rFonts w:hint="eastAsia" w:ascii="Times New Roman" w:hAnsi="Times New Roman" w:eastAsia="Times New Roman" w:cs="Times New Roman"/>
                <w:b w:val="0"/>
                <w:bCs w:val="0"/>
                <w:i w:val="0"/>
                <w:iCs w:val="0"/>
                <w:color w:val="auto"/>
                <w:sz w:val="24"/>
                <w:szCs w:val="24"/>
                <w:highlight w:val="none"/>
                <w:u w:val="none"/>
                <w:shd w:val="clear" w:color="auto" w:fill="auto"/>
                <w:lang w:val="en-US" w:eastAsia="zh-CN"/>
              </w:rPr>
              <w:t>，主要污染物为</w:t>
            </w:r>
            <w:r>
              <w:rPr>
                <w:rFonts w:hint="eastAsia" w:cs="Times New Roman"/>
                <w:b w:val="0"/>
                <w:bCs w:val="0"/>
                <w:i w:val="0"/>
                <w:iCs w:val="0"/>
                <w:color w:val="auto"/>
                <w:sz w:val="24"/>
                <w:szCs w:val="24"/>
                <w:highlight w:val="none"/>
                <w:u w:val="none"/>
                <w:shd w:val="clear" w:color="auto" w:fill="auto"/>
                <w:lang w:val="en-US" w:eastAsia="zh-CN"/>
              </w:rPr>
              <w:t>颗粒物</w:t>
            </w:r>
            <w:r>
              <w:rPr>
                <w:rFonts w:hint="eastAsia" w:ascii="Times New Roman" w:hAnsi="Times New Roman" w:eastAsia="Times New Roman" w:cs="Times New Roman"/>
                <w:b w:val="0"/>
                <w:bCs w:val="0"/>
                <w:i w:val="0"/>
                <w:iCs w:val="0"/>
                <w:color w:val="auto"/>
                <w:sz w:val="24"/>
                <w:szCs w:val="24"/>
                <w:highlight w:val="none"/>
                <w:u w:val="none"/>
                <w:shd w:val="clear" w:color="auto" w:fill="auto"/>
                <w:lang w:val="en-US" w:eastAsia="zh-CN"/>
              </w:rPr>
              <w:t>。</w:t>
            </w:r>
            <w:r>
              <w:rPr>
                <w:rFonts w:hint="eastAsia" w:cs="Times New Roman"/>
                <w:b w:val="0"/>
                <w:bCs w:val="0"/>
                <w:i w:val="0"/>
                <w:iCs w:val="0"/>
                <w:color w:val="auto"/>
                <w:sz w:val="24"/>
                <w:szCs w:val="24"/>
                <w:highlight w:val="none"/>
                <w:u w:val="none"/>
                <w:shd w:val="clear" w:color="auto" w:fill="auto"/>
                <w:lang w:val="en-US" w:eastAsia="zh-CN"/>
              </w:rPr>
              <w:t>回收再生破碎废气源强参照《工业源产排污核</w:t>
            </w:r>
            <w:r>
              <w:rPr>
                <w:rFonts w:hint="default" w:ascii="Times New Roman" w:hAnsi="Times New Roman" w:cs="Times New Roman"/>
                <w:b w:val="0"/>
                <w:bCs w:val="0"/>
                <w:i w:val="0"/>
                <w:iCs w:val="0"/>
                <w:color w:val="auto"/>
                <w:sz w:val="24"/>
                <w:szCs w:val="24"/>
                <w:highlight w:val="none"/>
                <w:u w:val="none"/>
                <w:shd w:val="clear" w:color="auto" w:fill="auto"/>
                <w:lang w:val="en-US" w:eastAsia="zh-CN"/>
              </w:rPr>
              <w:t>算方法和系数手册》（2021）中220 非金属废料和碎屑加工处理行业系数手册 ，废PE/PP料干法破碎排污系数即破碎废气量为2500Nm</w:t>
            </w:r>
            <w:r>
              <w:rPr>
                <w:rFonts w:hint="default" w:ascii="Times New Roman" w:hAnsi="Times New Roman" w:cs="Times New Roman"/>
                <w:b w:val="0"/>
                <w:bCs w:val="0"/>
                <w:i w:val="0"/>
                <w:iCs w:val="0"/>
                <w:color w:val="auto"/>
                <w:sz w:val="24"/>
                <w:szCs w:val="24"/>
                <w:highlight w:val="none"/>
                <w:u w:val="none"/>
                <w:shd w:val="clear" w:color="auto" w:fill="auto"/>
                <w:vertAlign w:val="superscript"/>
                <w:lang w:val="en-US" w:eastAsia="zh-CN"/>
              </w:rPr>
              <w:t>3</w:t>
            </w:r>
            <w:r>
              <w:rPr>
                <w:rFonts w:hint="default" w:ascii="Times New Roman" w:hAnsi="Times New Roman" w:cs="Times New Roman"/>
                <w:b w:val="0"/>
                <w:bCs w:val="0"/>
                <w:i w:val="0"/>
                <w:iCs w:val="0"/>
                <w:color w:val="auto"/>
                <w:sz w:val="24"/>
                <w:szCs w:val="24"/>
                <w:highlight w:val="none"/>
                <w:u w:val="none"/>
                <w:shd w:val="clear" w:color="auto" w:fill="auto"/>
                <w:lang w:val="en-US" w:eastAsia="zh-CN"/>
              </w:rPr>
              <w:t>/t·原料，颗粒物产生量为375g/t·原料。根据</w:t>
            </w:r>
            <w:r>
              <w:rPr>
                <w:rFonts w:hint="eastAsia" w:cs="Times New Roman"/>
                <w:b w:val="0"/>
                <w:bCs w:val="0"/>
                <w:i w:val="0"/>
                <w:iCs w:val="0"/>
                <w:color w:val="auto"/>
                <w:sz w:val="24"/>
                <w:szCs w:val="24"/>
                <w:highlight w:val="none"/>
                <w:u w:val="none"/>
                <w:shd w:val="clear" w:color="auto" w:fill="auto"/>
                <w:lang w:val="en-US" w:eastAsia="zh-CN"/>
              </w:rPr>
              <w:t>现有项目实际生产情况</w:t>
            </w:r>
            <w:r>
              <w:rPr>
                <w:rFonts w:hint="default" w:ascii="Times New Roman" w:hAnsi="Times New Roman" w:cs="Times New Roman"/>
                <w:b w:val="0"/>
                <w:bCs w:val="0"/>
                <w:i w:val="0"/>
                <w:iCs w:val="0"/>
                <w:color w:val="auto"/>
                <w:sz w:val="24"/>
                <w:szCs w:val="24"/>
                <w:highlight w:val="none"/>
                <w:u w:val="none"/>
                <w:shd w:val="clear" w:color="auto" w:fill="auto"/>
                <w:lang w:val="en-US" w:eastAsia="zh-CN"/>
              </w:rPr>
              <w:t>，注塑产品不合格产品及占成品比例为1%，不合格产品产</w:t>
            </w:r>
            <w:r>
              <w:rPr>
                <w:rFonts w:hint="eastAsia" w:cs="Times New Roman"/>
                <w:b w:val="0"/>
                <w:bCs w:val="0"/>
                <w:i w:val="0"/>
                <w:iCs w:val="0"/>
                <w:color w:val="auto"/>
                <w:sz w:val="24"/>
                <w:szCs w:val="24"/>
                <w:highlight w:val="none"/>
                <w:u w:val="none"/>
                <w:shd w:val="clear" w:color="auto" w:fill="auto"/>
                <w:lang w:val="en-US" w:eastAsia="zh-CN"/>
              </w:rPr>
              <w:t>生量为5t/a，故破碎废气量为12500Nm</w:t>
            </w:r>
            <w:r>
              <w:rPr>
                <w:rFonts w:hint="eastAsia" w:cs="Times New Roman"/>
                <w:b w:val="0"/>
                <w:bCs w:val="0"/>
                <w:i w:val="0"/>
                <w:iCs w:val="0"/>
                <w:color w:val="auto"/>
                <w:sz w:val="24"/>
                <w:szCs w:val="24"/>
                <w:highlight w:val="none"/>
                <w:u w:val="none"/>
                <w:shd w:val="clear" w:color="auto" w:fill="auto"/>
                <w:vertAlign w:val="superscript"/>
                <w:lang w:val="en-US" w:eastAsia="zh-CN"/>
              </w:rPr>
              <w:t>3</w:t>
            </w:r>
            <w:r>
              <w:rPr>
                <w:rFonts w:hint="eastAsia" w:cs="Times New Roman"/>
                <w:b w:val="0"/>
                <w:bCs w:val="0"/>
                <w:i w:val="0"/>
                <w:iCs w:val="0"/>
                <w:color w:val="auto"/>
                <w:sz w:val="24"/>
                <w:szCs w:val="24"/>
                <w:highlight w:val="none"/>
                <w:u w:val="none"/>
                <w:shd w:val="clear" w:color="auto" w:fill="auto"/>
                <w:lang w:val="en-US" w:eastAsia="zh-CN"/>
              </w:rPr>
              <w:t>/a，破碎颗粒物产生量为0.001875t/a，破碎时间为10h/a，颗粒物产生速率为0.1875kg/h。破碎废气拟经设备本体配备的袋式除尘器（TA002）处理后通过15m排气筒（破碎废气排气筒、DA002）排放。</w:t>
            </w:r>
          </w:p>
          <w:p>
            <w:pPr>
              <w:pStyle w:val="8"/>
              <w:bidi w:val="0"/>
              <w:rPr>
                <w:rFonts w:hint="default" w:ascii="Times New Roman" w:hAnsi="Times New Roman" w:cs="Times New Roman"/>
                <w:b/>
                <w:bCs w:val="0"/>
                <w:i w:val="0"/>
                <w:iCs w:val="0"/>
                <w:color w:val="auto"/>
                <w:highlight w:val="none"/>
                <w:u w:val="none"/>
                <w:shd w:val="clear" w:color="auto" w:fill="auto"/>
                <w:lang w:val="en-US" w:eastAsia="zh-CN"/>
              </w:rPr>
            </w:pPr>
            <w:r>
              <w:rPr>
                <w:rFonts w:hint="eastAsia" w:ascii="Times New Roman" w:hAnsi="Times New Roman" w:cs="Times New Roman"/>
                <w:b/>
                <w:bCs w:val="0"/>
                <w:i w:val="0"/>
                <w:iCs w:val="0"/>
                <w:color w:val="auto"/>
                <w:highlight w:val="none"/>
                <w:u w:val="none"/>
                <w:shd w:val="clear" w:color="auto" w:fill="auto"/>
                <w:lang w:val="en-US" w:eastAsia="zh-CN"/>
              </w:rPr>
              <w:t>表</w:t>
            </w:r>
            <w:r>
              <w:rPr>
                <w:rFonts w:hint="eastAsia" w:cs="Times New Roman"/>
                <w:b/>
                <w:bCs w:val="0"/>
                <w:i w:val="0"/>
                <w:iCs w:val="0"/>
                <w:color w:val="auto"/>
                <w:highlight w:val="none"/>
                <w:u w:val="none"/>
                <w:shd w:val="clear" w:color="auto" w:fill="auto"/>
                <w:lang w:val="en-US" w:eastAsia="zh-CN"/>
              </w:rPr>
              <w:t>4-1</w:t>
            </w:r>
            <w:r>
              <w:rPr>
                <w:rFonts w:hint="eastAsia" w:ascii="Times New Roman" w:hAnsi="Times New Roman" w:cs="Times New Roman"/>
                <w:b/>
                <w:bCs w:val="0"/>
                <w:i w:val="0"/>
                <w:iCs w:val="0"/>
                <w:color w:val="auto"/>
                <w:highlight w:val="none"/>
                <w:u w:val="none"/>
                <w:shd w:val="clear" w:color="auto" w:fill="auto"/>
                <w:lang w:val="en-US" w:eastAsia="zh-CN"/>
              </w:rPr>
              <w:t xml:space="preserve">  废气污染物产生</w:t>
            </w:r>
            <w:r>
              <w:rPr>
                <w:rFonts w:hint="eastAsia" w:cs="Times New Roman"/>
                <w:b/>
                <w:bCs w:val="0"/>
                <w:i w:val="0"/>
                <w:iCs w:val="0"/>
                <w:color w:val="auto"/>
                <w:highlight w:val="none"/>
                <w:u w:val="none"/>
                <w:shd w:val="clear" w:color="auto" w:fill="auto"/>
                <w:lang w:val="en-US" w:eastAsia="zh-CN"/>
              </w:rPr>
              <w:t>及排放</w:t>
            </w:r>
            <w:r>
              <w:rPr>
                <w:rFonts w:hint="eastAsia" w:ascii="Times New Roman" w:hAnsi="Times New Roman" w:cs="Times New Roman"/>
                <w:b/>
                <w:bCs w:val="0"/>
                <w:i w:val="0"/>
                <w:iCs w:val="0"/>
                <w:color w:val="auto"/>
                <w:highlight w:val="none"/>
                <w:u w:val="none"/>
                <w:shd w:val="clear" w:color="auto" w:fill="auto"/>
                <w:lang w:val="en-US" w:eastAsia="zh-CN"/>
              </w:rPr>
              <w:t>情况一览表</w:t>
            </w:r>
          </w:p>
          <w:tbl>
            <w:tblPr>
              <w:tblStyle w:val="31"/>
              <w:tblW w:w="8496" w:type="dxa"/>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689"/>
              <w:gridCol w:w="834"/>
              <w:gridCol w:w="783"/>
              <w:gridCol w:w="782"/>
              <w:gridCol w:w="768"/>
              <w:gridCol w:w="981"/>
              <w:gridCol w:w="782"/>
              <w:gridCol w:w="808"/>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1323" w:type="dxa"/>
                  <w:tcBorders>
                    <w:top w:val="single" w:color="auto" w:sz="12" w:space="0"/>
                    <w:lef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cs="Times New Roman"/>
                      <w:b w:val="0"/>
                      <w:bCs w:val="0"/>
                      <w:i w:val="0"/>
                      <w:iCs w:val="0"/>
                      <w:color w:val="auto"/>
                      <w:sz w:val="21"/>
                      <w:szCs w:val="21"/>
                      <w:highlight w:val="none"/>
                      <w:u w:val="none"/>
                      <w:shd w:val="clear" w:color="auto" w:fill="auto"/>
                      <w:vertAlign w:val="baseline"/>
                      <w:lang w:val="en-US" w:eastAsia="zh-CN"/>
                    </w:rPr>
                  </w:pPr>
                  <w:r>
                    <w:rPr>
                      <w:rFonts w:hint="eastAsia" w:cs="Times New Roman"/>
                      <w:b w:val="0"/>
                      <w:bCs w:val="0"/>
                      <w:i w:val="0"/>
                      <w:iCs w:val="0"/>
                      <w:color w:val="auto"/>
                      <w:sz w:val="21"/>
                      <w:szCs w:val="21"/>
                      <w:highlight w:val="none"/>
                      <w:u w:val="none"/>
                      <w:shd w:val="clear" w:color="auto" w:fill="auto"/>
                      <w:vertAlign w:val="baseline"/>
                      <w:lang w:val="en-US" w:eastAsia="zh-CN"/>
                    </w:rPr>
                    <w:t>污染源</w:t>
                  </w:r>
                </w:p>
              </w:tc>
              <w:tc>
                <w:tcPr>
                  <w:tcW w:w="689" w:type="dxa"/>
                  <w:tcBorders>
                    <w:top w:val="single" w:color="auto" w:sz="12" w:space="0"/>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cs="Times New Roman"/>
                      <w:b w:val="0"/>
                      <w:bCs w:val="0"/>
                      <w:i w:val="0"/>
                      <w:iCs w:val="0"/>
                      <w:color w:val="auto"/>
                      <w:sz w:val="21"/>
                      <w:szCs w:val="21"/>
                      <w:highlight w:val="none"/>
                      <w:u w:val="none"/>
                      <w:shd w:val="clear" w:color="auto" w:fill="auto"/>
                      <w:vertAlign w:val="baseline"/>
                      <w:lang w:val="en-US" w:eastAsia="zh-CN"/>
                    </w:rPr>
                  </w:pPr>
                  <w:r>
                    <w:rPr>
                      <w:rFonts w:hint="eastAsia" w:cs="Times New Roman"/>
                      <w:b w:val="0"/>
                      <w:bCs w:val="0"/>
                      <w:i w:val="0"/>
                      <w:iCs w:val="0"/>
                      <w:color w:val="auto"/>
                      <w:sz w:val="21"/>
                      <w:szCs w:val="21"/>
                      <w:highlight w:val="none"/>
                      <w:u w:val="none"/>
                      <w:shd w:val="clear" w:color="auto" w:fill="auto"/>
                      <w:vertAlign w:val="baseline"/>
                      <w:lang w:val="en-US" w:eastAsia="zh-CN"/>
                    </w:rPr>
                    <w:t>污染因子</w:t>
                  </w:r>
                </w:p>
              </w:tc>
              <w:tc>
                <w:tcPr>
                  <w:tcW w:w="834" w:type="dxa"/>
                  <w:tcBorders>
                    <w:top w:val="single" w:color="auto" w:sz="12" w:space="0"/>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cs="Times New Roman"/>
                      <w:b w:val="0"/>
                      <w:bCs w:val="0"/>
                      <w:i w:val="0"/>
                      <w:iCs w:val="0"/>
                      <w:color w:val="auto"/>
                      <w:sz w:val="21"/>
                      <w:szCs w:val="21"/>
                      <w:highlight w:val="none"/>
                      <w:u w:val="none"/>
                      <w:shd w:val="clear" w:color="auto" w:fill="auto"/>
                      <w:vertAlign w:val="baseline"/>
                      <w:lang w:val="en-US" w:eastAsia="zh-CN"/>
                    </w:rPr>
                  </w:pPr>
                  <w:r>
                    <w:rPr>
                      <w:rFonts w:hint="eastAsia" w:cs="Times New Roman"/>
                      <w:b w:val="0"/>
                      <w:bCs w:val="0"/>
                      <w:i w:val="0"/>
                      <w:iCs w:val="0"/>
                      <w:color w:val="auto"/>
                      <w:sz w:val="21"/>
                      <w:szCs w:val="21"/>
                      <w:highlight w:val="none"/>
                      <w:u w:val="none"/>
                      <w:shd w:val="clear" w:color="auto" w:fill="auto"/>
                      <w:vertAlign w:val="baseline"/>
                      <w:lang w:val="en-US" w:eastAsia="zh-CN"/>
                    </w:rPr>
                    <w:t>废气产生量</w:t>
                  </w:r>
                  <w:r>
                    <w:rPr>
                      <w:rFonts w:hint="eastAsia" w:cs="Times New Roman"/>
                      <w:b w:val="0"/>
                      <w:bCs w:val="0"/>
                      <w:i w:val="0"/>
                      <w:iCs w:val="0"/>
                      <w:color w:val="auto"/>
                      <w:sz w:val="21"/>
                      <w:szCs w:val="21"/>
                      <w:highlight w:val="none"/>
                      <w:u w:val="none"/>
                      <w:shd w:val="clear" w:color="auto" w:fill="auto"/>
                      <w:lang w:val="en-US" w:eastAsia="zh-CN"/>
                    </w:rPr>
                    <w:t>Nm</w:t>
                  </w:r>
                  <w:r>
                    <w:rPr>
                      <w:rFonts w:hint="eastAsia" w:cs="Times New Roman"/>
                      <w:b w:val="0"/>
                      <w:bCs w:val="0"/>
                      <w:i w:val="0"/>
                      <w:iCs w:val="0"/>
                      <w:color w:val="auto"/>
                      <w:sz w:val="21"/>
                      <w:szCs w:val="21"/>
                      <w:highlight w:val="none"/>
                      <w:u w:val="none"/>
                      <w:shd w:val="clear" w:color="auto" w:fill="auto"/>
                      <w:vertAlign w:val="superscript"/>
                      <w:lang w:val="en-US" w:eastAsia="zh-CN"/>
                    </w:rPr>
                    <w:t>3</w:t>
                  </w:r>
                  <w:r>
                    <w:rPr>
                      <w:rFonts w:hint="eastAsia" w:cs="Times New Roman"/>
                      <w:b w:val="0"/>
                      <w:bCs w:val="0"/>
                      <w:i w:val="0"/>
                      <w:iCs w:val="0"/>
                      <w:color w:val="auto"/>
                      <w:sz w:val="21"/>
                      <w:szCs w:val="21"/>
                      <w:highlight w:val="none"/>
                      <w:u w:val="none"/>
                      <w:shd w:val="clear" w:color="auto" w:fill="auto"/>
                      <w:lang w:val="en-US" w:eastAsia="zh-CN"/>
                    </w:rPr>
                    <w:t>/a</w:t>
                  </w:r>
                </w:p>
              </w:tc>
              <w:tc>
                <w:tcPr>
                  <w:tcW w:w="783" w:type="dxa"/>
                  <w:tcBorders>
                    <w:top w:val="single" w:color="auto" w:sz="12" w:space="0"/>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cs="Times New Roman"/>
                      <w:b w:val="0"/>
                      <w:bCs w:val="0"/>
                      <w:i w:val="0"/>
                      <w:iCs w:val="0"/>
                      <w:color w:val="auto"/>
                      <w:sz w:val="21"/>
                      <w:szCs w:val="21"/>
                      <w:highlight w:val="none"/>
                      <w:u w:val="none"/>
                      <w:shd w:val="clear" w:color="auto" w:fill="auto"/>
                      <w:vertAlign w:val="baseline"/>
                      <w:lang w:val="en-US" w:eastAsia="zh-CN"/>
                    </w:rPr>
                  </w:pPr>
                  <w:r>
                    <w:rPr>
                      <w:rFonts w:hint="eastAsia" w:cs="Times New Roman"/>
                      <w:b w:val="0"/>
                      <w:bCs w:val="0"/>
                      <w:i w:val="0"/>
                      <w:iCs w:val="0"/>
                      <w:color w:val="auto"/>
                      <w:sz w:val="21"/>
                      <w:szCs w:val="21"/>
                      <w:highlight w:val="none"/>
                      <w:u w:val="none"/>
                      <w:shd w:val="clear" w:color="auto" w:fill="auto"/>
                      <w:vertAlign w:val="baseline"/>
                      <w:lang w:val="en-US" w:eastAsia="zh-CN"/>
                    </w:rPr>
                    <w:t>产生速率</w:t>
                  </w:r>
                </w:p>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cs="Times New Roman"/>
                      <w:b w:val="0"/>
                      <w:bCs w:val="0"/>
                      <w:i w:val="0"/>
                      <w:iCs w:val="0"/>
                      <w:color w:val="auto"/>
                      <w:sz w:val="21"/>
                      <w:szCs w:val="21"/>
                      <w:highlight w:val="none"/>
                      <w:u w:val="none"/>
                      <w:shd w:val="clear" w:color="auto" w:fill="auto"/>
                      <w:vertAlign w:val="baseline"/>
                      <w:lang w:val="en-US" w:eastAsia="zh-CN"/>
                    </w:rPr>
                  </w:pPr>
                  <w:r>
                    <w:rPr>
                      <w:rFonts w:hint="eastAsia" w:cs="Times New Roman"/>
                      <w:b w:val="0"/>
                      <w:bCs w:val="0"/>
                      <w:i w:val="0"/>
                      <w:iCs w:val="0"/>
                      <w:color w:val="auto"/>
                      <w:sz w:val="21"/>
                      <w:szCs w:val="21"/>
                      <w:highlight w:val="none"/>
                      <w:u w:val="none"/>
                      <w:shd w:val="clear" w:color="auto" w:fill="auto"/>
                      <w:vertAlign w:val="baseline"/>
                      <w:lang w:val="en-US" w:eastAsia="zh-CN"/>
                    </w:rPr>
                    <w:t>kg/h</w:t>
                  </w:r>
                </w:p>
              </w:tc>
              <w:tc>
                <w:tcPr>
                  <w:tcW w:w="782" w:type="dxa"/>
                  <w:tcBorders>
                    <w:top w:val="single" w:color="auto" w:sz="12" w:space="0"/>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cs="Times New Roman"/>
                      <w:b w:val="0"/>
                      <w:bCs w:val="0"/>
                      <w:i w:val="0"/>
                      <w:iCs w:val="0"/>
                      <w:color w:val="auto"/>
                      <w:sz w:val="21"/>
                      <w:szCs w:val="21"/>
                      <w:highlight w:val="none"/>
                      <w:u w:val="none"/>
                      <w:shd w:val="clear" w:color="auto" w:fill="auto"/>
                      <w:vertAlign w:val="baseline"/>
                      <w:lang w:val="en-US" w:eastAsia="zh-CN"/>
                    </w:rPr>
                  </w:pPr>
                  <w:r>
                    <w:rPr>
                      <w:rFonts w:hint="eastAsia" w:cs="Times New Roman"/>
                      <w:b w:val="0"/>
                      <w:bCs w:val="0"/>
                      <w:i w:val="0"/>
                      <w:iCs w:val="0"/>
                      <w:color w:val="auto"/>
                      <w:sz w:val="21"/>
                      <w:szCs w:val="21"/>
                      <w:highlight w:val="none"/>
                      <w:u w:val="none"/>
                      <w:shd w:val="clear" w:color="auto" w:fill="auto"/>
                      <w:vertAlign w:val="baseline"/>
                      <w:lang w:val="en-US" w:eastAsia="zh-CN"/>
                    </w:rPr>
                    <w:t>产生浓度mg/m</w:t>
                  </w:r>
                  <w:r>
                    <w:rPr>
                      <w:rFonts w:hint="eastAsia" w:cs="Times New Roman"/>
                      <w:b w:val="0"/>
                      <w:bCs w:val="0"/>
                      <w:i w:val="0"/>
                      <w:iCs w:val="0"/>
                      <w:color w:val="auto"/>
                      <w:sz w:val="21"/>
                      <w:szCs w:val="21"/>
                      <w:highlight w:val="none"/>
                      <w:u w:val="none"/>
                      <w:shd w:val="clear" w:color="auto" w:fill="auto"/>
                      <w:vertAlign w:val="superscript"/>
                      <w:lang w:val="en-US" w:eastAsia="zh-CN"/>
                    </w:rPr>
                    <w:t>3</w:t>
                  </w:r>
                </w:p>
              </w:tc>
              <w:tc>
                <w:tcPr>
                  <w:tcW w:w="768" w:type="dxa"/>
                  <w:tcBorders>
                    <w:top w:val="single" w:color="auto" w:sz="12" w:space="0"/>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cs="Times New Roman"/>
                      <w:b w:val="0"/>
                      <w:bCs w:val="0"/>
                      <w:i w:val="0"/>
                      <w:iCs w:val="0"/>
                      <w:color w:val="auto"/>
                      <w:sz w:val="21"/>
                      <w:szCs w:val="21"/>
                      <w:highlight w:val="none"/>
                      <w:u w:val="none"/>
                      <w:shd w:val="clear" w:color="auto" w:fill="auto"/>
                      <w:vertAlign w:val="baseline"/>
                      <w:lang w:val="en-US" w:eastAsia="zh-CN"/>
                    </w:rPr>
                  </w:pPr>
                  <w:r>
                    <w:rPr>
                      <w:rFonts w:hint="eastAsia" w:cs="Times New Roman"/>
                      <w:b w:val="0"/>
                      <w:bCs w:val="0"/>
                      <w:i w:val="0"/>
                      <w:iCs w:val="0"/>
                      <w:color w:val="auto"/>
                      <w:sz w:val="21"/>
                      <w:szCs w:val="21"/>
                      <w:highlight w:val="none"/>
                      <w:u w:val="none"/>
                      <w:shd w:val="clear" w:color="auto" w:fill="auto"/>
                      <w:vertAlign w:val="baseline"/>
                      <w:lang w:val="en-US" w:eastAsia="zh-CN"/>
                    </w:rPr>
                    <w:t>产生量</w:t>
                  </w:r>
                </w:p>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cs="Times New Roman"/>
                      <w:b w:val="0"/>
                      <w:bCs w:val="0"/>
                      <w:i w:val="0"/>
                      <w:iCs w:val="0"/>
                      <w:color w:val="auto"/>
                      <w:sz w:val="21"/>
                      <w:szCs w:val="21"/>
                      <w:highlight w:val="none"/>
                      <w:u w:val="none"/>
                      <w:shd w:val="clear" w:color="auto" w:fill="auto"/>
                      <w:vertAlign w:val="baseline"/>
                      <w:lang w:val="en-US" w:eastAsia="zh-CN"/>
                    </w:rPr>
                  </w:pPr>
                  <w:r>
                    <w:rPr>
                      <w:rFonts w:hint="eastAsia" w:cs="Times New Roman"/>
                      <w:b w:val="0"/>
                      <w:bCs w:val="0"/>
                      <w:i w:val="0"/>
                      <w:iCs w:val="0"/>
                      <w:color w:val="auto"/>
                      <w:sz w:val="21"/>
                      <w:szCs w:val="21"/>
                      <w:highlight w:val="none"/>
                      <w:u w:val="none"/>
                      <w:shd w:val="clear" w:color="auto" w:fill="auto"/>
                      <w:vertAlign w:val="baseline"/>
                      <w:lang w:val="en-US" w:eastAsia="zh-CN"/>
                    </w:rPr>
                    <w:t>t/a</w:t>
                  </w:r>
                </w:p>
              </w:tc>
              <w:tc>
                <w:tcPr>
                  <w:tcW w:w="981" w:type="dxa"/>
                  <w:tcBorders>
                    <w:top w:val="single" w:color="auto" w:sz="12" w:space="0"/>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Times New Roman" w:hAnsi="Times New Roman" w:cs="Times New Roman"/>
                      <w:b w:val="0"/>
                      <w:bCs w:val="0"/>
                      <w:i w:val="0"/>
                      <w:iCs w:val="0"/>
                      <w:color w:val="auto"/>
                      <w:sz w:val="21"/>
                      <w:szCs w:val="21"/>
                      <w:highlight w:val="none"/>
                      <w:u w:val="none"/>
                      <w:shd w:val="clear" w:color="auto" w:fill="auto"/>
                      <w:vertAlign w:val="baseline"/>
                      <w:lang w:val="en-US" w:eastAsia="zh-CN"/>
                    </w:rPr>
                  </w:pPr>
                  <w:r>
                    <w:rPr>
                      <w:rFonts w:hint="eastAsia" w:ascii="Times New Roman" w:hAnsi="Times New Roman" w:cs="Times New Roman"/>
                      <w:b w:val="0"/>
                      <w:bCs w:val="0"/>
                      <w:i w:val="0"/>
                      <w:iCs w:val="0"/>
                      <w:color w:val="auto"/>
                      <w:sz w:val="21"/>
                      <w:szCs w:val="21"/>
                      <w:highlight w:val="none"/>
                      <w:u w:val="none"/>
                      <w:shd w:val="clear" w:color="auto" w:fill="auto"/>
                      <w:vertAlign w:val="baseline"/>
                      <w:lang w:val="en-US" w:eastAsia="zh-CN"/>
                    </w:rPr>
                    <w:t>治理措施</w:t>
                  </w:r>
                </w:p>
              </w:tc>
              <w:tc>
                <w:tcPr>
                  <w:tcW w:w="782" w:type="dxa"/>
                  <w:tcBorders>
                    <w:top w:val="single" w:color="auto" w:sz="12" w:space="0"/>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cs="Times New Roman"/>
                      <w:b w:val="0"/>
                      <w:bCs w:val="0"/>
                      <w:i w:val="0"/>
                      <w:iCs w:val="0"/>
                      <w:color w:val="auto"/>
                      <w:sz w:val="21"/>
                      <w:szCs w:val="21"/>
                      <w:highlight w:val="none"/>
                      <w:u w:val="none"/>
                      <w:shd w:val="clear" w:color="auto" w:fill="auto"/>
                      <w:vertAlign w:val="baseline"/>
                      <w:lang w:val="en-US" w:eastAsia="zh-CN"/>
                    </w:rPr>
                  </w:pPr>
                  <w:r>
                    <w:rPr>
                      <w:rFonts w:hint="eastAsia" w:cs="Times New Roman"/>
                      <w:b w:val="0"/>
                      <w:bCs w:val="0"/>
                      <w:i w:val="0"/>
                      <w:iCs w:val="0"/>
                      <w:color w:val="auto"/>
                      <w:sz w:val="21"/>
                      <w:szCs w:val="21"/>
                      <w:highlight w:val="none"/>
                      <w:u w:val="none"/>
                      <w:shd w:val="clear" w:color="auto" w:fill="auto"/>
                      <w:vertAlign w:val="baseline"/>
                      <w:lang w:val="en-US" w:eastAsia="zh-CN"/>
                    </w:rPr>
                    <w:t>排放速率</w:t>
                  </w:r>
                </w:p>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Times New Roman" w:hAnsi="Times New Roman" w:eastAsia="宋体" w:cs="Times New Roman"/>
                      <w:b w:val="0"/>
                      <w:bCs w:val="0"/>
                      <w:i w:val="0"/>
                      <w:iCs w:val="0"/>
                      <w:color w:val="auto"/>
                      <w:kern w:val="2"/>
                      <w:sz w:val="21"/>
                      <w:szCs w:val="21"/>
                      <w:highlight w:val="none"/>
                      <w:u w:val="none"/>
                      <w:shd w:val="clear" w:color="auto" w:fill="auto"/>
                      <w:vertAlign w:val="baseline"/>
                      <w:lang w:val="en-US" w:eastAsia="zh-CN" w:bidi="ar-SA"/>
                    </w:rPr>
                  </w:pPr>
                  <w:r>
                    <w:rPr>
                      <w:rFonts w:hint="eastAsia" w:cs="Times New Roman"/>
                      <w:b w:val="0"/>
                      <w:bCs w:val="0"/>
                      <w:i w:val="0"/>
                      <w:iCs w:val="0"/>
                      <w:color w:val="auto"/>
                      <w:sz w:val="21"/>
                      <w:szCs w:val="21"/>
                      <w:highlight w:val="none"/>
                      <w:u w:val="none"/>
                      <w:shd w:val="clear" w:color="auto" w:fill="auto"/>
                      <w:vertAlign w:val="baseline"/>
                      <w:lang w:val="en-US" w:eastAsia="zh-CN"/>
                    </w:rPr>
                    <w:t>kg/h</w:t>
                  </w:r>
                </w:p>
              </w:tc>
              <w:tc>
                <w:tcPr>
                  <w:tcW w:w="808" w:type="dxa"/>
                  <w:tcBorders>
                    <w:top w:val="single" w:color="auto" w:sz="12" w:space="0"/>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Times New Roman" w:hAnsi="Times New Roman" w:eastAsia="宋体" w:cs="Times New Roman"/>
                      <w:b w:val="0"/>
                      <w:bCs w:val="0"/>
                      <w:i w:val="0"/>
                      <w:iCs w:val="0"/>
                      <w:color w:val="auto"/>
                      <w:kern w:val="2"/>
                      <w:sz w:val="21"/>
                      <w:szCs w:val="21"/>
                      <w:highlight w:val="none"/>
                      <w:u w:val="none"/>
                      <w:shd w:val="clear" w:color="auto" w:fill="auto"/>
                      <w:vertAlign w:val="baseline"/>
                      <w:lang w:val="en-US" w:eastAsia="zh-CN" w:bidi="ar-SA"/>
                    </w:rPr>
                  </w:pPr>
                  <w:r>
                    <w:rPr>
                      <w:rFonts w:hint="eastAsia" w:cs="Times New Roman"/>
                      <w:b w:val="0"/>
                      <w:bCs w:val="0"/>
                      <w:i w:val="0"/>
                      <w:iCs w:val="0"/>
                      <w:color w:val="auto"/>
                      <w:sz w:val="21"/>
                      <w:szCs w:val="21"/>
                      <w:highlight w:val="none"/>
                      <w:u w:val="none"/>
                      <w:shd w:val="clear" w:color="auto" w:fill="auto"/>
                      <w:vertAlign w:val="baseline"/>
                      <w:lang w:val="en-US" w:eastAsia="zh-CN"/>
                    </w:rPr>
                    <w:t>排放浓度mg/m</w:t>
                  </w:r>
                  <w:r>
                    <w:rPr>
                      <w:rFonts w:hint="eastAsia" w:cs="Times New Roman"/>
                      <w:b w:val="0"/>
                      <w:bCs w:val="0"/>
                      <w:i w:val="0"/>
                      <w:iCs w:val="0"/>
                      <w:color w:val="auto"/>
                      <w:sz w:val="21"/>
                      <w:szCs w:val="21"/>
                      <w:highlight w:val="none"/>
                      <w:u w:val="none"/>
                      <w:shd w:val="clear" w:color="auto" w:fill="auto"/>
                      <w:vertAlign w:val="superscript"/>
                      <w:lang w:val="en-US" w:eastAsia="zh-CN"/>
                    </w:rPr>
                    <w:t>3</w:t>
                  </w:r>
                </w:p>
              </w:tc>
              <w:tc>
                <w:tcPr>
                  <w:tcW w:w="746" w:type="dxa"/>
                  <w:tcBorders>
                    <w:top w:val="single" w:color="auto" w:sz="12" w:space="0"/>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cs="Times New Roman"/>
                      <w:b w:val="0"/>
                      <w:bCs w:val="0"/>
                      <w:i w:val="0"/>
                      <w:iCs w:val="0"/>
                      <w:color w:val="auto"/>
                      <w:sz w:val="21"/>
                      <w:szCs w:val="21"/>
                      <w:highlight w:val="none"/>
                      <w:u w:val="none"/>
                      <w:shd w:val="clear" w:color="auto" w:fill="auto"/>
                      <w:vertAlign w:val="baseline"/>
                      <w:lang w:val="en-US" w:eastAsia="zh-CN"/>
                    </w:rPr>
                  </w:pPr>
                  <w:r>
                    <w:rPr>
                      <w:rFonts w:hint="eastAsia" w:cs="Times New Roman"/>
                      <w:b w:val="0"/>
                      <w:bCs w:val="0"/>
                      <w:i w:val="0"/>
                      <w:iCs w:val="0"/>
                      <w:color w:val="auto"/>
                      <w:sz w:val="21"/>
                      <w:szCs w:val="21"/>
                      <w:highlight w:val="none"/>
                      <w:u w:val="none"/>
                      <w:shd w:val="clear" w:color="auto" w:fill="auto"/>
                      <w:vertAlign w:val="baseline"/>
                      <w:lang w:val="en-US" w:eastAsia="zh-CN"/>
                    </w:rPr>
                    <w:t>排放量</w:t>
                  </w:r>
                </w:p>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Times New Roman" w:hAnsi="Times New Roman" w:eastAsia="宋体" w:cs="Times New Roman"/>
                      <w:b w:val="0"/>
                      <w:bCs w:val="0"/>
                      <w:i w:val="0"/>
                      <w:iCs w:val="0"/>
                      <w:color w:val="auto"/>
                      <w:kern w:val="2"/>
                      <w:sz w:val="21"/>
                      <w:szCs w:val="21"/>
                      <w:highlight w:val="none"/>
                      <w:u w:val="none"/>
                      <w:shd w:val="clear" w:color="auto" w:fill="auto"/>
                      <w:vertAlign w:val="baseline"/>
                      <w:lang w:val="en-US" w:eastAsia="zh-CN" w:bidi="ar-SA"/>
                    </w:rPr>
                  </w:pPr>
                  <w:r>
                    <w:rPr>
                      <w:rFonts w:hint="eastAsia" w:cs="Times New Roman"/>
                      <w:b w:val="0"/>
                      <w:bCs w:val="0"/>
                      <w:i w:val="0"/>
                      <w:iCs w:val="0"/>
                      <w:color w:val="auto"/>
                      <w:sz w:val="21"/>
                      <w:szCs w:val="21"/>
                      <w:highlight w:val="none"/>
                      <w:u w:val="none"/>
                      <w:shd w:val="clear" w:color="auto" w:fill="auto"/>
                      <w:vertAlign w:val="baseline"/>
                      <w:lang w:val="en-US"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323" w:type="dxa"/>
                  <w:tcBorders>
                    <w:lef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cs="Times New Roman"/>
                      <w:b w:val="0"/>
                      <w:bCs w:val="0"/>
                      <w:i w:val="0"/>
                      <w:iCs w:val="0"/>
                      <w:color w:val="auto"/>
                      <w:sz w:val="21"/>
                      <w:szCs w:val="21"/>
                      <w:highlight w:val="none"/>
                      <w:u w:val="none"/>
                      <w:shd w:val="clear" w:color="auto" w:fill="auto"/>
                      <w:vertAlign w:val="baseline"/>
                      <w:lang w:val="en-US" w:eastAsia="zh-CN"/>
                    </w:rPr>
                  </w:pPr>
                  <w:r>
                    <w:rPr>
                      <w:rFonts w:hint="eastAsia" w:ascii="Times New Roman" w:hAnsi="Times New Roman" w:eastAsia="Times New Roman" w:cs="Times New Roman"/>
                      <w:b w:val="0"/>
                      <w:bCs w:val="0"/>
                      <w:i w:val="0"/>
                      <w:iCs w:val="0"/>
                      <w:color w:val="auto"/>
                      <w:sz w:val="21"/>
                      <w:szCs w:val="21"/>
                      <w:highlight w:val="none"/>
                      <w:u w:val="none"/>
                      <w:shd w:val="clear" w:color="auto" w:fill="auto"/>
                      <w:lang w:val="en-US" w:eastAsia="zh-CN"/>
                    </w:rPr>
                    <w:t>注塑废气（G1）</w:t>
                  </w:r>
                </w:p>
              </w:tc>
              <w:tc>
                <w:tcPr>
                  <w:tcW w:w="689" w:type="dxa"/>
                  <w:vMerge w:val="restart"/>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cs="Times New Roman"/>
                      <w:b w:val="0"/>
                      <w:bCs w:val="0"/>
                      <w:i w:val="0"/>
                      <w:iCs w:val="0"/>
                      <w:color w:val="auto"/>
                      <w:sz w:val="21"/>
                      <w:szCs w:val="21"/>
                      <w:highlight w:val="none"/>
                      <w:u w:val="none"/>
                      <w:shd w:val="clear" w:color="auto" w:fill="auto"/>
                      <w:vertAlign w:val="baseline"/>
                      <w:lang w:val="en-US" w:eastAsia="zh-CN"/>
                    </w:rPr>
                  </w:pPr>
                  <w:r>
                    <w:rPr>
                      <w:rFonts w:hint="eastAsia" w:cs="Times New Roman"/>
                      <w:b w:val="0"/>
                      <w:bCs w:val="0"/>
                      <w:i w:val="0"/>
                      <w:iCs w:val="0"/>
                      <w:color w:val="auto"/>
                      <w:sz w:val="21"/>
                      <w:szCs w:val="21"/>
                      <w:highlight w:val="none"/>
                      <w:u w:val="none"/>
                      <w:shd w:val="clear" w:color="auto" w:fill="auto"/>
                      <w:vertAlign w:val="baseline"/>
                      <w:lang w:val="en-US" w:eastAsia="zh-CN"/>
                    </w:rPr>
                    <w:t>NMHC</w:t>
                  </w:r>
                </w:p>
              </w:tc>
              <w:tc>
                <w:tcPr>
                  <w:tcW w:w="834" w:type="dxa"/>
                  <w:vMerge w:val="restart"/>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cs="Times New Roman"/>
                      <w:b w:val="0"/>
                      <w:bCs w:val="0"/>
                      <w:i w:val="0"/>
                      <w:iCs w:val="0"/>
                      <w:color w:val="auto"/>
                      <w:sz w:val="21"/>
                      <w:szCs w:val="21"/>
                      <w:highlight w:val="none"/>
                      <w:u w:val="none"/>
                      <w:shd w:val="clear" w:color="auto" w:fill="auto"/>
                      <w:vertAlign w:val="baseline"/>
                      <w:lang w:val="en-US" w:eastAsia="zh-CN"/>
                    </w:rPr>
                  </w:pPr>
                  <w:r>
                    <w:rPr>
                      <w:rFonts w:hint="eastAsia" w:cs="Times New Roman"/>
                      <w:b w:val="0"/>
                      <w:bCs w:val="0"/>
                      <w:i w:val="0"/>
                      <w:iCs w:val="0"/>
                      <w:color w:val="auto"/>
                      <w:sz w:val="21"/>
                      <w:szCs w:val="21"/>
                      <w:highlight w:val="none"/>
                      <w:u w:val="none"/>
                      <w:shd w:val="clear" w:color="auto" w:fill="auto"/>
                      <w:lang w:val="en-US" w:eastAsia="zh-CN"/>
                    </w:rPr>
                    <w:t>6.0</w:t>
                  </w:r>
                  <w:r>
                    <w:rPr>
                      <w:rFonts w:hint="default" w:ascii="Times New Roman" w:hAnsi="Times New Roman" w:cs="Times New Roman"/>
                      <w:b w:val="0"/>
                      <w:bCs w:val="0"/>
                      <w:i w:val="0"/>
                      <w:iCs w:val="0"/>
                      <w:color w:val="auto"/>
                      <w:sz w:val="21"/>
                      <w:szCs w:val="21"/>
                      <w:highlight w:val="none"/>
                      <w:u w:val="none"/>
                      <w:shd w:val="clear" w:color="auto" w:fill="auto"/>
                      <w:lang w:val="en-US" w:eastAsia="zh-CN"/>
                    </w:rPr>
                    <w:t>×10</w:t>
                  </w:r>
                  <w:r>
                    <w:rPr>
                      <w:rFonts w:hint="default" w:ascii="Times New Roman" w:hAnsi="Times New Roman" w:cs="Times New Roman"/>
                      <w:b w:val="0"/>
                      <w:bCs w:val="0"/>
                      <w:i w:val="0"/>
                      <w:iCs w:val="0"/>
                      <w:color w:val="auto"/>
                      <w:sz w:val="21"/>
                      <w:szCs w:val="21"/>
                      <w:highlight w:val="none"/>
                      <w:u w:val="none"/>
                      <w:shd w:val="clear" w:color="auto" w:fill="auto"/>
                      <w:vertAlign w:val="superscript"/>
                      <w:lang w:val="en-US" w:eastAsia="zh-CN"/>
                    </w:rPr>
                    <w:t>7</w:t>
                  </w:r>
                </w:p>
              </w:tc>
              <w:tc>
                <w:tcPr>
                  <w:tcW w:w="783" w:type="dxa"/>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cs="Times New Roman"/>
                      <w:b w:val="0"/>
                      <w:bCs w:val="0"/>
                      <w:i w:val="0"/>
                      <w:iCs w:val="0"/>
                      <w:color w:val="auto"/>
                      <w:sz w:val="21"/>
                      <w:szCs w:val="21"/>
                      <w:highlight w:val="none"/>
                      <w:u w:val="none"/>
                      <w:shd w:val="clear" w:color="auto" w:fill="auto"/>
                      <w:vertAlign w:val="baseline"/>
                      <w:lang w:val="en-US" w:eastAsia="zh-CN"/>
                    </w:rPr>
                  </w:pPr>
                  <w:r>
                    <w:rPr>
                      <w:rFonts w:hint="default" w:ascii="Times New Roman" w:hAnsi="Times New Roman" w:cs="Times New Roman"/>
                      <w:b w:val="0"/>
                      <w:bCs w:val="0"/>
                      <w:i w:val="0"/>
                      <w:iCs w:val="0"/>
                      <w:color w:val="auto"/>
                      <w:sz w:val="21"/>
                      <w:szCs w:val="21"/>
                      <w:highlight w:val="none"/>
                      <w:u w:val="none"/>
                      <w:shd w:val="clear" w:color="auto" w:fill="auto"/>
                      <w:vertAlign w:val="baseline"/>
                      <w:lang w:val="en-US" w:eastAsia="zh-CN"/>
                    </w:rPr>
                    <w:t>0.</w:t>
                  </w:r>
                  <w:r>
                    <w:rPr>
                      <w:rFonts w:hint="eastAsia" w:cs="Times New Roman"/>
                      <w:b w:val="0"/>
                      <w:bCs w:val="0"/>
                      <w:i w:val="0"/>
                      <w:iCs w:val="0"/>
                      <w:color w:val="auto"/>
                      <w:sz w:val="21"/>
                      <w:szCs w:val="21"/>
                      <w:highlight w:val="none"/>
                      <w:u w:val="none"/>
                      <w:shd w:val="clear" w:color="auto" w:fill="auto"/>
                      <w:vertAlign w:val="baseline"/>
                      <w:lang w:val="en-US" w:eastAsia="zh-CN"/>
                    </w:rPr>
                    <w:t>675</w:t>
                  </w:r>
                </w:p>
              </w:tc>
              <w:tc>
                <w:tcPr>
                  <w:tcW w:w="782" w:type="dxa"/>
                  <w:tcBorders>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cs="Times New Roman"/>
                      <w:b w:val="0"/>
                      <w:bCs w:val="0"/>
                      <w:i w:val="0"/>
                      <w:iCs w:val="0"/>
                      <w:color w:val="auto"/>
                      <w:sz w:val="21"/>
                      <w:szCs w:val="21"/>
                      <w:highlight w:val="none"/>
                      <w:u w:val="none"/>
                      <w:shd w:val="clear" w:color="auto" w:fill="auto"/>
                      <w:vertAlign w:val="baseline"/>
                      <w:lang w:val="en-US" w:eastAsia="zh-CN"/>
                    </w:rPr>
                  </w:pPr>
                  <w:r>
                    <w:rPr>
                      <w:rFonts w:hint="eastAsia" w:ascii="Times New Roman" w:hAnsi="Times New Roman" w:cs="Times New Roman"/>
                      <w:b w:val="0"/>
                      <w:bCs w:val="0"/>
                      <w:i w:val="0"/>
                      <w:iCs w:val="0"/>
                      <w:color w:val="auto"/>
                      <w:sz w:val="21"/>
                      <w:szCs w:val="21"/>
                      <w:highlight w:val="none"/>
                      <w:u w:val="none"/>
                      <w:shd w:val="clear" w:color="auto" w:fill="auto"/>
                      <w:vertAlign w:val="baseline"/>
                      <w:lang w:val="en-US" w:eastAsia="zh-CN"/>
                    </w:rPr>
                    <w:t>22.5</w:t>
                  </w:r>
                </w:p>
              </w:tc>
              <w:tc>
                <w:tcPr>
                  <w:tcW w:w="768" w:type="dxa"/>
                  <w:tcBorders>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cs="Times New Roman"/>
                      <w:b w:val="0"/>
                      <w:bCs w:val="0"/>
                      <w:i w:val="0"/>
                      <w:iCs w:val="0"/>
                      <w:color w:val="auto"/>
                      <w:sz w:val="21"/>
                      <w:szCs w:val="21"/>
                      <w:highlight w:val="none"/>
                      <w:u w:val="none"/>
                      <w:shd w:val="clear" w:color="auto" w:fill="auto"/>
                      <w:vertAlign w:val="baseline"/>
                      <w:lang w:val="en-US" w:eastAsia="zh-CN"/>
                    </w:rPr>
                  </w:pPr>
                  <w:r>
                    <w:rPr>
                      <w:rFonts w:hint="eastAsia" w:cs="Times New Roman"/>
                      <w:b w:val="0"/>
                      <w:bCs w:val="0"/>
                      <w:i w:val="0"/>
                      <w:iCs w:val="0"/>
                      <w:color w:val="auto"/>
                      <w:sz w:val="21"/>
                      <w:szCs w:val="21"/>
                      <w:highlight w:val="none"/>
                      <w:u w:val="none"/>
                      <w:shd w:val="clear" w:color="auto" w:fill="auto"/>
                      <w:vertAlign w:val="baseline"/>
                      <w:lang w:val="en-US" w:eastAsia="zh-CN"/>
                    </w:rPr>
                    <w:t>1.35</w:t>
                  </w:r>
                </w:p>
              </w:tc>
              <w:tc>
                <w:tcPr>
                  <w:tcW w:w="981" w:type="dxa"/>
                  <w:vMerge w:val="restart"/>
                  <w:tcBorders>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Times New Roman" w:cs="Times New Roman"/>
                      <w:b w:val="0"/>
                      <w:bCs w:val="0"/>
                      <w:i w:val="0"/>
                      <w:iCs w:val="0"/>
                      <w:color w:val="auto"/>
                      <w:sz w:val="21"/>
                      <w:szCs w:val="21"/>
                      <w:highlight w:val="none"/>
                      <w:u w:val="none"/>
                      <w:shd w:val="clear" w:color="auto" w:fill="auto"/>
                      <w:lang w:val="en-US" w:eastAsia="zh-CN"/>
                    </w:rPr>
                  </w:pPr>
                  <w:r>
                    <w:rPr>
                      <w:rFonts w:hint="eastAsia" w:ascii="Times New Roman" w:hAnsi="Times New Roman" w:eastAsia="Times New Roman" w:cs="Times New Roman"/>
                      <w:b w:val="0"/>
                      <w:bCs w:val="0"/>
                      <w:i w:val="0"/>
                      <w:iCs w:val="0"/>
                      <w:color w:val="auto"/>
                      <w:sz w:val="21"/>
                      <w:szCs w:val="21"/>
                      <w:highlight w:val="none"/>
                      <w:u w:val="none"/>
                      <w:shd w:val="clear" w:color="auto" w:fill="auto"/>
                      <w:lang w:val="en-US" w:eastAsia="zh-CN"/>
                    </w:rPr>
                    <w:t>集气罩（85%）+活性炭吸附（90%）</w:t>
                  </w:r>
                </w:p>
              </w:tc>
              <w:tc>
                <w:tcPr>
                  <w:tcW w:w="782" w:type="dxa"/>
                  <w:tcBorders>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cs="Times New Roman"/>
                      <w:b w:val="0"/>
                      <w:bCs w:val="0"/>
                      <w:i w:val="0"/>
                      <w:iCs w:val="0"/>
                      <w:color w:val="auto"/>
                      <w:sz w:val="21"/>
                      <w:szCs w:val="21"/>
                      <w:highlight w:val="none"/>
                      <w:u w:val="none"/>
                      <w:shd w:val="clear" w:color="auto" w:fill="auto"/>
                      <w:vertAlign w:val="baseline"/>
                      <w:lang w:val="en-US" w:eastAsia="zh-CN"/>
                    </w:rPr>
                  </w:pPr>
                  <w:r>
                    <w:rPr>
                      <w:rFonts w:hint="eastAsia" w:ascii="Times New Roman" w:hAnsi="Times New Roman" w:cs="Times New Roman"/>
                      <w:b w:val="0"/>
                      <w:bCs w:val="0"/>
                      <w:i w:val="0"/>
                      <w:iCs w:val="0"/>
                      <w:color w:val="auto"/>
                      <w:sz w:val="21"/>
                      <w:szCs w:val="21"/>
                      <w:highlight w:val="none"/>
                      <w:u w:val="none"/>
                      <w:shd w:val="clear" w:color="auto" w:fill="auto"/>
                      <w:vertAlign w:val="baseline"/>
                      <w:lang w:val="en-US" w:eastAsia="zh-CN"/>
                    </w:rPr>
                    <w:t>0.0</w:t>
                  </w:r>
                  <w:r>
                    <w:rPr>
                      <w:rFonts w:hint="eastAsia" w:cs="Times New Roman"/>
                      <w:b w:val="0"/>
                      <w:bCs w:val="0"/>
                      <w:i w:val="0"/>
                      <w:iCs w:val="0"/>
                      <w:color w:val="auto"/>
                      <w:sz w:val="21"/>
                      <w:szCs w:val="21"/>
                      <w:highlight w:val="none"/>
                      <w:u w:val="none"/>
                      <w:shd w:val="clear" w:color="auto" w:fill="auto"/>
                      <w:vertAlign w:val="baseline"/>
                      <w:lang w:val="en-US" w:eastAsia="zh-CN"/>
                    </w:rPr>
                    <w:t>57</w:t>
                  </w:r>
                </w:p>
              </w:tc>
              <w:tc>
                <w:tcPr>
                  <w:tcW w:w="808" w:type="dxa"/>
                  <w:tcBorders>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cs="Times New Roman"/>
                      <w:b w:val="0"/>
                      <w:bCs w:val="0"/>
                      <w:i w:val="0"/>
                      <w:iCs w:val="0"/>
                      <w:color w:val="auto"/>
                      <w:sz w:val="21"/>
                      <w:szCs w:val="21"/>
                      <w:highlight w:val="none"/>
                      <w:u w:val="none"/>
                      <w:shd w:val="clear" w:color="auto" w:fill="auto"/>
                      <w:vertAlign w:val="baseline"/>
                      <w:lang w:val="en-US" w:eastAsia="zh-CN"/>
                    </w:rPr>
                  </w:pPr>
                  <w:r>
                    <w:rPr>
                      <w:rFonts w:hint="eastAsia" w:ascii="Times New Roman" w:hAnsi="Times New Roman" w:cs="Times New Roman"/>
                      <w:b w:val="0"/>
                      <w:bCs w:val="0"/>
                      <w:i w:val="0"/>
                      <w:iCs w:val="0"/>
                      <w:color w:val="auto"/>
                      <w:sz w:val="21"/>
                      <w:szCs w:val="21"/>
                      <w:highlight w:val="none"/>
                      <w:u w:val="none"/>
                      <w:shd w:val="clear" w:color="auto" w:fill="auto"/>
                      <w:vertAlign w:val="baseline"/>
                      <w:lang w:val="en-US" w:eastAsia="zh-CN"/>
                    </w:rPr>
                    <w:t>1.9</w:t>
                  </w:r>
                </w:p>
              </w:tc>
              <w:tc>
                <w:tcPr>
                  <w:tcW w:w="746" w:type="dxa"/>
                  <w:tcBorders>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cs="Times New Roman"/>
                      <w:b w:val="0"/>
                      <w:bCs w:val="0"/>
                      <w:i w:val="0"/>
                      <w:iCs w:val="0"/>
                      <w:color w:val="auto"/>
                      <w:sz w:val="21"/>
                      <w:szCs w:val="21"/>
                      <w:highlight w:val="none"/>
                      <w:u w:val="none"/>
                      <w:shd w:val="clear" w:color="auto" w:fill="auto"/>
                      <w:vertAlign w:val="baseline"/>
                      <w:lang w:val="en-US" w:eastAsia="zh-CN"/>
                    </w:rPr>
                  </w:pPr>
                  <w:r>
                    <w:rPr>
                      <w:rFonts w:hint="eastAsia" w:cs="Times New Roman"/>
                      <w:b w:val="0"/>
                      <w:bCs w:val="0"/>
                      <w:i w:val="0"/>
                      <w:iCs w:val="0"/>
                      <w:color w:val="auto"/>
                      <w:sz w:val="21"/>
                      <w:szCs w:val="21"/>
                      <w:highlight w:val="none"/>
                      <w:u w:val="none"/>
                      <w:shd w:val="clear" w:color="auto" w:fill="auto"/>
                      <w:vertAlign w:val="baseline"/>
                      <w:lang w:val="en-US" w:eastAsia="zh-CN"/>
                    </w:rPr>
                    <w:t>0.1147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323" w:type="dxa"/>
                  <w:tcBorders>
                    <w:lef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Times New Roman" w:hAnsi="Times New Roman" w:eastAsia="Times New Roman" w:cs="Times New Roman"/>
                      <w:b w:val="0"/>
                      <w:bCs w:val="0"/>
                      <w:i w:val="0"/>
                      <w:iCs w:val="0"/>
                      <w:color w:val="auto"/>
                      <w:sz w:val="21"/>
                      <w:szCs w:val="21"/>
                      <w:highlight w:val="none"/>
                      <w:u w:val="none"/>
                      <w:shd w:val="clear" w:color="auto" w:fill="auto"/>
                      <w:lang w:val="en-US" w:eastAsia="zh-CN"/>
                    </w:rPr>
                  </w:pPr>
                  <w:r>
                    <w:rPr>
                      <w:rFonts w:hint="eastAsia" w:ascii="Times New Roman" w:hAnsi="Times New Roman" w:eastAsia="Times New Roman" w:cs="Times New Roman"/>
                      <w:b w:val="0"/>
                      <w:bCs w:val="0"/>
                      <w:i w:val="0"/>
                      <w:iCs w:val="0"/>
                      <w:color w:val="auto"/>
                      <w:sz w:val="21"/>
                      <w:szCs w:val="21"/>
                      <w:highlight w:val="none"/>
                      <w:u w:val="none"/>
                      <w:shd w:val="clear" w:color="auto" w:fill="auto"/>
                      <w:lang w:val="en-US" w:eastAsia="zh-CN"/>
                    </w:rPr>
                    <w:t>模具清洗废气（G3）</w:t>
                  </w:r>
                </w:p>
              </w:tc>
              <w:tc>
                <w:tcPr>
                  <w:tcW w:w="689" w:type="dxa"/>
                  <w:vMerge w:val="continue"/>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cs="Times New Roman"/>
                      <w:b w:val="0"/>
                      <w:bCs w:val="0"/>
                      <w:i w:val="0"/>
                      <w:iCs w:val="0"/>
                      <w:color w:val="auto"/>
                      <w:sz w:val="21"/>
                      <w:szCs w:val="21"/>
                      <w:highlight w:val="none"/>
                      <w:u w:val="none"/>
                      <w:shd w:val="clear" w:color="auto" w:fill="auto"/>
                      <w:vertAlign w:val="baseline"/>
                      <w:lang w:val="en-US" w:eastAsia="zh-CN"/>
                    </w:rPr>
                  </w:pPr>
                </w:p>
              </w:tc>
              <w:tc>
                <w:tcPr>
                  <w:tcW w:w="834" w:type="dxa"/>
                  <w:vMerge w:val="continue"/>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cs="Times New Roman"/>
                      <w:b w:val="0"/>
                      <w:bCs w:val="0"/>
                      <w:i w:val="0"/>
                      <w:iCs w:val="0"/>
                      <w:color w:val="auto"/>
                      <w:sz w:val="21"/>
                      <w:szCs w:val="21"/>
                      <w:highlight w:val="none"/>
                      <w:u w:val="none"/>
                      <w:shd w:val="clear" w:color="auto" w:fill="auto"/>
                      <w:vertAlign w:val="baseline"/>
                      <w:lang w:val="en-US" w:eastAsia="zh-CN"/>
                    </w:rPr>
                  </w:pPr>
                </w:p>
              </w:tc>
              <w:tc>
                <w:tcPr>
                  <w:tcW w:w="783" w:type="dxa"/>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cs="Times New Roman"/>
                      <w:b w:val="0"/>
                      <w:bCs w:val="0"/>
                      <w:i w:val="0"/>
                      <w:iCs w:val="0"/>
                      <w:color w:val="auto"/>
                      <w:sz w:val="21"/>
                      <w:szCs w:val="21"/>
                      <w:highlight w:val="none"/>
                      <w:u w:val="none"/>
                      <w:shd w:val="clear" w:color="auto" w:fill="auto"/>
                      <w:vertAlign w:val="baseline"/>
                      <w:lang w:val="en-US" w:eastAsia="zh-CN"/>
                    </w:rPr>
                  </w:pPr>
                  <w:r>
                    <w:rPr>
                      <w:rFonts w:hint="eastAsia" w:cs="Times New Roman"/>
                      <w:b w:val="0"/>
                      <w:bCs w:val="0"/>
                      <w:i w:val="0"/>
                      <w:iCs w:val="0"/>
                      <w:color w:val="auto"/>
                      <w:sz w:val="21"/>
                      <w:szCs w:val="21"/>
                      <w:highlight w:val="none"/>
                      <w:u w:val="none"/>
                      <w:shd w:val="clear" w:color="auto" w:fill="auto"/>
                      <w:vertAlign w:val="baseline"/>
                      <w:lang w:val="en-US" w:eastAsia="zh-CN"/>
                    </w:rPr>
                    <w:t>5.314</w:t>
                  </w:r>
                </w:p>
              </w:tc>
              <w:tc>
                <w:tcPr>
                  <w:tcW w:w="782" w:type="dxa"/>
                  <w:tcBorders>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cs="Times New Roman"/>
                      <w:b w:val="0"/>
                      <w:bCs w:val="0"/>
                      <w:i w:val="0"/>
                      <w:iCs w:val="0"/>
                      <w:color w:val="auto"/>
                      <w:sz w:val="21"/>
                      <w:szCs w:val="21"/>
                      <w:highlight w:val="none"/>
                      <w:u w:val="none"/>
                      <w:shd w:val="clear" w:color="auto" w:fill="auto"/>
                      <w:vertAlign w:val="baseline"/>
                      <w:lang w:val="en-US" w:eastAsia="zh-CN"/>
                    </w:rPr>
                  </w:pPr>
                  <w:r>
                    <w:rPr>
                      <w:rFonts w:hint="eastAsia" w:ascii="Times New Roman" w:hAnsi="Times New Roman" w:cs="Times New Roman"/>
                      <w:b w:val="0"/>
                      <w:bCs w:val="0"/>
                      <w:i w:val="0"/>
                      <w:iCs w:val="0"/>
                      <w:color w:val="auto"/>
                      <w:sz w:val="21"/>
                      <w:szCs w:val="21"/>
                      <w:highlight w:val="none"/>
                      <w:u w:val="none"/>
                      <w:shd w:val="clear" w:color="auto" w:fill="auto"/>
                      <w:vertAlign w:val="baseline"/>
                      <w:lang w:val="en-US" w:eastAsia="zh-CN"/>
                    </w:rPr>
                    <w:t>177</w:t>
                  </w:r>
                </w:p>
              </w:tc>
              <w:tc>
                <w:tcPr>
                  <w:tcW w:w="768" w:type="dxa"/>
                  <w:tcBorders>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cs="Times New Roman"/>
                      <w:b w:val="0"/>
                      <w:bCs w:val="0"/>
                      <w:i w:val="0"/>
                      <w:iCs w:val="0"/>
                      <w:color w:val="auto"/>
                      <w:sz w:val="21"/>
                      <w:szCs w:val="21"/>
                      <w:highlight w:val="none"/>
                      <w:u w:val="none"/>
                      <w:shd w:val="clear" w:color="auto" w:fill="auto"/>
                      <w:vertAlign w:val="baseline"/>
                      <w:lang w:val="en-US" w:eastAsia="zh-CN"/>
                    </w:rPr>
                  </w:pPr>
                  <w:r>
                    <w:rPr>
                      <w:rFonts w:hint="eastAsia" w:cs="Times New Roman"/>
                      <w:b w:val="0"/>
                      <w:bCs w:val="0"/>
                      <w:i w:val="0"/>
                      <w:iCs w:val="0"/>
                      <w:color w:val="auto"/>
                      <w:sz w:val="21"/>
                      <w:szCs w:val="21"/>
                      <w:highlight w:val="none"/>
                      <w:u w:val="none"/>
                      <w:shd w:val="clear" w:color="auto" w:fill="auto"/>
                      <w:vertAlign w:val="baseline"/>
                      <w:lang w:val="en-US" w:eastAsia="zh-CN"/>
                    </w:rPr>
                    <w:t>1.217</w:t>
                  </w:r>
                </w:p>
              </w:tc>
              <w:tc>
                <w:tcPr>
                  <w:tcW w:w="981" w:type="dxa"/>
                  <w:vMerge w:val="continue"/>
                  <w:tcBorders>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Times New Roman" w:hAnsi="Times New Roman" w:eastAsia="Times New Roman" w:cs="Times New Roman"/>
                      <w:b w:val="0"/>
                      <w:bCs w:val="0"/>
                      <w:i w:val="0"/>
                      <w:iCs w:val="0"/>
                      <w:color w:val="auto"/>
                      <w:sz w:val="21"/>
                      <w:szCs w:val="21"/>
                      <w:highlight w:val="none"/>
                      <w:u w:val="none"/>
                      <w:shd w:val="clear" w:color="auto" w:fill="auto"/>
                      <w:lang w:val="en-US" w:eastAsia="zh-CN"/>
                    </w:rPr>
                  </w:pPr>
                </w:p>
              </w:tc>
              <w:tc>
                <w:tcPr>
                  <w:tcW w:w="782" w:type="dxa"/>
                  <w:tcBorders>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cs="Times New Roman"/>
                      <w:b w:val="0"/>
                      <w:bCs w:val="0"/>
                      <w:i w:val="0"/>
                      <w:iCs w:val="0"/>
                      <w:color w:val="auto"/>
                      <w:sz w:val="21"/>
                      <w:szCs w:val="21"/>
                      <w:highlight w:val="none"/>
                      <w:u w:val="none"/>
                      <w:shd w:val="clear" w:color="auto" w:fill="auto"/>
                      <w:vertAlign w:val="baseline"/>
                      <w:lang w:val="en-US" w:eastAsia="zh-CN"/>
                    </w:rPr>
                  </w:pPr>
                  <w:r>
                    <w:rPr>
                      <w:rFonts w:hint="eastAsia" w:ascii="Times New Roman" w:hAnsi="Times New Roman" w:cs="Times New Roman"/>
                      <w:b w:val="0"/>
                      <w:bCs w:val="0"/>
                      <w:i w:val="0"/>
                      <w:iCs w:val="0"/>
                      <w:color w:val="auto"/>
                      <w:sz w:val="21"/>
                      <w:szCs w:val="21"/>
                      <w:highlight w:val="none"/>
                      <w:u w:val="none"/>
                      <w:shd w:val="clear" w:color="auto" w:fill="auto"/>
                      <w:vertAlign w:val="baseline"/>
                      <w:lang w:val="en-US" w:eastAsia="zh-CN"/>
                    </w:rPr>
                    <w:t>0.</w:t>
                  </w:r>
                  <w:r>
                    <w:rPr>
                      <w:rFonts w:hint="eastAsia" w:cs="Times New Roman"/>
                      <w:b w:val="0"/>
                      <w:bCs w:val="0"/>
                      <w:i w:val="0"/>
                      <w:iCs w:val="0"/>
                      <w:color w:val="auto"/>
                      <w:sz w:val="21"/>
                      <w:szCs w:val="21"/>
                      <w:highlight w:val="none"/>
                      <w:u w:val="none"/>
                      <w:shd w:val="clear" w:color="auto" w:fill="auto"/>
                      <w:vertAlign w:val="baseline"/>
                      <w:lang w:val="en-US" w:eastAsia="zh-CN"/>
                    </w:rPr>
                    <w:t>452</w:t>
                  </w:r>
                </w:p>
              </w:tc>
              <w:tc>
                <w:tcPr>
                  <w:tcW w:w="808" w:type="dxa"/>
                  <w:tcBorders>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cs="Times New Roman"/>
                      <w:b w:val="0"/>
                      <w:bCs w:val="0"/>
                      <w:i w:val="0"/>
                      <w:iCs w:val="0"/>
                      <w:color w:val="auto"/>
                      <w:sz w:val="21"/>
                      <w:szCs w:val="21"/>
                      <w:highlight w:val="none"/>
                      <w:u w:val="none"/>
                      <w:shd w:val="clear" w:color="auto" w:fill="auto"/>
                      <w:vertAlign w:val="baseline"/>
                      <w:lang w:val="en-US" w:eastAsia="zh-CN"/>
                    </w:rPr>
                  </w:pPr>
                  <w:r>
                    <w:rPr>
                      <w:rFonts w:hint="eastAsia" w:ascii="Times New Roman" w:hAnsi="Times New Roman" w:cs="Times New Roman"/>
                      <w:b w:val="0"/>
                      <w:bCs w:val="0"/>
                      <w:i w:val="0"/>
                      <w:iCs w:val="0"/>
                      <w:color w:val="auto"/>
                      <w:sz w:val="21"/>
                      <w:szCs w:val="21"/>
                      <w:highlight w:val="none"/>
                      <w:u w:val="none"/>
                      <w:shd w:val="clear" w:color="auto" w:fill="auto"/>
                      <w:vertAlign w:val="baseline"/>
                      <w:lang w:val="en-US" w:eastAsia="zh-CN"/>
                    </w:rPr>
                    <w:t>15</w:t>
                  </w:r>
                </w:p>
              </w:tc>
              <w:tc>
                <w:tcPr>
                  <w:tcW w:w="746" w:type="dxa"/>
                  <w:tcBorders>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cs="Times New Roman"/>
                      <w:b w:val="0"/>
                      <w:bCs w:val="0"/>
                      <w:i w:val="0"/>
                      <w:iCs w:val="0"/>
                      <w:color w:val="auto"/>
                      <w:sz w:val="21"/>
                      <w:szCs w:val="21"/>
                      <w:highlight w:val="none"/>
                      <w:u w:val="none"/>
                      <w:shd w:val="clear" w:color="auto" w:fill="auto"/>
                      <w:vertAlign w:val="baseline"/>
                      <w:lang w:val="en-US" w:eastAsia="zh-CN"/>
                    </w:rPr>
                  </w:pPr>
                  <w:r>
                    <w:rPr>
                      <w:rFonts w:hint="eastAsia" w:ascii="Times New Roman" w:hAnsi="Times New Roman" w:cs="Times New Roman"/>
                      <w:b w:val="0"/>
                      <w:bCs w:val="0"/>
                      <w:i w:val="0"/>
                      <w:iCs w:val="0"/>
                      <w:color w:val="auto"/>
                      <w:sz w:val="21"/>
                      <w:szCs w:val="21"/>
                      <w:highlight w:val="none"/>
                      <w:u w:val="none"/>
                      <w:shd w:val="clear" w:color="auto" w:fill="auto"/>
                      <w:vertAlign w:val="baseline"/>
                      <w:lang w:val="en-US" w:eastAsia="zh-CN"/>
                    </w:rPr>
                    <w:t>0.</w:t>
                  </w:r>
                  <w:r>
                    <w:rPr>
                      <w:rFonts w:hint="eastAsia" w:cs="Times New Roman"/>
                      <w:b w:val="0"/>
                      <w:bCs w:val="0"/>
                      <w:i w:val="0"/>
                      <w:iCs w:val="0"/>
                      <w:color w:val="auto"/>
                      <w:sz w:val="21"/>
                      <w:szCs w:val="21"/>
                      <w:highlight w:val="none"/>
                      <w:u w:val="none"/>
                      <w:shd w:val="clear" w:color="auto" w:fill="auto"/>
                      <w:vertAlign w:val="baseline"/>
                      <w:lang w:val="en-US" w:eastAsia="zh-CN"/>
                    </w:rPr>
                    <w:t>1034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323" w:type="dxa"/>
                  <w:tcBorders>
                    <w:lef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Times New Roman" w:hAnsi="Times New Roman" w:eastAsia="Times New Roman" w:cs="Times New Roman"/>
                      <w:b w:val="0"/>
                      <w:bCs w:val="0"/>
                      <w:i w:val="0"/>
                      <w:iCs w:val="0"/>
                      <w:color w:val="auto"/>
                      <w:sz w:val="21"/>
                      <w:szCs w:val="21"/>
                      <w:highlight w:val="none"/>
                      <w:u w:val="none"/>
                      <w:shd w:val="clear" w:color="auto" w:fill="auto"/>
                      <w:lang w:val="en-US" w:eastAsia="zh-CN"/>
                    </w:rPr>
                  </w:pPr>
                  <w:r>
                    <w:rPr>
                      <w:rFonts w:hint="eastAsia" w:ascii="Times New Roman" w:hAnsi="Times New Roman" w:eastAsia="Times New Roman" w:cs="Times New Roman"/>
                      <w:b w:val="0"/>
                      <w:bCs w:val="0"/>
                      <w:i w:val="0"/>
                      <w:iCs w:val="0"/>
                      <w:color w:val="auto"/>
                      <w:sz w:val="21"/>
                      <w:szCs w:val="21"/>
                      <w:highlight w:val="none"/>
                      <w:u w:val="none"/>
                      <w:shd w:val="clear" w:color="auto" w:fill="auto"/>
                      <w:lang w:val="en-US" w:eastAsia="zh-CN"/>
                    </w:rPr>
                    <w:t>防锈剂喷涂废气（G4）</w:t>
                  </w:r>
                </w:p>
              </w:tc>
              <w:tc>
                <w:tcPr>
                  <w:tcW w:w="689" w:type="dxa"/>
                  <w:vMerge w:val="continue"/>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cs="Times New Roman"/>
                      <w:b w:val="0"/>
                      <w:bCs w:val="0"/>
                      <w:i w:val="0"/>
                      <w:iCs w:val="0"/>
                      <w:color w:val="auto"/>
                      <w:sz w:val="21"/>
                      <w:szCs w:val="21"/>
                      <w:highlight w:val="none"/>
                      <w:u w:val="none"/>
                      <w:shd w:val="clear" w:color="auto" w:fill="auto"/>
                      <w:vertAlign w:val="baseline"/>
                      <w:lang w:val="en-US" w:eastAsia="zh-CN"/>
                    </w:rPr>
                  </w:pPr>
                </w:p>
              </w:tc>
              <w:tc>
                <w:tcPr>
                  <w:tcW w:w="834" w:type="dxa"/>
                  <w:vMerge w:val="continue"/>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cs="Times New Roman"/>
                      <w:b w:val="0"/>
                      <w:bCs w:val="0"/>
                      <w:i w:val="0"/>
                      <w:iCs w:val="0"/>
                      <w:color w:val="auto"/>
                      <w:sz w:val="21"/>
                      <w:szCs w:val="21"/>
                      <w:highlight w:val="none"/>
                      <w:u w:val="none"/>
                      <w:shd w:val="clear" w:color="auto" w:fill="auto"/>
                      <w:vertAlign w:val="baseline"/>
                      <w:lang w:val="en-US" w:eastAsia="zh-CN"/>
                    </w:rPr>
                  </w:pPr>
                </w:p>
              </w:tc>
              <w:tc>
                <w:tcPr>
                  <w:tcW w:w="783" w:type="dxa"/>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cs="Times New Roman"/>
                      <w:b w:val="0"/>
                      <w:bCs w:val="0"/>
                      <w:i w:val="0"/>
                      <w:iCs w:val="0"/>
                      <w:color w:val="auto"/>
                      <w:sz w:val="21"/>
                      <w:szCs w:val="21"/>
                      <w:highlight w:val="none"/>
                      <w:u w:val="none"/>
                      <w:shd w:val="clear" w:color="auto" w:fill="auto"/>
                      <w:vertAlign w:val="baseline"/>
                      <w:lang w:val="en-US" w:eastAsia="zh-CN"/>
                    </w:rPr>
                  </w:pPr>
                  <w:r>
                    <w:rPr>
                      <w:rFonts w:hint="default" w:ascii="Times New Roman" w:hAnsi="Times New Roman" w:cs="Times New Roman"/>
                      <w:b w:val="0"/>
                      <w:bCs w:val="0"/>
                      <w:i w:val="0"/>
                      <w:iCs w:val="0"/>
                      <w:color w:val="auto"/>
                      <w:sz w:val="21"/>
                      <w:szCs w:val="21"/>
                      <w:highlight w:val="none"/>
                      <w:u w:val="none"/>
                      <w:shd w:val="clear" w:color="auto" w:fill="auto"/>
                      <w:vertAlign w:val="baseline"/>
                      <w:lang w:val="en-US" w:eastAsia="zh-CN"/>
                    </w:rPr>
                    <w:t>0.</w:t>
                  </w:r>
                  <w:r>
                    <w:rPr>
                      <w:rFonts w:hint="eastAsia" w:cs="Times New Roman"/>
                      <w:b w:val="0"/>
                      <w:bCs w:val="0"/>
                      <w:i w:val="0"/>
                      <w:iCs w:val="0"/>
                      <w:color w:val="auto"/>
                      <w:sz w:val="21"/>
                      <w:szCs w:val="21"/>
                      <w:highlight w:val="none"/>
                      <w:u w:val="none"/>
                      <w:shd w:val="clear" w:color="auto" w:fill="auto"/>
                      <w:vertAlign w:val="baseline"/>
                      <w:lang w:val="en-US" w:eastAsia="zh-CN"/>
                    </w:rPr>
                    <w:t>825</w:t>
                  </w:r>
                </w:p>
              </w:tc>
              <w:tc>
                <w:tcPr>
                  <w:tcW w:w="782" w:type="dxa"/>
                  <w:tcBorders>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cs="Times New Roman"/>
                      <w:b w:val="0"/>
                      <w:bCs w:val="0"/>
                      <w:i w:val="0"/>
                      <w:iCs w:val="0"/>
                      <w:color w:val="auto"/>
                      <w:sz w:val="21"/>
                      <w:szCs w:val="21"/>
                      <w:highlight w:val="none"/>
                      <w:u w:val="none"/>
                      <w:shd w:val="clear" w:color="auto" w:fill="auto"/>
                      <w:vertAlign w:val="baseline"/>
                      <w:lang w:val="en-US" w:eastAsia="zh-CN"/>
                    </w:rPr>
                  </w:pPr>
                  <w:r>
                    <w:rPr>
                      <w:rFonts w:hint="eastAsia" w:ascii="Times New Roman" w:hAnsi="Times New Roman" w:cs="Times New Roman"/>
                      <w:b w:val="0"/>
                      <w:bCs w:val="0"/>
                      <w:i w:val="0"/>
                      <w:iCs w:val="0"/>
                      <w:color w:val="auto"/>
                      <w:sz w:val="21"/>
                      <w:szCs w:val="21"/>
                      <w:highlight w:val="none"/>
                      <w:u w:val="none"/>
                      <w:shd w:val="clear" w:color="auto" w:fill="auto"/>
                      <w:vertAlign w:val="baseline"/>
                      <w:lang w:val="en-US" w:eastAsia="zh-CN"/>
                    </w:rPr>
                    <w:t>27.5</w:t>
                  </w:r>
                </w:p>
              </w:tc>
              <w:tc>
                <w:tcPr>
                  <w:tcW w:w="768" w:type="dxa"/>
                  <w:tcBorders>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Times New Roman" w:hAnsi="Times New Roman" w:cs="Times New Roman"/>
                      <w:b w:val="0"/>
                      <w:bCs w:val="0"/>
                      <w:i w:val="0"/>
                      <w:iCs w:val="0"/>
                      <w:color w:val="auto"/>
                      <w:sz w:val="21"/>
                      <w:szCs w:val="21"/>
                      <w:highlight w:val="none"/>
                      <w:u w:val="none"/>
                      <w:shd w:val="clear" w:color="auto" w:fill="auto"/>
                      <w:vertAlign w:val="baseline"/>
                      <w:lang w:val="en-US" w:eastAsia="zh-CN"/>
                    </w:rPr>
                  </w:pPr>
                  <w:r>
                    <w:rPr>
                      <w:rFonts w:hint="eastAsia" w:cs="Times New Roman"/>
                      <w:b w:val="0"/>
                      <w:bCs w:val="0"/>
                      <w:i w:val="0"/>
                      <w:iCs w:val="0"/>
                      <w:color w:val="auto"/>
                      <w:sz w:val="21"/>
                      <w:szCs w:val="21"/>
                      <w:highlight w:val="none"/>
                      <w:u w:val="none"/>
                      <w:shd w:val="clear" w:color="auto" w:fill="auto"/>
                      <w:vertAlign w:val="baseline"/>
                      <w:lang w:val="en-US" w:eastAsia="zh-CN"/>
                    </w:rPr>
                    <w:t>0.03465</w:t>
                  </w:r>
                </w:p>
              </w:tc>
              <w:tc>
                <w:tcPr>
                  <w:tcW w:w="981" w:type="dxa"/>
                  <w:vMerge w:val="continue"/>
                  <w:tcBorders>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Times New Roman" w:cs="Times New Roman"/>
                      <w:b w:val="0"/>
                      <w:bCs w:val="0"/>
                      <w:i w:val="0"/>
                      <w:iCs w:val="0"/>
                      <w:color w:val="auto"/>
                      <w:sz w:val="21"/>
                      <w:szCs w:val="21"/>
                      <w:highlight w:val="none"/>
                      <w:u w:val="none"/>
                      <w:shd w:val="clear" w:color="auto" w:fill="auto"/>
                      <w:lang w:val="en-US" w:eastAsia="zh-CN"/>
                    </w:rPr>
                  </w:pPr>
                </w:p>
              </w:tc>
              <w:tc>
                <w:tcPr>
                  <w:tcW w:w="782" w:type="dxa"/>
                  <w:tcBorders>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cs="Times New Roman"/>
                      <w:b w:val="0"/>
                      <w:bCs w:val="0"/>
                      <w:i w:val="0"/>
                      <w:iCs w:val="0"/>
                      <w:color w:val="auto"/>
                      <w:sz w:val="21"/>
                      <w:szCs w:val="21"/>
                      <w:highlight w:val="none"/>
                      <w:u w:val="none"/>
                      <w:shd w:val="clear" w:color="auto" w:fill="auto"/>
                      <w:vertAlign w:val="baseline"/>
                      <w:lang w:val="en-US" w:eastAsia="zh-CN"/>
                    </w:rPr>
                  </w:pPr>
                  <w:r>
                    <w:rPr>
                      <w:rFonts w:hint="eastAsia" w:ascii="Times New Roman" w:hAnsi="Times New Roman" w:cs="Times New Roman"/>
                      <w:b w:val="0"/>
                      <w:bCs w:val="0"/>
                      <w:i w:val="0"/>
                      <w:iCs w:val="0"/>
                      <w:color w:val="auto"/>
                      <w:sz w:val="21"/>
                      <w:szCs w:val="21"/>
                      <w:highlight w:val="none"/>
                      <w:u w:val="none"/>
                      <w:shd w:val="clear" w:color="auto" w:fill="auto"/>
                      <w:vertAlign w:val="baseline"/>
                      <w:lang w:val="en-US" w:eastAsia="zh-CN"/>
                    </w:rPr>
                    <w:t>0.0</w:t>
                  </w:r>
                  <w:r>
                    <w:rPr>
                      <w:rFonts w:hint="eastAsia" w:cs="Times New Roman"/>
                      <w:b w:val="0"/>
                      <w:bCs w:val="0"/>
                      <w:i w:val="0"/>
                      <w:iCs w:val="0"/>
                      <w:color w:val="auto"/>
                      <w:sz w:val="21"/>
                      <w:szCs w:val="21"/>
                      <w:highlight w:val="none"/>
                      <w:u w:val="none"/>
                      <w:shd w:val="clear" w:color="auto" w:fill="auto"/>
                      <w:vertAlign w:val="baseline"/>
                      <w:lang w:val="en-US" w:eastAsia="zh-CN"/>
                    </w:rPr>
                    <w:t>70</w:t>
                  </w:r>
                </w:p>
              </w:tc>
              <w:tc>
                <w:tcPr>
                  <w:tcW w:w="808" w:type="dxa"/>
                  <w:tcBorders>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cs="Times New Roman"/>
                      <w:b w:val="0"/>
                      <w:bCs w:val="0"/>
                      <w:i w:val="0"/>
                      <w:iCs w:val="0"/>
                      <w:color w:val="auto"/>
                      <w:sz w:val="21"/>
                      <w:szCs w:val="21"/>
                      <w:highlight w:val="none"/>
                      <w:u w:val="none"/>
                      <w:shd w:val="clear" w:color="auto" w:fill="auto"/>
                      <w:vertAlign w:val="baseline"/>
                      <w:lang w:val="en-US" w:eastAsia="zh-CN"/>
                    </w:rPr>
                  </w:pPr>
                  <w:r>
                    <w:rPr>
                      <w:rFonts w:hint="eastAsia" w:ascii="Times New Roman" w:hAnsi="Times New Roman" w:cs="Times New Roman"/>
                      <w:b w:val="0"/>
                      <w:bCs w:val="0"/>
                      <w:i w:val="0"/>
                      <w:iCs w:val="0"/>
                      <w:color w:val="auto"/>
                      <w:sz w:val="21"/>
                      <w:szCs w:val="21"/>
                      <w:highlight w:val="none"/>
                      <w:u w:val="none"/>
                      <w:shd w:val="clear" w:color="auto" w:fill="auto"/>
                      <w:vertAlign w:val="baseline"/>
                      <w:lang w:val="en-US" w:eastAsia="zh-CN"/>
                    </w:rPr>
                    <w:t>2.3</w:t>
                  </w:r>
                </w:p>
              </w:tc>
              <w:tc>
                <w:tcPr>
                  <w:tcW w:w="746" w:type="dxa"/>
                  <w:tcBorders>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cs="Times New Roman"/>
                      <w:b w:val="0"/>
                      <w:bCs w:val="0"/>
                      <w:i w:val="0"/>
                      <w:iCs w:val="0"/>
                      <w:color w:val="auto"/>
                      <w:sz w:val="21"/>
                      <w:szCs w:val="21"/>
                      <w:highlight w:val="none"/>
                      <w:u w:val="none"/>
                      <w:shd w:val="clear" w:color="auto" w:fill="auto"/>
                      <w:vertAlign w:val="baseline"/>
                      <w:lang w:val="en-US" w:eastAsia="zh-CN"/>
                    </w:rPr>
                  </w:pPr>
                  <w:r>
                    <w:rPr>
                      <w:rFonts w:hint="eastAsia" w:ascii="Times New Roman" w:hAnsi="Times New Roman" w:cs="Times New Roman"/>
                      <w:b w:val="0"/>
                      <w:bCs w:val="0"/>
                      <w:i w:val="0"/>
                      <w:iCs w:val="0"/>
                      <w:color w:val="auto"/>
                      <w:sz w:val="21"/>
                      <w:szCs w:val="21"/>
                      <w:highlight w:val="none"/>
                      <w:u w:val="none"/>
                      <w:shd w:val="clear" w:color="auto" w:fill="auto"/>
                      <w:vertAlign w:val="baseline"/>
                      <w:lang w:val="en-US" w:eastAsia="zh-CN"/>
                    </w:rPr>
                    <w:t>0.00</w:t>
                  </w:r>
                  <w:r>
                    <w:rPr>
                      <w:rFonts w:hint="eastAsia" w:cs="Times New Roman"/>
                      <w:b w:val="0"/>
                      <w:bCs w:val="0"/>
                      <w:i w:val="0"/>
                      <w:iCs w:val="0"/>
                      <w:color w:val="auto"/>
                      <w:sz w:val="21"/>
                      <w:szCs w:val="21"/>
                      <w:highlight w:val="none"/>
                      <w:u w:val="none"/>
                      <w:shd w:val="clear" w:color="auto" w:fill="auto"/>
                      <w:vertAlign w:val="baseline"/>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323" w:type="dxa"/>
                  <w:tcBorders>
                    <w:lef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Times New Roman" w:cs="Times New Roman"/>
                      <w:b w:val="0"/>
                      <w:bCs w:val="0"/>
                      <w:i w:val="0"/>
                      <w:iCs w:val="0"/>
                      <w:color w:val="auto"/>
                      <w:sz w:val="21"/>
                      <w:szCs w:val="21"/>
                      <w:highlight w:val="none"/>
                      <w:u w:val="none"/>
                      <w:shd w:val="clear" w:color="auto" w:fill="auto"/>
                      <w:lang w:val="en-US" w:eastAsia="zh-CN"/>
                    </w:rPr>
                  </w:pPr>
                  <w:r>
                    <w:rPr>
                      <w:rFonts w:hint="eastAsia" w:eastAsia="Times New Roman" w:cs="Times New Roman"/>
                      <w:b w:val="0"/>
                      <w:bCs w:val="0"/>
                      <w:i w:val="0"/>
                      <w:iCs w:val="0"/>
                      <w:color w:val="auto"/>
                      <w:sz w:val="21"/>
                      <w:szCs w:val="21"/>
                      <w:highlight w:val="none"/>
                      <w:u w:val="none"/>
                      <w:shd w:val="clear" w:color="auto" w:fill="auto"/>
                      <w:lang w:val="en-US" w:eastAsia="zh-CN"/>
                    </w:rPr>
                    <w:t>无组织有机废气</w:t>
                  </w:r>
                </w:p>
              </w:tc>
              <w:tc>
                <w:tcPr>
                  <w:tcW w:w="689" w:type="dxa"/>
                  <w:vMerge w:val="continue"/>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cs="Times New Roman"/>
                      <w:b w:val="0"/>
                      <w:bCs w:val="0"/>
                      <w:i w:val="0"/>
                      <w:iCs w:val="0"/>
                      <w:color w:val="auto"/>
                      <w:sz w:val="21"/>
                      <w:szCs w:val="21"/>
                      <w:highlight w:val="none"/>
                      <w:u w:val="none"/>
                      <w:shd w:val="clear" w:color="auto" w:fill="auto"/>
                      <w:vertAlign w:val="baseline"/>
                      <w:lang w:val="en-US" w:eastAsia="zh-CN"/>
                    </w:rPr>
                  </w:pPr>
                </w:p>
              </w:tc>
              <w:tc>
                <w:tcPr>
                  <w:tcW w:w="834" w:type="dxa"/>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cs="Times New Roman"/>
                      <w:b w:val="0"/>
                      <w:bCs w:val="0"/>
                      <w:i w:val="0"/>
                      <w:iCs w:val="0"/>
                      <w:color w:val="auto"/>
                      <w:sz w:val="21"/>
                      <w:szCs w:val="21"/>
                      <w:highlight w:val="none"/>
                      <w:u w:val="none"/>
                      <w:shd w:val="clear" w:color="auto" w:fill="auto"/>
                      <w:vertAlign w:val="baseline"/>
                      <w:lang w:val="en-US" w:eastAsia="zh-CN"/>
                    </w:rPr>
                  </w:pPr>
                  <w:r>
                    <w:rPr>
                      <w:rFonts w:hint="default" w:ascii="Times New Roman" w:hAnsi="Times New Roman" w:cs="Times New Roman"/>
                      <w:b w:val="0"/>
                      <w:bCs w:val="0"/>
                      <w:i w:val="0"/>
                      <w:iCs w:val="0"/>
                      <w:color w:val="auto"/>
                      <w:sz w:val="21"/>
                      <w:szCs w:val="21"/>
                      <w:highlight w:val="none"/>
                      <w:u w:val="none"/>
                      <w:shd w:val="clear" w:color="auto" w:fill="auto"/>
                      <w:vertAlign w:val="baseline"/>
                      <w:lang w:val="en-US" w:eastAsia="zh-CN"/>
                    </w:rPr>
                    <w:t>/</w:t>
                  </w:r>
                </w:p>
              </w:tc>
              <w:tc>
                <w:tcPr>
                  <w:tcW w:w="783" w:type="dxa"/>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cs="Times New Roman"/>
                      <w:b w:val="0"/>
                      <w:bCs w:val="0"/>
                      <w:i w:val="0"/>
                      <w:iCs w:val="0"/>
                      <w:color w:val="auto"/>
                      <w:sz w:val="21"/>
                      <w:szCs w:val="21"/>
                      <w:highlight w:val="none"/>
                      <w:u w:val="none"/>
                      <w:shd w:val="clear" w:color="auto" w:fill="auto"/>
                      <w:vertAlign w:val="baseline"/>
                      <w:lang w:val="en-US" w:eastAsia="zh-CN"/>
                    </w:rPr>
                  </w:pPr>
                  <w:r>
                    <w:rPr>
                      <w:color w:val="auto"/>
                      <w:sz w:val="21"/>
                      <w:szCs w:val="21"/>
                      <w:highlight w:val="none"/>
                    </w:rPr>
                    <w:t>0.</w:t>
                  </w:r>
                  <w:r>
                    <w:rPr>
                      <w:rFonts w:hint="eastAsia"/>
                      <w:color w:val="auto"/>
                      <w:sz w:val="21"/>
                      <w:szCs w:val="21"/>
                      <w:highlight w:val="none"/>
                      <w:lang w:val="en-US" w:eastAsia="zh-CN"/>
                    </w:rPr>
                    <w:t>195</w:t>
                  </w:r>
                </w:p>
              </w:tc>
              <w:tc>
                <w:tcPr>
                  <w:tcW w:w="782" w:type="dxa"/>
                  <w:tcBorders>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cs="Times New Roman"/>
                      <w:b w:val="0"/>
                      <w:bCs w:val="0"/>
                      <w:i w:val="0"/>
                      <w:iCs w:val="0"/>
                      <w:color w:val="auto"/>
                      <w:sz w:val="21"/>
                      <w:szCs w:val="21"/>
                      <w:highlight w:val="none"/>
                      <w:u w:val="none"/>
                      <w:shd w:val="clear" w:color="auto" w:fill="auto"/>
                      <w:vertAlign w:val="baseline"/>
                      <w:lang w:val="en-US" w:eastAsia="zh-CN"/>
                    </w:rPr>
                  </w:pPr>
                  <w:r>
                    <w:rPr>
                      <w:rFonts w:hint="eastAsia" w:ascii="Times New Roman" w:hAnsi="Times New Roman" w:cs="Times New Roman"/>
                      <w:b w:val="0"/>
                      <w:bCs w:val="0"/>
                      <w:i w:val="0"/>
                      <w:iCs w:val="0"/>
                      <w:color w:val="auto"/>
                      <w:sz w:val="21"/>
                      <w:szCs w:val="21"/>
                      <w:highlight w:val="none"/>
                      <w:u w:val="none"/>
                      <w:shd w:val="clear" w:color="auto" w:fill="auto"/>
                      <w:vertAlign w:val="baseline"/>
                      <w:lang w:val="en-US" w:eastAsia="zh-CN"/>
                    </w:rPr>
                    <w:t>/</w:t>
                  </w:r>
                </w:p>
              </w:tc>
              <w:tc>
                <w:tcPr>
                  <w:tcW w:w="768" w:type="dxa"/>
                  <w:tcBorders>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cs="Times New Roman"/>
                      <w:b w:val="0"/>
                      <w:bCs w:val="0"/>
                      <w:i w:val="0"/>
                      <w:iCs w:val="0"/>
                      <w:color w:val="auto"/>
                      <w:sz w:val="21"/>
                      <w:szCs w:val="21"/>
                      <w:highlight w:val="none"/>
                      <w:u w:val="none"/>
                      <w:shd w:val="clear" w:color="auto" w:fill="auto"/>
                      <w:vertAlign w:val="baseline"/>
                      <w:lang w:val="en-US" w:eastAsia="zh-CN"/>
                    </w:rPr>
                  </w:pPr>
                  <w:r>
                    <w:rPr>
                      <w:rFonts w:hint="eastAsia" w:ascii="Times New Roman" w:hAnsi="Times New Roman" w:cs="Times New Roman"/>
                      <w:b w:val="0"/>
                      <w:bCs w:val="0"/>
                      <w:i w:val="0"/>
                      <w:iCs w:val="0"/>
                      <w:color w:val="auto"/>
                      <w:sz w:val="21"/>
                      <w:szCs w:val="21"/>
                      <w:highlight w:val="none"/>
                      <w:u w:val="none"/>
                      <w:shd w:val="clear" w:color="auto" w:fill="auto"/>
                      <w:vertAlign w:val="baseline"/>
                      <w:lang w:val="en-US" w:eastAsia="zh-CN"/>
                    </w:rPr>
                    <w:t>0</w:t>
                  </w:r>
                  <w:r>
                    <w:rPr>
                      <w:rFonts w:hint="eastAsia" w:cs="Times New Roman"/>
                      <w:b w:val="0"/>
                      <w:bCs w:val="0"/>
                      <w:i w:val="0"/>
                      <w:iCs w:val="0"/>
                      <w:color w:val="auto"/>
                      <w:sz w:val="21"/>
                      <w:szCs w:val="21"/>
                      <w:highlight w:val="none"/>
                      <w:u w:val="none"/>
                      <w:shd w:val="clear" w:color="auto" w:fill="auto"/>
                      <w:vertAlign w:val="baseline"/>
                      <w:lang w:val="en-US" w:eastAsia="zh-CN"/>
                    </w:rPr>
                    <w:t>.39</w:t>
                  </w:r>
                </w:p>
              </w:tc>
              <w:tc>
                <w:tcPr>
                  <w:tcW w:w="981" w:type="dxa"/>
                  <w:tcBorders>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Times New Roman" w:cs="Times New Roman"/>
                      <w:b w:val="0"/>
                      <w:bCs w:val="0"/>
                      <w:i w:val="0"/>
                      <w:iCs w:val="0"/>
                      <w:color w:val="auto"/>
                      <w:sz w:val="21"/>
                      <w:szCs w:val="21"/>
                      <w:highlight w:val="none"/>
                      <w:u w:val="none"/>
                      <w:shd w:val="clear" w:color="auto" w:fill="auto"/>
                      <w:lang w:val="en-US" w:eastAsia="zh-CN"/>
                    </w:rPr>
                  </w:pPr>
                  <w:r>
                    <w:rPr>
                      <w:rFonts w:hint="eastAsia" w:ascii="Times New Roman" w:hAnsi="Times New Roman" w:eastAsia="Times New Roman" w:cs="Times New Roman"/>
                      <w:b w:val="0"/>
                      <w:bCs w:val="0"/>
                      <w:i w:val="0"/>
                      <w:iCs w:val="0"/>
                      <w:color w:val="auto"/>
                      <w:sz w:val="21"/>
                      <w:szCs w:val="21"/>
                      <w:highlight w:val="none"/>
                      <w:u w:val="none"/>
                      <w:shd w:val="clear" w:color="auto" w:fill="auto"/>
                      <w:lang w:val="en-US" w:eastAsia="zh-CN"/>
                    </w:rPr>
                    <w:t>/</w:t>
                  </w:r>
                </w:p>
              </w:tc>
              <w:tc>
                <w:tcPr>
                  <w:tcW w:w="782" w:type="dxa"/>
                  <w:tcBorders>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Times New Roman" w:hAnsi="Times New Roman" w:eastAsia="宋体" w:cs="Times New Roman"/>
                      <w:b w:val="0"/>
                      <w:bCs w:val="0"/>
                      <w:i w:val="0"/>
                      <w:iCs w:val="0"/>
                      <w:color w:val="auto"/>
                      <w:kern w:val="2"/>
                      <w:sz w:val="21"/>
                      <w:szCs w:val="21"/>
                      <w:highlight w:val="none"/>
                      <w:u w:val="none"/>
                      <w:shd w:val="clear" w:color="auto" w:fill="auto"/>
                      <w:vertAlign w:val="baseline"/>
                      <w:lang w:val="en-US" w:eastAsia="zh-CN" w:bidi="ar-SA"/>
                    </w:rPr>
                  </w:pPr>
                  <w:r>
                    <w:rPr>
                      <w:color w:val="auto"/>
                      <w:sz w:val="21"/>
                      <w:szCs w:val="21"/>
                      <w:highlight w:val="none"/>
                    </w:rPr>
                    <w:t>0.</w:t>
                  </w:r>
                  <w:r>
                    <w:rPr>
                      <w:rFonts w:hint="eastAsia"/>
                      <w:color w:val="auto"/>
                      <w:sz w:val="21"/>
                      <w:szCs w:val="21"/>
                      <w:highlight w:val="none"/>
                      <w:lang w:val="en-US" w:eastAsia="zh-CN"/>
                    </w:rPr>
                    <w:t>195</w:t>
                  </w:r>
                </w:p>
              </w:tc>
              <w:tc>
                <w:tcPr>
                  <w:tcW w:w="808" w:type="dxa"/>
                  <w:tcBorders>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Times New Roman" w:hAnsi="Times New Roman" w:eastAsia="宋体" w:cs="Times New Roman"/>
                      <w:b w:val="0"/>
                      <w:bCs w:val="0"/>
                      <w:i w:val="0"/>
                      <w:iCs w:val="0"/>
                      <w:color w:val="auto"/>
                      <w:kern w:val="2"/>
                      <w:sz w:val="21"/>
                      <w:szCs w:val="21"/>
                      <w:highlight w:val="none"/>
                      <w:u w:val="none"/>
                      <w:shd w:val="clear" w:color="auto" w:fill="auto"/>
                      <w:vertAlign w:val="baseline"/>
                      <w:lang w:val="en-US" w:eastAsia="zh-CN" w:bidi="ar-SA"/>
                    </w:rPr>
                  </w:pPr>
                  <w:r>
                    <w:rPr>
                      <w:rFonts w:hint="eastAsia" w:ascii="Times New Roman" w:hAnsi="Times New Roman" w:cs="Times New Roman"/>
                      <w:b w:val="0"/>
                      <w:bCs w:val="0"/>
                      <w:i w:val="0"/>
                      <w:iCs w:val="0"/>
                      <w:color w:val="auto"/>
                      <w:sz w:val="21"/>
                      <w:szCs w:val="21"/>
                      <w:highlight w:val="none"/>
                      <w:u w:val="none"/>
                      <w:shd w:val="clear" w:color="auto" w:fill="auto"/>
                      <w:vertAlign w:val="baseline"/>
                      <w:lang w:val="en-US" w:eastAsia="zh-CN"/>
                    </w:rPr>
                    <w:t>/</w:t>
                  </w:r>
                </w:p>
              </w:tc>
              <w:tc>
                <w:tcPr>
                  <w:tcW w:w="746" w:type="dxa"/>
                  <w:tcBorders>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Times New Roman" w:hAnsi="Times New Roman" w:eastAsia="宋体" w:cs="Times New Roman"/>
                      <w:b w:val="0"/>
                      <w:bCs w:val="0"/>
                      <w:i w:val="0"/>
                      <w:iCs w:val="0"/>
                      <w:color w:val="auto"/>
                      <w:kern w:val="2"/>
                      <w:sz w:val="21"/>
                      <w:szCs w:val="21"/>
                      <w:highlight w:val="none"/>
                      <w:u w:val="none"/>
                      <w:shd w:val="clear" w:color="auto" w:fill="auto"/>
                      <w:vertAlign w:val="baseline"/>
                      <w:lang w:val="en-US" w:eastAsia="zh-CN" w:bidi="ar-SA"/>
                    </w:rPr>
                  </w:pPr>
                  <w:r>
                    <w:rPr>
                      <w:rFonts w:hint="eastAsia" w:ascii="Times New Roman" w:hAnsi="Times New Roman" w:cs="Times New Roman"/>
                      <w:b w:val="0"/>
                      <w:bCs w:val="0"/>
                      <w:i w:val="0"/>
                      <w:iCs w:val="0"/>
                      <w:color w:val="auto"/>
                      <w:sz w:val="21"/>
                      <w:szCs w:val="21"/>
                      <w:highlight w:val="none"/>
                      <w:u w:val="none"/>
                      <w:shd w:val="clear" w:color="auto" w:fill="auto"/>
                      <w:vertAlign w:val="baseline"/>
                      <w:lang w:val="en-US" w:eastAsia="zh-CN"/>
                    </w:rPr>
                    <w:t>0</w:t>
                  </w:r>
                  <w:r>
                    <w:rPr>
                      <w:rFonts w:hint="eastAsia" w:cs="Times New Roman"/>
                      <w:b w:val="0"/>
                      <w:bCs w:val="0"/>
                      <w:i w:val="0"/>
                      <w:iCs w:val="0"/>
                      <w:color w:val="auto"/>
                      <w:sz w:val="21"/>
                      <w:szCs w:val="21"/>
                      <w:highlight w:val="none"/>
                      <w:u w:val="none"/>
                      <w:shd w:val="clear" w:color="auto" w:fill="auto"/>
                      <w:vertAlign w:val="baseline"/>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23" w:type="dxa"/>
                  <w:tcBorders>
                    <w:left w:val="nil"/>
                    <w:bottom w:val="single" w:color="auto" w:sz="12" w:space="0"/>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Times New Roman" w:hAnsi="Times New Roman" w:eastAsia="Times New Roman" w:cs="Times New Roman"/>
                      <w:b w:val="0"/>
                      <w:bCs w:val="0"/>
                      <w:i w:val="0"/>
                      <w:iCs w:val="0"/>
                      <w:color w:val="auto"/>
                      <w:sz w:val="21"/>
                      <w:szCs w:val="21"/>
                      <w:highlight w:val="none"/>
                      <w:u w:val="none"/>
                      <w:shd w:val="clear" w:color="auto" w:fill="auto"/>
                      <w:lang w:val="en-US" w:eastAsia="zh-CN"/>
                    </w:rPr>
                  </w:pPr>
                  <w:r>
                    <w:rPr>
                      <w:rFonts w:hint="eastAsia" w:ascii="Times New Roman" w:hAnsi="Times New Roman" w:eastAsia="Times New Roman" w:cs="Times New Roman"/>
                      <w:b w:val="0"/>
                      <w:bCs w:val="0"/>
                      <w:i w:val="0"/>
                      <w:iCs w:val="0"/>
                      <w:color w:val="auto"/>
                      <w:sz w:val="21"/>
                      <w:szCs w:val="21"/>
                      <w:highlight w:val="none"/>
                      <w:u w:val="none"/>
                      <w:shd w:val="clear" w:color="auto" w:fill="auto"/>
                      <w:lang w:val="en-US" w:eastAsia="zh-CN"/>
                    </w:rPr>
                    <w:t>破碎废气（G2）</w:t>
                  </w:r>
                </w:p>
              </w:tc>
              <w:tc>
                <w:tcPr>
                  <w:tcW w:w="689" w:type="dxa"/>
                  <w:tcBorders>
                    <w:bottom w:val="single" w:color="auto" w:sz="12" w:space="0"/>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cs="Times New Roman"/>
                      <w:b w:val="0"/>
                      <w:bCs w:val="0"/>
                      <w:i w:val="0"/>
                      <w:iCs w:val="0"/>
                      <w:color w:val="auto"/>
                      <w:sz w:val="21"/>
                      <w:szCs w:val="21"/>
                      <w:highlight w:val="none"/>
                      <w:u w:val="none"/>
                      <w:shd w:val="clear" w:color="auto" w:fill="auto"/>
                      <w:vertAlign w:val="baseline"/>
                      <w:lang w:val="en-US" w:eastAsia="zh-CN"/>
                    </w:rPr>
                  </w:pPr>
                  <w:r>
                    <w:rPr>
                      <w:rFonts w:hint="eastAsia" w:cs="Times New Roman"/>
                      <w:b w:val="0"/>
                      <w:bCs w:val="0"/>
                      <w:i w:val="0"/>
                      <w:iCs w:val="0"/>
                      <w:color w:val="auto"/>
                      <w:sz w:val="21"/>
                      <w:szCs w:val="21"/>
                      <w:highlight w:val="none"/>
                      <w:u w:val="none"/>
                      <w:shd w:val="clear" w:color="auto" w:fill="auto"/>
                      <w:vertAlign w:val="baseline"/>
                      <w:lang w:val="en-US" w:eastAsia="zh-CN"/>
                    </w:rPr>
                    <w:t>颗粒物</w:t>
                  </w:r>
                </w:p>
              </w:tc>
              <w:tc>
                <w:tcPr>
                  <w:tcW w:w="834" w:type="dxa"/>
                  <w:tcBorders>
                    <w:bottom w:val="single" w:color="auto" w:sz="12" w:space="0"/>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cs="Times New Roman"/>
                      <w:b w:val="0"/>
                      <w:bCs w:val="0"/>
                      <w:i w:val="0"/>
                      <w:iCs w:val="0"/>
                      <w:color w:val="auto"/>
                      <w:sz w:val="21"/>
                      <w:szCs w:val="21"/>
                      <w:highlight w:val="none"/>
                      <w:u w:val="none"/>
                      <w:shd w:val="clear" w:color="auto" w:fill="auto"/>
                      <w:vertAlign w:val="baseline"/>
                      <w:lang w:val="en-US" w:eastAsia="zh-CN"/>
                    </w:rPr>
                  </w:pPr>
                  <w:r>
                    <w:rPr>
                      <w:rFonts w:hint="eastAsia" w:cs="Times New Roman"/>
                      <w:b w:val="0"/>
                      <w:bCs w:val="0"/>
                      <w:i w:val="0"/>
                      <w:iCs w:val="0"/>
                      <w:color w:val="auto"/>
                      <w:sz w:val="21"/>
                      <w:szCs w:val="21"/>
                      <w:highlight w:val="none"/>
                      <w:u w:val="none"/>
                      <w:shd w:val="clear" w:color="auto" w:fill="auto"/>
                      <w:lang w:val="en-US" w:eastAsia="zh-CN"/>
                    </w:rPr>
                    <w:t>12</w:t>
                  </w:r>
                  <w:r>
                    <w:rPr>
                      <w:rFonts w:hint="default" w:ascii="Times New Roman" w:hAnsi="Times New Roman" w:cs="Times New Roman"/>
                      <w:b w:val="0"/>
                      <w:bCs w:val="0"/>
                      <w:i w:val="0"/>
                      <w:iCs w:val="0"/>
                      <w:color w:val="auto"/>
                      <w:sz w:val="21"/>
                      <w:szCs w:val="21"/>
                      <w:highlight w:val="none"/>
                      <w:u w:val="none"/>
                      <w:shd w:val="clear" w:color="auto" w:fill="auto"/>
                      <w:lang w:val="en-US" w:eastAsia="zh-CN"/>
                    </w:rPr>
                    <w:t>500</w:t>
                  </w:r>
                </w:p>
              </w:tc>
              <w:tc>
                <w:tcPr>
                  <w:tcW w:w="783" w:type="dxa"/>
                  <w:tcBorders>
                    <w:bottom w:val="single" w:color="auto" w:sz="12" w:space="0"/>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cs="Times New Roman"/>
                      <w:b w:val="0"/>
                      <w:bCs w:val="0"/>
                      <w:i w:val="0"/>
                      <w:iCs w:val="0"/>
                      <w:color w:val="auto"/>
                      <w:sz w:val="21"/>
                      <w:szCs w:val="21"/>
                      <w:highlight w:val="none"/>
                      <w:u w:val="none"/>
                      <w:shd w:val="clear" w:color="auto" w:fill="auto"/>
                      <w:vertAlign w:val="baseline"/>
                      <w:lang w:val="en-US" w:eastAsia="zh-CN"/>
                    </w:rPr>
                  </w:pPr>
                  <w:r>
                    <w:rPr>
                      <w:rFonts w:hint="eastAsia" w:cs="Times New Roman"/>
                      <w:b w:val="0"/>
                      <w:bCs w:val="0"/>
                      <w:i w:val="0"/>
                      <w:iCs w:val="0"/>
                      <w:color w:val="auto"/>
                      <w:sz w:val="21"/>
                      <w:szCs w:val="21"/>
                      <w:highlight w:val="none"/>
                      <w:u w:val="none"/>
                      <w:shd w:val="clear" w:color="auto" w:fill="auto"/>
                      <w:vertAlign w:val="baseline"/>
                      <w:lang w:val="en-US" w:eastAsia="zh-CN"/>
                    </w:rPr>
                    <w:t>0.1875</w:t>
                  </w:r>
                </w:p>
              </w:tc>
              <w:tc>
                <w:tcPr>
                  <w:tcW w:w="782" w:type="dxa"/>
                  <w:tcBorders>
                    <w:bottom w:val="single" w:color="auto" w:sz="12" w:space="0"/>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cs="Times New Roman"/>
                      <w:b w:val="0"/>
                      <w:bCs w:val="0"/>
                      <w:i w:val="0"/>
                      <w:iCs w:val="0"/>
                      <w:color w:val="auto"/>
                      <w:sz w:val="21"/>
                      <w:szCs w:val="21"/>
                      <w:highlight w:val="none"/>
                      <w:u w:val="none"/>
                      <w:shd w:val="clear" w:color="auto" w:fill="auto"/>
                      <w:vertAlign w:val="baseline"/>
                      <w:lang w:val="en-US" w:eastAsia="zh-CN"/>
                    </w:rPr>
                  </w:pPr>
                  <w:r>
                    <w:rPr>
                      <w:rFonts w:hint="eastAsia" w:cs="Times New Roman"/>
                      <w:b w:val="0"/>
                      <w:bCs w:val="0"/>
                      <w:i w:val="0"/>
                      <w:iCs w:val="0"/>
                      <w:color w:val="auto"/>
                      <w:sz w:val="21"/>
                      <w:szCs w:val="21"/>
                      <w:highlight w:val="none"/>
                      <w:u w:val="none"/>
                      <w:shd w:val="clear" w:color="auto" w:fill="auto"/>
                      <w:vertAlign w:val="baseline"/>
                      <w:lang w:val="en-US" w:eastAsia="zh-CN"/>
                    </w:rPr>
                    <w:t>150</w:t>
                  </w:r>
                </w:p>
              </w:tc>
              <w:tc>
                <w:tcPr>
                  <w:tcW w:w="768" w:type="dxa"/>
                  <w:tcBorders>
                    <w:bottom w:val="single" w:color="auto" w:sz="12" w:space="0"/>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cs="Times New Roman"/>
                      <w:b w:val="0"/>
                      <w:bCs w:val="0"/>
                      <w:i w:val="0"/>
                      <w:iCs w:val="0"/>
                      <w:color w:val="auto"/>
                      <w:sz w:val="21"/>
                      <w:szCs w:val="21"/>
                      <w:highlight w:val="none"/>
                      <w:u w:val="none"/>
                      <w:shd w:val="clear" w:color="auto" w:fill="auto"/>
                      <w:vertAlign w:val="baseline"/>
                      <w:lang w:val="en-US" w:eastAsia="zh-CN"/>
                    </w:rPr>
                  </w:pPr>
                  <w:r>
                    <w:rPr>
                      <w:rFonts w:hint="eastAsia" w:cs="Times New Roman"/>
                      <w:b w:val="0"/>
                      <w:bCs w:val="0"/>
                      <w:i w:val="0"/>
                      <w:iCs w:val="0"/>
                      <w:color w:val="auto"/>
                      <w:sz w:val="21"/>
                      <w:szCs w:val="21"/>
                      <w:highlight w:val="none"/>
                      <w:u w:val="none"/>
                      <w:shd w:val="clear" w:color="auto" w:fill="auto"/>
                      <w:vertAlign w:val="baseline"/>
                      <w:lang w:val="en-US" w:eastAsia="zh-CN"/>
                    </w:rPr>
                    <w:t>0.001875</w:t>
                  </w:r>
                </w:p>
              </w:tc>
              <w:tc>
                <w:tcPr>
                  <w:tcW w:w="981" w:type="dxa"/>
                  <w:tcBorders>
                    <w:bottom w:val="single" w:color="auto" w:sz="12" w:space="0"/>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Times New Roman" w:hAnsi="Times New Roman" w:eastAsia="Times New Roman" w:cs="Times New Roman"/>
                      <w:b w:val="0"/>
                      <w:bCs w:val="0"/>
                      <w:i w:val="0"/>
                      <w:iCs w:val="0"/>
                      <w:color w:val="auto"/>
                      <w:sz w:val="21"/>
                      <w:szCs w:val="21"/>
                      <w:highlight w:val="none"/>
                      <w:u w:val="none"/>
                      <w:shd w:val="clear" w:color="auto" w:fill="auto"/>
                      <w:lang w:val="en-US" w:eastAsia="zh-CN"/>
                    </w:rPr>
                  </w:pPr>
                  <w:r>
                    <w:rPr>
                      <w:rFonts w:hint="eastAsia" w:ascii="Times New Roman" w:hAnsi="Times New Roman" w:eastAsia="Times New Roman" w:cs="Times New Roman"/>
                      <w:b w:val="0"/>
                      <w:bCs w:val="0"/>
                      <w:i w:val="0"/>
                      <w:iCs w:val="0"/>
                      <w:color w:val="auto"/>
                      <w:sz w:val="21"/>
                      <w:szCs w:val="21"/>
                      <w:highlight w:val="none"/>
                      <w:u w:val="none"/>
                      <w:shd w:val="clear" w:color="auto" w:fill="auto"/>
                      <w:lang w:val="en-US" w:eastAsia="zh-CN"/>
                    </w:rPr>
                    <w:t>袋式除尘器（95%）</w:t>
                  </w:r>
                </w:p>
              </w:tc>
              <w:tc>
                <w:tcPr>
                  <w:tcW w:w="782" w:type="dxa"/>
                  <w:tcBorders>
                    <w:bottom w:val="single" w:color="auto" w:sz="12" w:space="0"/>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cs="Times New Roman"/>
                      <w:b w:val="0"/>
                      <w:bCs w:val="0"/>
                      <w:i w:val="0"/>
                      <w:iCs w:val="0"/>
                      <w:color w:val="auto"/>
                      <w:sz w:val="21"/>
                      <w:szCs w:val="21"/>
                      <w:highlight w:val="none"/>
                      <w:u w:val="none"/>
                      <w:shd w:val="clear" w:color="auto" w:fill="auto"/>
                      <w:vertAlign w:val="baseline"/>
                      <w:lang w:val="en-US" w:eastAsia="zh-CN"/>
                    </w:rPr>
                  </w:pPr>
                  <w:r>
                    <w:rPr>
                      <w:rFonts w:hint="eastAsia" w:ascii="Times New Roman" w:hAnsi="Times New Roman" w:cs="Times New Roman"/>
                      <w:b w:val="0"/>
                      <w:bCs w:val="0"/>
                      <w:i w:val="0"/>
                      <w:iCs w:val="0"/>
                      <w:color w:val="auto"/>
                      <w:sz w:val="21"/>
                      <w:szCs w:val="21"/>
                      <w:highlight w:val="none"/>
                      <w:u w:val="none"/>
                      <w:shd w:val="clear" w:color="auto" w:fill="auto"/>
                      <w:vertAlign w:val="baseline"/>
                      <w:lang w:val="en-US" w:eastAsia="zh-CN"/>
                    </w:rPr>
                    <w:t>0.00</w:t>
                  </w:r>
                  <w:r>
                    <w:rPr>
                      <w:rFonts w:hint="eastAsia" w:cs="Times New Roman"/>
                      <w:b w:val="0"/>
                      <w:bCs w:val="0"/>
                      <w:i w:val="0"/>
                      <w:iCs w:val="0"/>
                      <w:color w:val="auto"/>
                      <w:sz w:val="21"/>
                      <w:szCs w:val="21"/>
                      <w:highlight w:val="none"/>
                      <w:u w:val="none"/>
                      <w:shd w:val="clear" w:color="auto" w:fill="auto"/>
                      <w:vertAlign w:val="baseline"/>
                      <w:lang w:val="en-US" w:eastAsia="zh-CN"/>
                    </w:rPr>
                    <w:t>94</w:t>
                  </w:r>
                </w:p>
              </w:tc>
              <w:tc>
                <w:tcPr>
                  <w:tcW w:w="808" w:type="dxa"/>
                  <w:tcBorders>
                    <w:bottom w:val="single" w:color="auto" w:sz="12" w:space="0"/>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Times New Roman" w:hAnsi="Times New Roman" w:cs="Times New Roman"/>
                      <w:b w:val="0"/>
                      <w:bCs w:val="0"/>
                      <w:i w:val="0"/>
                      <w:iCs w:val="0"/>
                      <w:color w:val="auto"/>
                      <w:sz w:val="21"/>
                      <w:szCs w:val="21"/>
                      <w:highlight w:val="none"/>
                      <w:u w:val="none"/>
                      <w:shd w:val="clear" w:color="auto" w:fill="auto"/>
                      <w:vertAlign w:val="baseline"/>
                      <w:lang w:val="en-US" w:eastAsia="zh-CN"/>
                    </w:rPr>
                  </w:pPr>
                  <w:r>
                    <w:rPr>
                      <w:rFonts w:hint="eastAsia" w:ascii="Times New Roman" w:hAnsi="Times New Roman" w:cs="Times New Roman"/>
                      <w:b w:val="0"/>
                      <w:bCs w:val="0"/>
                      <w:i w:val="0"/>
                      <w:iCs w:val="0"/>
                      <w:color w:val="auto"/>
                      <w:sz w:val="21"/>
                      <w:szCs w:val="21"/>
                      <w:highlight w:val="none"/>
                      <w:u w:val="none"/>
                      <w:shd w:val="clear" w:color="auto" w:fill="auto"/>
                      <w:vertAlign w:val="baseline"/>
                      <w:lang w:val="en-US" w:eastAsia="zh-CN"/>
                    </w:rPr>
                    <w:t>7.5</w:t>
                  </w:r>
                </w:p>
              </w:tc>
              <w:tc>
                <w:tcPr>
                  <w:tcW w:w="746" w:type="dxa"/>
                  <w:tcBorders>
                    <w:bottom w:val="single" w:color="auto" w:sz="12" w:space="0"/>
                    <w:right w:val="nil"/>
                  </w:tcBorders>
                  <w:noWrap w:val="0"/>
                  <w:vAlign w:val="center"/>
                </w:tcPr>
                <w:p>
                  <w:pPr>
                    <w:pStyle w:val="63"/>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cs="Times New Roman"/>
                      <w:b w:val="0"/>
                      <w:bCs w:val="0"/>
                      <w:i w:val="0"/>
                      <w:iCs w:val="0"/>
                      <w:color w:val="auto"/>
                      <w:sz w:val="21"/>
                      <w:szCs w:val="21"/>
                      <w:highlight w:val="none"/>
                      <w:u w:val="none"/>
                      <w:shd w:val="clear" w:color="auto" w:fill="auto"/>
                      <w:vertAlign w:val="baseline"/>
                      <w:lang w:val="en-US" w:eastAsia="zh-CN"/>
                    </w:rPr>
                  </w:pPr>
                  <w:r>
                    <w:rPr>
                      <w:rFonts w:hint="eastAsia" w:cs="Times New Roman"/>
                      <w:b w:val="0"/>
                      <w:bCs w:val="0"/>
                      <w:i w:val="0"/>
                      <w:iCs w:val="0"/>
                      <w:color w:val="auto"/>
                      <w:sz w:val="21"/>
                      <w:szCs w:val="21"/>
                      <w:highlight w:val="none"/>
                      <w:u w:val="none"/>
                      <w:shd w:val="clear" w:color="auto" w:fill="auto"/>
                      <w:vertAlign w:val="baseline"/>
                      <w:lang w:val="en-US" w:eastAsia="zh-CN"/>
                    </w:rPr>
                    <w:t>0.000094</w:t>
                  </w:r>
                </w:p>
              </w:tc>
            </w:tr>
          </w:tbl>
          <w:p>
            <w:pPr>
              <w:tabs>
                <w:tab w:val="left" w:pos="1346"/>
              </w:tabs>
              <w:spacing w:line="240" w:lineRule="auto"/>
              <w:ind w:firstLine="480" w:firstLineChars="200"/>
              <w:rPr>
                <w:rFonts w:hint="eastAsia" w:ascii="Times New Roman" w:hAnsi="Times New Roman" w:cs="Times New Roman"/>
                <w:color w:val="auto"/>
                <w:sz w:val="24"/>
                <w:highlight w:val="none"/>
                <w:lang w:val="en-US" w:eastAsia="zh-CN"/>
              </w:rPr>
            </w:pPr>
            <w:r>
              <w:rPr>
                <w:rFonts w:hint="eastAsia" w:cs="Times New Roman"/>
                <w:color w:val="auto"/>
                <w:sz w:val="24"/>
                <w:highlight w:val="none"/>
                <w:lang w:val="en-US" w:eastAsia="zh-CN"/>
              </w:rPr>
              <w:tab/>
            </w:r>
          </w:p>
          <w:p>
            <w:pPr>
              <w:widowControl/>
              <w:spacing w:line="360" w:lineRule="auto"/>
              <w:ind w:firstLine="482" w:firstLineChars="200"/>
              <w:rPr>
                <w:color w:val="auto"/>
                <w:sz w:val="24"/>
                <w:highlight w:val="none"/>
              </w:rPr>
            </w:pPr>
            <w:r>
              <w:rPr>
                <w:b/>
                <w:bCs/>
                <w:color w:val="auto"/>
                <w:sz w:val="24"/>
                <w:highlight w:val="none"/>
              </w:rPr>
              <w:t>1.2污染治理设施及可行性</w:t>
            </w:r>
          </w:p>
          <w:p>
            <w:pPr>
              <w:keepNext w:val="0"/>
              <w:keepLines w:val="0"/>
              <w:pageBreakBefore w:val="0"/>
              <w:numPr>
                <w:ilvl w:val="0"/>
                <w:numId w:val="4"/>
              </w:numPr>
              <w:kinsoku/>
              <w:wordWrap/>
              <w:overflowPunct/>
              <w:topLinePunct w:val="0"/>
              <w:autoSpaceDE/>
              <w:autoSpaceDN/>
              <w:bidi w:val="0"/>
              <w:adjustRightInd w:val="0"/>
              <w:snapToGrid w:val="0"/>
              <w:spacing w:line="360" w:lineRule="auto"/>
              <w:ind w:firstLine="482" w:firstLineChars="200"/>
              <w:textAlignment w:val="auto"/>
              <w:rPr>
                <w:rFonts w:hint="eastAsia" w:cs="Times New Roman"/>
                <w:i w:val="0"/>
                <w:iCs w:val="0"/>
                <w:color w:val="auto"/>
                <w:sz w:val="24"/>
                <w:highlight w:val="none"/>
                <w:u w:val="none"/>
                <w:shd w:val="clear" w:color="auto" w:fill="auto"/>
                <w:lang w:val="en-US" w:eastAsia="zh-CN"/>
              </w:rPr>
            </w:pPr>
            <w:r>
              <w:rPr>
                <w:b/>
                <w:bCs/>
                <w:color w:val="auto"/>
                <w:sz w:val="24"/>
                <w:highlight w:val="none"/>
              </w:rPr>
              <w:t>注塑工序废气</w:t>
            </w:r>
            <w:r>
              <w:rPr>
                <w:rFonts w:hint="eastAsia"/>
                <w:b/>
                <w:bCs/>
                <w:color w:val="auto"/>
                <w:sz w:val="24"/>
                <w:highlight w:val="none"/>
                <w:lang w:eastAsia="zh-CN"/>
              </w:rPr>
              <w:t>、</w:t>
            </w:r>
            <w:r>
              <w:rPr>
                <w:rFonts w:hint="eastAsia"/>
                <w:b/>
                <w:bCs/>
                <w:color w:val="auto"/>
                <w:sz w:val="24"/>
                <w:highlight w:val="none"/>
                <w:lang w:val="en-US" w:eastAsia="zh-CN"/>
              </w:rPr>
              <w:t>模具清洗废气、</w:t>
            </w:r>
            <w:r>
              <w:rPr>
                <w:rFonts w:hint="eastAsia" w:ascii="Times New Roman" w:hAnsi="Times New Roman" w:cs="Times New Roman"/>
                <w:b/>
                <w:bCs/>
                <w:color w:val="auto"/>
                <w:sz w:val="24"/>
                <w:highlight w:val="none"/>
                <w:lang w:val="en-US" w:eastAsia="zh-CN"/>
              </w:rPr>
              <w:t>防锈剂喷涂废气</w:t>
            </w:r>
            <w:r>
              <w:rPr>
                <w:rFonts w:hint="default" w:ascii="Times New Roman" w:hAnsi="Times New Roman" w:eastAsia="宋体" w:cs="Times New Roman"/>
                <w:i w:val="0"/>
                <w:iCs w:val="0"/>
                <w:color w:val="auto"/>
                <w:sz w:val="24"/>
                <w:highlight w:val="none"/>
                <w:u w:val="none"/>
                <w:shd w:val="clear" w:color="auto" w:fill="auto"/>
                <w:lang w:val="en-US" w:eastAsia="zh-CN"/>
              </w:rPr>
              <w:t>：根据《排污许可证申请与核发技术规范</w:t>
            </w:r>
            <w:r>
              <w:rPr>
                <w:rFonts w:hint="eastAsia" w:ascii="Times New Roman" w:hAnsi="Times New Roman" w:eastAsia="宋体" w:cs="Times New Roman"/>
                <w:i w:val="0"/>
                <w:iCs w:val="0"/>
                <w:color w:val="auto"/>
                <w:sz w:val="24"/>
                <w:highlight w:val="none"/>
                <w:u w:val="none"/>
                <w:shd w:val="clear" w:color="auto" w:fill="auto"/>
                <w:lang w:val="en-US" w:eastAsia="zh-CN"/>
              </w:rPr>
              <w:t>-</w:t>
            </w:r>
            <w:r>
              <w:rPr>
                <w:rFonts w:hint="default" w:ascii="Times New Roman" w:hAnsi="Times New Roman" w:eastAsia="宋体" w:cs="Times New Roman"/>
                <w:i w:val="0"/>
                <w:iCs w:val="0"/>
                <w:color w:val="auto"/>
                <w:sz w:val="24"/>
                <w:highlight w:val="none"/>
                <w:u w:val="none"/>
                <w:shd w:val="clear" w:color="auto" w:fill="auto"/>
                <w:lang w:val="en-US" w:eastAsia="zh-CN"/>
              </w:rPr>
              <w:t>橡胶和塑料制品》（HJ1122-2020）</w:t>
            </w:r>
            <w:r>
              <w:rPr>
                <w:rFonts w:hint="eastAsia" w:cs="Times New Roman"/>
                <w:i w:val="0"/>
                <w:iCs w:val="0"/>
                <w:color w:val="auto"/>
                <w:sz w:val="24"/>
                <w:highlight w:val="none"/>
                <w:u w:val="none"/>
                <w:shd w:val="clear" w:color="auto" w:fill="auto"/>
                <w:lang w:val="en-US" w:eastAsia="zh-CN"/>
              </w:rPr>
              <w:t>“表</w:t>
            </w:r>
            <w:r>
              <w:rPr>
                <w:rFonts w:hint="default" w:ascii="Times New Roman" w:hAnsi="Times New Roman" w:eastAsia="宋体" w:cs="Times New Roman"/>
                <w:i w:val="0"/>
                <w:iCs w:val="0"/>
                <w:color w:val="auto"/>
                <w:sz w:val="24"/>
                <w:highlight w:val="none"/>
                <w:u w:val="none"/>
                <w:shd w:val="clear" w:color="auto" w:fill="auto"/>
                <w:lang w:val="en-US" w:eastAsia="zh-CN"/>
              </w:rPr>
              <w:t>A.2塑料制品工业排污单位废气污染防治可行技术参考表</w:t>
            </w:r>
            <w:r>
              <w:rPr>
                <w:rFonts w:hint="eastAsia" w:cs="Times New Roman"/>
                <w:i w:val="0"/>
                <w:iCs w:val="0"/>
                <w:color w:val="auto"/>
                <w:sz w:val="24"/>
                <w:highlight w:val="none"/>
                <w:u w:val="none"/>
                <w:shd w:val="clear" w:color="auto" w:fill="auto"/>
                <w:lang w:val="en-US" w:eastAsia="zh-CN"/>
              </w:rPr>
              <w:t>”</w:t>
            </w:r>
            <w:r>
              <w:rPr>
                <w:rFonts w:hint="eastAsia" w:ascii="Times New Roman" w:hAnsi="Times New Roman" w:eastAsia="宋体" w:cs="Times New Roman"/>
                <w:i w:val="0"/>
                <w:iCs w:val="0"/>
                <w:color w:val="auto"/>
                <w:sz w:val="24"/>
                <w:highlight w:val="none"/>
                <w:u w:val="none"/>
                <w:shd w:val="clear" w:color="auto" w:fill="auto"/>
                <w:lang w:val="en-US" w:eastAsia="zh-CN"/>
              </w:rPr>
              <w:t>可知</w:t>
            </w:r>
            <w:r>
              <w:rPr>
                <w:rFonts w:hint="default" w:ascii="Times New Roman" w:hAnsi="Times New Roman" w:eastAsia="宋体" w:cs="Times New Roman"/>
                <w:i w:val="0"/>
                <w:iCs w:val="0"/>
                <w:color w:val="auto"/>
                <w:sz w:val="24"/>
                <w:highlight w:val="none"/>
                <w:u w:val="none"/>
                <w:shd w:val="clear" w:color="auto" w:fill="auto"/>
                <w:lang w:val="en-US" w:eastAsia="zh-CN"/>
              </w:rPr>
              <w:t>塑料零件及其他塑料制品</w:t>
            </w:r>
            <w:r>
              <w:rPr>
                <w:rFonts w:hint="eastAsia" w:ascii="Times New Roman" w:hAnsi="Times New Roman" w:eastAsia="宋体" w:cs="Times New Roman"/>
                <w:i w:val="0"/>
                <w:iCs w:val="0"/>
                <w:color w:val="auto"/>
                <w:sz w:val="24"/>
                <w:highlight w:val="none"/>
                <w:u w:val="none"/>
                <w:shd w:val="clear" w:color="auto" w:fill="auto"/>
                <w:lang w:val="en-US" w:eastAsia="zh-CN"/>
              </w:rPr>
              <w:t>污染物</w:t>
            </w:r>
            <w:r>
              <w:rPr>
                <w:rFonts w:hint="default" w:ascii="Times New Roman" w:hAnsi="Times New Roman" w:eastAsia="宋体" w:cs="Times New Roman"/>
                <w:i w:val="0"/>
                <w:iCs w:val="0"/>
                <w:color w:val="auto"/>
                <w:sz w:val="24"/>
                <w:highlight w:val="none"/>
                <w:u w:val="none"/>
                <w:shd w:val="clear" w:color="auto" w:fill="auto"/>
                <w:lang w:val="en-US" w:eastAsia="zh-CN"/>
              </w:rPr>
              <w:t>非甲烷</w:t>
            </w:r>
            <w:r>
              <w:rPr>
                <w:rFonts w:hint="eastAsia" w:ascii="Times New Roman" w:hAnsi="Times New Roman" w:eastAsia="宋体" w:cs="Times New Roman"/>
                <w:i w:val="0"/>
                <w:iCs w:val="0"/>
                <w:color w:val="auto"/>
                <w:sz w:val="24"/>
                <w:highlight w:val="none"/>
                <w:u w:val="none"/>
                <w:shd w:val="clear" w:color="auto" w:fill="auto"/>
                <w:lang w:val="en-US" w:eastAsia="zh-CN"/>
              </w:rPr>
              <w:t>总烃</w:t>
            </w:r>
            <w:r>
              <w:rPr>
                <w:rFonts w:hint="default" w:ascii="Times New Roman" w:hAnsi="Times New Roman" w:eastAsia="宋体" w:cs="Times New Roman"/>
                <w:i w:val="0"/>
                <w:iCs w:val="0"/>
                <w:color w:val="auto"/>
                <w:sz w:val="24"/>
                <w:highlight w:val="none"/>
                <w:u w:val="none"/>
                <w:shd w:val="clear" w:color="auto" w:fill="auto"/>
                <w:lang w:val="en-US" w:eastAsia="zh-CN"/>
              </w:rPr>
              <w:t>可行技术为</w:t>
            </w:r>
            <w:r>
              <w:rPr>
                <w:rFonts w:hint="eastAsia" w:cs="Times New Roman"/>
                <w:i w:val="0"/>
                <w:iCs w:val="0"/>
                <w:color w:val="auto"/>
                <w:sz w:val="24"/>
                <w:highlight w:val="none"/>
                <w:u w:val="none"/>
                <w:shd w:val="clear" w:color="auto" w:fill="auto"/>
                <w:lang w:val="en-US" w:eastAsia="zh-CN"/>
              </w:rPr>
              <w:t>“</w:t>
            </w:r>
            <w:r>
              <w:rPr>
                <w:rFonts w:hint="default" w:ascii="Times New Roman" w:hAnsi="Times New Roman" w:eastAsia="宋体" w:cs="Times New Roman"/>
                <w:i w:val="0"/>
                <w:iCs w:val="0"/>
                <w:color w:val="auto"/>
                <w:sz w:val="24"/>
                <w:highlight w:val="none"/>
                <w:u w:val="none"/>
                <w:shd w:val="clear" w:color="auto" w:fill="auto"/>
                <w:lang w:val="en-US" w:eastAsia="zh-CN"/>
              </w:rPr>
              <w:t>喷淋；吸附；吸附浓缩+热力燃烧/催化燃烧</w:t>
            </w:r>
            <w:r>
              <w:rPr>
                <w:rFonts w:hint="eastAsia" w:cs="Times New Roman"/>
                <w:i w:val="0"/>
                <w:iCs w:val="0"/>
                <w:color w:val="auto"/>
                <w:sz w:val="24"/>
                <w:highlight w:val="none"/>
                <w:u w:val="none"/>
                <w:shd w:val="clear" w:color="auto" w:fill="auto"/>
                <w:lang w:val="en-US" w:eastAsia="zh-CN"/>
              </w:rPr>
              <w:t>”</w:t>
            </w:r>
            <w:r>
              <w:rPr>
                <w:rFonts w:hint="default" w:ascii="Times New Roman" w:hAnsi="Times New Roman" w:eastAsia="宋体" w:cs="Times New Roman"/>
                <w:i w:val="0"/>
                <w:iCs w:val="0"/>
                <w:color w:val="auto"/>
                <w:sz w:val="24"/>
                <w:highlight w:val="none"/>
                <w:u w:val="none"/>
                <w:shd w:val="clear" w:color="auto" w:fill="auto"/>
                <w:lang w:val="en-US" w:eastAsia="zh-CN"/>
              </w:rPr>
              <w:t>，本项目注塑废气</w:t>
            </w:r>
            <w:r>
              <w:rPr>
                <w:rFonts w:hint="eastAsia" w:ascii="Times New Roman" w:hAnsi="Times New Roman" w:eastAsia="宋体" w:cs="Times New Roman"/>
                <w:i w:val="0"/>
                <w:iCs w:val="0"/>
                <w:color w:val="auto"/>
                <w:sz w:val="24"/>
                <w:highlight w:val="none"/>
                <w:u w:val="none"/>
                <w:shd w:val="clear" w:color="auto" w:fill="auto"/>
                <w:lang w:val="en-US" w:eastAsia="zh-CN"/>
              </w:rPr>
              <w:t>、模具清洗废气、</w:t>
            </w:r>
            <w:r>
              <w:rPr>
                <w:rFonts w:hint="eastAsia" w:ascii="Times New Roman" w:hAnsi="Times New Roman" w:eastAsia="Times New Roman" w:cs="Times New Roman"/>
                <w:color w:val="auto"/>
                <w:sz w:val="24"/>
                <w:szCs w:val="24"/>
                <w:highlight w:val="none"/>
                <w:lang w:val="en-US" w:eastAsia="zh-CN"/>
              </w:rPr>
              <w:t>防锈剂喷涂废气</w:t>
            </w:r>
            <w:r>
              <w:rPr>
                <w:rFonts w:hint="eastAsia" w:ascii="Times New Roman" w:hAnsi="Times New Roman" w:eastAsia="宋体" w:cs="Times New Roman"/>
                <w:i w:val="0"/>
                <w:iCs w:val="0"/>
                <w:color w:val="auto"/>
                <w:sz w:val="24"/>
                <w:highlight w:val="none"/>
                <w:u w:val="none"/>
                <w:shd w:val="clear" w:color="auto" w:fill="auto"/>
                <w:lang w:val="en-US" w:eastAsia="zh-CN"/>
              </w:rPr>
              <w:t>拟</w:t>
            </w:r>
            <w:r>
              <w:rPr>
                <w:rFonts w:hint="default" w:ascii="Times New Roman" w:hAnsi="Times New Roman" w:eastAsia="宋体" w:cs="Times New Roman"/>
                <w:i w:val="0"/>
                <w:iCs w:val="0"/>
                <w:color w:val="auto"/>
                <w:sz w:val="24"/>
                <w:highlight w:val="none"/>
                <w:u w:val="none"/>
                <w:shd w:val="clear" w:color="auto" w:fill="auto"/>
                <w:lang w:val="en-US" w:eastAsia="zh-CN"/>
              </w:rPr>
              <w:t>经</w:t>
            </w:r>
            <w:r>
              <w:rPr>
                <w:rFonts w:hint="eastAsia" w:ascii="Times New Roman" w:hAnsi="Times New Roman" w:eastAsia="宋体" w:cs="Times New Roman"/>
                <w:i w:val="0"/>
                <w:iCs w:val="0"/>
                <w:color w:val="auto"/>
                <w:sz w:val="24"/>
                <w:highlight w:val="none"/>
                <w:u w:val="none"/>
                <w:shd w:val="clear" w:color="auto" w:fill="auto"/>
                <w:lang w:val="en-US" w:eastAsia="zh-CN"/>
              </w:rPr>
              <w:t>各单元</w:t>
            </w:r>
            <w:r>
              <w:rPr>
                <w:rFonts w:hint="default" w:ascii="Times New Roman" w:hAnsi="Times New Roman" w:eastAsia="宋体" w:cs="Times New Roman"/>
                <w:i w:val="0"/>
                <w:iCs w:val="0"/>
                <w:color w:val="auto"/>
                <w:sz w:val="24"/>
                <w:highlight w:val="none"/>
                <w:u w:val="none"/>
                <w:shd w:val="clear" w:color="auto" w:fill="auto"/>
                <w:lang w:val="en-US" w:eastAsia="zh-CN"/>
              </w:rPr>
              <w:t>活性炭吸附装置处理，属吸附技术</w:t>
            </w:r>
            <w:r>
              <w:rPr>
                <w:rFonts w:hint="eastAsia" w:cs="Times New Roman"/>
                <w:i w:val="0"/>
                <w:iCs w:val="0"/>
                <w:color w:val="auto"/>
                <w:sz w:val="24"/>
                <w:highlight w:val="none"/>
                <w:u w:val="none"/>
                <w:shd w:val="clear" w:color="auto" w:fill="auto"/>
                <w:lang w:val="en-US" w:eastAsia="zh-CN"/>
              </w:rPr>
              <w:t>。故采用活性碳吸附可行。</w:t>
            </w:r>
          </w:p>
          <w:p>
            <w:pPr>
              <w:pStyle w:val="97"/>
              <w:rPr>
                <w:rFonts w:hint="default" w:ascii="Times New Roman" w:hAnsi="Times New Roman" w:eastAsia="宋体" w:cs="Times New Roman"/>
                <w:i w:val="0"/>
                <w:iCs w:val="0"/>
                <w:color w:val="auto"/>
                <w:sz w:val="24"/>
                <w:highlight w:val="none"/>
                <w:u w:val="none"/>
                <w:shd w:val="clear" w:color="auto" w:fill="auto"/>
                <w:lang w:val="en-US" w:eastAsia="zh-CN"/>
              </w:rPr>
            </w:pPr>
            <w:r>
              <w:rPr>
                <w:rFonts w:hint="eastAsia" w:ascii="Times New Roman" w:hAnsi="Times New Roman" w:eastAsia="宋体" w:cs="Times New Roman"/>
                <w:b/>
                <w:bCs/>
                <w:color w:val="auto"/>
                <w:sz w:val="24"/>
                <w:highlight w:val="none"/>
                <w:lang w:val="en-US" w:eastAsia="zh-CN"/>
              </w:rPr>
              <w:t>b、破碎废气：</w:t>
            </w:r>
            <w:r>
              <w:rPr>
                <w:rFonts w:hint="eastAsia" w:eastAsia="宋体" w:cs="Times New Roman"/>
                <w:i w:val="0"/>
                <w:iCs w:val="0"/>
                <w:color w:val="auto"/>
                <w:sz w:val="24"/>
                <w:highlight w:val="none"/>
                <w:u w:val="none"/>
                <w:shd w:val="clear" w:color="auto" w:fill="auto"/>
                <w:lang w:val="en-US" w:eastAsia="zh-CN"/>
              </w:rPr>
              <w:t>参考</w:t>
            </w:r>
            <w:r>
              <w:rPr>
                <w:rFonts w:hint="eastAsia" w:ascii="Times New Roman" w:hAnsi="Times New Roman" w:cs="Times New Roman"/>
                <w:i w:val="0"/>
                <w:iCs w:val="0"/>
                <w:color w:val="auto"/>
                <w:sz w:val="24"/>
                <w:highlight w:val="none"/>
                <w:shd w:val="clear" w:color="auto" w:fill="auto"/>
                <w:lang w:val="en-US" w:eastAsia="zh-CN"/>
              </w:rPr>
              <w:t>《排污许可证申请与核发技术规范 废弃资源加工工业》（HJ1034-2019）表A.1废弃资源加工工业排污单位废气污染防治可行技术参考表，</w:t>
            </w:r>
            <w:r>
              <w:rPr>
                <w:rFonts w:hint="eastAsia" w:ascii="Times New Roman" w:hAnsi="Times New Roman" w:eastAsia="宋体" w:cs="Times New Roman"/>
                <w:i w:val="0"/>
                <w:iCs w:val="0"/>
                <w:color w:val="auto"/>
                <w:sz w:val="24"/>
                <w:highlight w:val="none"/>
                <w:u w:val="none"/>
                <w:shd w:val="clear" w:color="auto" w:fill="auto"/>
                <w:lang w:val="en-US" w:eastAsia="zh-CN"/>
              </w:rPr>
              <w:t>可知</w:t>
            </w:r>
            <w:r>
              <w:rPr>
                <w:rFonts w:hint="default" w:ascii="Times New Roman" w:hAnsi="Times New Roman" w:eastAsia="宋体" w:cs="Times New Roman"/>
                <w:i w:val="0"/>
                <w:iCs w:val="0"/>
                <w:color w:val="auto"/>
                <w:sz w:val="24"/>
                <w:highlight w:val="none"/>
                <w:u w:val="none"/>
                <w:shd w:val="clear" w:color="auto" w:fill="auto"/>
                <w:lang w:val="en-US" w:eastAsia="zh-CN"/>
              </w:rPr>
              <w:t>塑料零件及其他塑料制品</w:t>
            </w:r>
            <w:r>
              <w:rPr>
                <w:rFonts w:hint="eastAsia" w:ascii="Times New Roman" w:hAnsi="Times New Roman" w:eastAsia="宋体" w:cs="Times New Roman"/>
                <w:i w:val="0"/>
                <w:iCs w:val="0"/>
                <w:color w:val="auto"/>
                <w:sz w:val="24"/>
                <w:highlight w:val="none"/>
                <w:u w:val="none"/>
                <w:shd w:val="clear" w:color="auto" w:fill="auto"/>
                <w:lang w:val="en-US" w:eastAsia="zh-CN"/>
              </w:rPr>
              <w:t>污染物颗粒物</w:t>
            </w:r>
            <w:r>
              <w:rPr>
                <w:rFonts w:hint="default" w:ascii="Times New Roman" w:hAnsi="Times New Roman" w:eastAsia="宋体" w:cs="Times New Roman"/>
                <w:i w:val="0"/>
                <w:iCs w:val="0"/>
                <w:color w:val="auto"/>
                <w:sz w:val="24"/>
                <w:highlight w:val="none"/>
                <w:u w:val="none"/>
                <w:shd w:val="clear" w:color="auto" w:fill="auto"/>
                <w:lang w:val="en-US" w:eastAsia="zh-CN"/>
              </w:rPr>
              <w:t>可行技术为</w:t>
            </w:r>
            <w:r>
              <w:rPr>
                <w:rFonts w:hint="eastAsia" w:ascii="Times New Roman" w:hAnsi="Times New Roman" w:eastAsia="宋体" w:cs="Times New Roman"/>
                <w:i w:val="0"/>
                <w:iCs w:val="0"/>
                <w:color w:val="auto"/>
                <w:sz w:val="24"/>
                <w:highlight w:val="none"/>
                <w:u w:val="none"/>
                <w:shd w:val="clear" w:color="auto" w:fill="auto"/>
                <w:lang w:val="en-US" w:eastAsia="zh-CN"/>
              </w:rPr>
              <w:t>“</w:t>
            </w:r>
            <w:r>
              <w:rPr>
                <w:rFonts w:hint="eastAsia" w:eastAsia="宋体" w:cs="Times New Roman"/>
                <w:i w:val="0"/>
                <w:iCs w:val="0"/>
                <w:color w:val="auto"/>
                <w:sz w:val="24"/>
                <w:highlight w:val="none"/>
                <w:u w:val="none"/>
                <w:shd w:val="clear" w:color="auto" w:fill="auto"/>
                <w:lang w:val="en-US" w:eastAsia="zh-CN"/>
              </w:rPr>
              <w:t>布袋</w:t>
            </w:r>
            <w:r>
              <w:rPr>
                <w:rFonts w:hint="default" w:ascii="Times New Roman" w:hAnsi="Times New Roman" w:eastAsia="宋体" w:cs="Times New Roman"/>
                <w:i w:val="0"/>
                <w:iCs w:val="0"/>
                <w:color w:val="auto"/>
                <w:sz w:val="24"/>
                <w:highlight w:val="none"/>
                <w:u w:val="none"/>
                <w:shd w:val="clear" w:color="auto" w:fill="auto"/>
                <w:lang w:val="en-US" w:eastAsia="zh-CN"/>
              </w:rPr>
              <w:t>除尘；</w:t>
            </w:r>
            <w:r>
              <w:rPr>
                <w:rFonts w:hint="eastAsia" w:eastAsia="宋体" w:cs="Times New Roman"/>
                <w:i w:val="0"/>
                <w:iCs w:val="0"/>
                <w:color w:val="auto"/>
                <w:sz w:val="24"/>
                <w:highlight w:val="none"/>
                <w:u w:val="none"/>
                <w:shd w:val="clear" w:color="auto" w:fill="auto"/>
                <w:lang w:val="en-US" w:eastAsia="zh-CN"/>
              </w:rPr>
              <w:t>喷淋降尘、喷淋降尘+布袋除尘组合技术</w:t>
            </w:r>
            <w:r>
              <w:rPr>
                <w:rFonts w:hint="eastAsia" w:ascii="Times New Roman" w:hAnsi="Times New Roman" w:eastAsia="宋体" w:cs="Times New Roman"/>
                <w:i w:val="0"/>
                <w:iCs w:val="0"/>
                <w:color w:val="auto"/>
                <w:sz w:val="24"/>
                <w:highlight w:val="none"/>
                <w:u w:val="none"/>
                <w:shd w:val="clear" w:color="auto" w:fill="auto"/>
                <w:lang w:val="en-US" w:eastAsia="zh-CN"/>
              </w:rPr>
              <w:t>”</w:t>
            </w:r>
            <w:r>
              <w:rPr>
                <w:rFonts w:hint="default" w:ascii="Times New Roman" w:hAnsi="Times New Roman" w:eastAsia="宋体" w:cs="Times New Roman"/>
                <w:i w:val="0"/>
                <w:iCs w:val="0"/>
                <w:color w:val="auto"/>
                <w:sz w:val="24"/>
                <w:highlight w:val="none"/>
                <w:u w:val="none"/>
                <w:shd w:val="clear" w:color="auto" w:fill="auto"/>
                <w:lang w:val="en-US" w:eastAsia="zh-CN"/>
              </w:rPr>
              <w:t>，本项目</w:t>
            </w:r>
            <w:r>
              <w:rPr>
                <w:rFonts w:hint="eastAsia" w:ascii="Times New Roman" w:hAnsi="Times New Roman" w:eastAsia="宋体" w:cs="Times New Roman"/>
                <w:i w:val="0"/>
                <w:iCs w:val="0"/>
                <w:color w:val="auto"/>
                <w:sz w:val="24"/>
                <w:highlight w:val="none"/>
                <w:u w:val="none"/>
                <w:shd w:val="clear" w:color="auto" w:fill="auto"/>
                <w:lang w:val="en-US" w:eastAsia="zh-CN"/>
              </w:rPr>
              <w:t>破碎废气</w:t>
            </w:r>
            <w:r>
              <w:rPr>
                <w:rFonts w:hint="default" w:ascii="Times New Roman" w:hAnsi="Times New Roman" w:eastAsia="宋体" w:cs="Times New Roman"/>
                <w:i w:val="0"/>
                <w:iCs w:val="0"/>
                <w:color w:val="auto"/>
                <w:sz w:val="24"/>
                <w:highlight w:val="none"/>
                <w:u w:val="none"/>
                <w:shd w:val="clear" w:color="auto" w:fill="auto"/>
                <w:lang w:val="en-US" w:eastAsia="zh-CN"/>
              </w:rPr>
              <w:t>经</w:t>
            </w:r>
            <w:r>
              <w:rPr>
                <w:rFonts w:hint="eastAsia" w:ascii="Times New Roman" w:hAnsi="Times New Roman" w:eastAsia="宋体" w:cs="Times New Roman"/>
                <w:i w:val="0"/>
                <w:iCs w:val="0"/>
                <w:color w:val="auto"/>
                <w:sz w:val="24"/>
                <w:highlight w:val="none"/>
                <w:u w:val="none"/>
                <w:shd w:val="clear" w:color="auto" w:fill="auto"/>
                <w:lang w:val="en-US" w:eastAsia="zh-CN"/>
              </w:rPr>
              <w:t>袋式除尘器</w:t>
            </w:r>
            <w:r>
              <w:rPr>
                <w:rFonts w:hint="default" w:ascii="Times New Roman" w:hAnsi="Times New Roman" w:eastAsia="宋体" w:cs="Times New Roman"/>
                <w:i w:val="0"/>
                <w:iCs w:val="0"/>
                <w:color w:val="auto"/>
                <w:sz w:val="24"/>
                <w:highlight w:val="none"/>
                <w:u w:val="none"/>
                <w:shd w:val="clear" w:color="auto" w:fill="auto"/>
                <w:lang w:val="en-US" w:eastAsia="zh-CN"/>
              </w:rPr>
              <w:t>处理，属</w:t>
            </w:r>
            <w:r>
              <w:rPr>
                <w:rFonts w:hint="eastAsia" w:eastAsia="宋体" w:cs="Times New Roman"/>
                <w:i w:val="0"/>
                <w:iCs w:val="0"/>
                <w:color w:val="auto"/>
                <w:sz w:val="24"/>
                <w:highlight w:val="none"/>
                <w:u w:val="none"/>
                <w:shd w:val="clear" w:color="auto" w:fill="auto"/>
                <w:lang w:val="en-US" w:eastAsia="zh-CN"/>
              </w:rPr>
              <w:t>布袋</w:t>
            </w:r>
            <w:r>
              <w:rPr>
                <w:rFonts w:hint="eastAsia" w:ascii="Times New Roman" w:hAnsi="Times New Roman" w:eastAsia="宋体" w:cs="Times New Roman"/>
                <w:i w:val="0"/>
                <w:iCs w:val="0"/>
                <w:color w:val="auto"/>
                <w:sz w:val="24"/>
                <w:highlight w:val="none"/>
                <w:u w:val="none"/>
                <w:shd w:val="clear" w:color="auto" w:fill="auto"/>
                <w:lang w:val="en-US" w:eastAsia="zh-CN"/>
              </w:rPr>
              <w:t>除尘</w:t>
            </w:r>
            <w:r>
              <w:rPr>
                <w:rFonts w:hint="default" w:ascii="Times New Roman" w:hAnsi="Times New Roman" w:eastAsia="宋体" w:cs="Times New Roman"/>
                <w:i w:val="0"/>
                <w:iCs w:val="0"/>
                <w:color w:val="auto"/>
                <w:sz w:val="24"/>
                <w:highlight w:val="none"/>
                <w:u w:val="none"/>
                <w:shd w:val="clear" w:color="auto" w:fill="auto"/>
                <w:lang w:val="en-US" w:eastAsia="zh-CN"/>
              </w:rPr>
              <w:t>技术，</w:t>
            </w:r>
            <w:r>
              <w:rPr>
                <w:rFonts w:hint="default" w:ascii="Times New Roman" w:hAnsi="Times New Roman" w:cs="Times New Roman"/>
                <w:b w:val="0"/>
                <w:bCs w:val="0"/>
                <w:i w:val="0"/>
                <w:iCs w:val="0"/>
                <w:color w:val="auto"/>
                <w:sz w:val="24"/>
                <w:szCs w:val="24"/>
                <w:highlight w:val="none"/>
                <w:u w:val="none"/>
                <w:shd w:val="clear" w:color="auto" w:fill="auto"/>
                <w:lang w:val="en-US" w:eastAsia="zh-CN"/>
              </w:rPr>
              <w:t>布袋除尘器的除尘效率高，一般在95%以上</w:t>
            </w:r>
            <w:r>
              <w:rPr>
                <w:rFonts w:hint="eastAsia" w:ascii="Times New Roman" w:hAnsi="Times New Roman" w:cs="Times New Roman"/>
                <w:b w:val="0"/>
                <w:bCs w:val="0"/>
                <w:i w:val="0"/>
                <w:iCs w:val="0"/>
                <w:color w:val="auto"/>
                <w:sz w:val="24"/>
                <w:szCs w:val="24"/>
                <w:highlight w:val="none"/>
                <w:u w:val="none"/>
                <w:shd w:val="clear" w:color="auto" w:fill="auto"/>
                <w:lang w:val="en-US" w:eastAsia="zh-CN"/>
              </w:rPr>
              <w:t>，</w:t>
            </w:r>
            <w:r>
              <w:rPr>
                <w:rFonts w:hint="eastAsia" w:eastAsia="宋体" w:cs="Times New Roman"/>
                <w:i w:val="0"/>
                <w:iCs w:val="0"/>
                <w:color w:val="auto"/>
                <w:sz w:val="24"/>
                <w:highlight w:val="none"/>
                <w:u w:val="none"/>
                <w:shd w:val="clear" w:color="auto" w:fill="auto"/>
                <w:lang w:val="en-US" w:eastAsia="zh-CN"/>
              </w:rPr>
              <w:t>综上，</w:t>
            </w:r>
            <w:r>
              <w:rPr>
                <w:rFonts w:hint="eastAsia" w:ascii="Times New Roman" w:hAnsi="Times New Roman" w:eastAsia="宋体" w:cs="Times New Roman"/>
                <w:i w:val="0"/>
                <w:iCs w:val="0"/>
                <w:color w:val="auto"/>
                <w:sz w:val="24"/>
                <w:highlight w:val="none"/>
                <w:u w:val="none"/>
                <w:shd w:val="clear" w:color="auto" w:fill="auto"/>
                <w:lang w:val="en-US" w:eastAsia="zh-CN"/>
              </w:rPr>
              <w:t>破碎废气</w:t>
            </w:r>
            <w:r>
              <w:rPr>
                <w:rFonts w:hint="default" w:ascii="Times New Roman" w:hAnsi="Times New Roman" w:eastAsia="宋体" w:cs="Times New Roman"/>
                <w:i w:val="0"/>
                <w:iCs w:val="0"/>
                <w:color w:val="auto"/>
                <w:sz w:val="24"/>
                <w:highlight w:val="none"/>
                <w:u w:val="none"/>
                <w:shd w:val="clear" w:color="auto" w:fill="auto"/>
                <w:lang w:val="en-US" w:eastAsia="zh-CN"/>
              </w:rPr>
              <w:t>拟采取的废气治理措施属可行技术。</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Arial" w:cs="Times New Roman"/>
                <w:i w:val="0"/>
                <w:iCs w:val="0"/>
                <w:caps w:val="0"/>
                <w:color w:val="auto"/>
                <w:spacing w:val="0"/>
                <w:sz w:val="24"/>
                <w:szCs w:val="24"/>
                <w:highlight w:val="none"/>
                <w:shd w:val="clear" w:color="auto" w:fill="FFFFFF"/>
              </w:rPr>
            </w:pPr>
            <w:r>
              <w:rPr>
                <w:rFonts w:hint="default" w:ascii="Times New Roman" w:hAnsi="Times New Roman" w:eastAsia="Arial" w:cs="Times New Roman"/>
                <w:i w:val="0"/>
                <w:iCs w:val="0"/>
                <w:caps w:val="0"/>
                <w:color w:val="auto"/>
                <w:spacing w:val="0"/>
                <w:sz w:val="24"/>
                <w:szCs w:val="24"/>
                <w:highlight w:val="none"/>
                <w:shd w:val="clear" w:color="auto" w:fill="FFFFFF"/>
              </w:rPr>
              <w:t>根据《大气环境影响评价实用技术》（王栋成主编）第11章大气污染控制与治理措施，活性炭对有机废气的吸附效率可以达到95%</w:t>
            </w:r>
            <w:r>
              <w:rPr>
                <w:rFonts w:hint="eastAsia" w:ascii="Times New Roman" w:hAnsi="Times New Roman" w:eastAsia="宋体" w:cs="Times New Roman"/>
                <w:i w:val="0"/>
                <w:iCs w:val="0"/>
                <w:caps w:val="0"/>
                <w:color w:val="auto"/>
                <w:spacing w:val="0"/>
                <w:sz w:val="24"/>
                <w:szCs w:val="24"/>
                <w:highlight w:val="none"/>
                <w:shd w:val="clear" w:color="auto" w:fill="FFFFFF"/>
                <w:lang w:eastAsia="zh-CN"/>
              </w:rPr>
              <w:t>，</w:t>
            </w:r>
            <w:r>
              <w:rPr>
                <w:rFonts w:hint="eastAsia" w:ascii="Times New Roman" w:hAnsi="Times New Roman" w:eastAsia="宋体" w:cs="Times New Roman"/>
                <w:i w:val="0"/>
                <w:iCs w:val="0"/>
                <w:color w:val="auto"/>
                <w:sz w:val="24"/>
                <w:highlight w:val="none"/>
                <w:u w:val="none"/>
                <w:shd w:val="clear" w:color="auto" w:fill="auto"/>
                <w:lang w:val="en-US" w:eastAsia="zh-CN"/>
              </w:rPr>
              <w:t>综上，</w:t>
            </w:r>
            <w:r>
              <w:rPr>
                <w:rFonts w:hint="default" w:ascii="Times New Roman" w:hAnsi="Times New Roman" w:eastAsia="宋体" w:cs="Times New Roman"/>
                <w:i w:val="0"/>
                <w:iCs w:val="0"/>
                <w:color w:val="auto"/>
                <w:sz w:val="24"/>
                <w:highlight w:val="none"/>
                <w:u w:val="none"/>
                <w:shd w:val="clear" w:color="auto" w:fill="auto"/>
                <w:lang w:val="en-US" w:eastAsia="zh-CN"/>
              </w:rPr>
              <w:t>拟采取的废气治理措施属可行技术。</w:t>
            </w:r>
          </w:p>
          <w:p>
            <w:pPr>
              <w:pStyle w:val="63"/>
              <w:spacing w:line="360" w:lineRule="auto"/>
              <w:ind w:firstLine="480" w:firstLineChars="200"/>
              <w:rPr>
                <w:rFonts w:hint="eastAsia"/>
                <w:color w:val="auto"/>
                <w:sz w:val="24"/>
                <w:szCs w:val="24"/>
                <w:highlight w:val="none"/>
                <w:lang w:eastAsia="zh-CN"/>
              </w:rPr>
            </w:pPr>
            <w:r>
              <w:rPr>
                <w:color w:val="auto"/>
                <w:sz w:val="24"/>
                <w:highlight w:val="none"/>
              </w:rPr>
              <w:t>本项目采用选择碘值不低于800毫克/克的活性炭，</w:t>
            </w:r>
            <w:r>
              <w:rPr>
                <w:color w:val="auto"/>
                <w:sz w:val="24"/>
                <w:szCs w:val="24"/>
                <w:highlight w:val="none"/>
              </w:rPr>
              <w:t>活性炭装置</w:t>
            </w:r>
            <w:r>
              <w:rPr>
                <w:rFonts w:hint="eastAsia"/>
                <w:color w:val="auto"/>
                <w:sz w:val="24"/>
                <w:szCs w:val="24"/>
                <w:highlight w:val="none"/>
              </w:rPr>
              <w:t>初</w:t>
            </w:r>
            <w:r>
              <w:rPr>
                <w:color w:val="auto"/>
                <w:sz w:val="24"/>
                <w:szCs w:val="24"/>
                <w:highlight w:val="none"/>
              </w:rPr>
              <w:t>容量为</w:t>
            </w:r>
            <w:r>
              <w:rPr>
                <w:rFonts w:hint="eastAsia"/>
                <w:color w:val="auto"/>
                <w:sz w:val="24"/>
                <w:szCs w:val="24"/>
                <w:highlight w:val="none"/>
                <w:lang w:val="en-US" w:eastAsia="zh-CN"/>
              </w:rPr>
              <w:t>100</w:t>
            </w:r>
            <w:r>
              <w:rPr>
                <w:color w:val="auto"/>
                <w:sz w:val="24"/>
                <w:szCs w:val="24"/>
                <w:highlight w:val="none"/>
              </w:rPr>
              <w:t>kg，更换频次为1次/</w:t>
            </w:r>
            <w:r>
              <w:rPr>
                <w:rFonts w:hint="eastAsia"/>
                <w:color w:val="auto"/>
                <w:sz w:val="24"/>
                <w:szCs w:val="24"/>
                <w:highlight w:val="none"/>
                <w:lang w:val="en-US" w:eastAsia="zh-CN"/>
              </w:rPr>
              <w:t>月</w:t>
            </w:r>
            <w:r>
              <w:rPr>
                <w:rFonts w:hint="eastAsia"/>
                <w:color w:val="auto"/>
                <w:sz w:val="24"/>
                <w:szCs w:val="24"/>
                <w:highlight w:val="none"/>
                <w:lang w:eastAsia="zh-CN"/>
              </w:rPr>
              <w:t>。</w:t>
            </w:r>
          </w:p>
          <w:p>
            <w:pPr>
              <w:widowControl/>
              <w:spacing w:line="360" w:lineRule="auto"/>
              <w:ind w:firstLine="482" w:firstLineChars="200"/>
              <w:rPr>
                <w:b/>
                <w:bCs/>
                <w:color w:val="auto"/>
                <w:sz w:val="24"/>
                <w:highlight w:val="none"/>
              </w:rPr>
            </w:pPr>
            <w:r>
              <w:rPr>
                <w:b/>
                <w:bCs/>
                <w:color w:val="auto"/>
                <w:sz w:val="24"/>
                <w:highlight w:val="none"/>
              </w:rPr>
              <w:t>1.3达标排放及环境影响分析</w:t>
            </w:r>
          </w:p>
          <w:p>
            <w:pPr>
              <w:pStyle w:val="12"/>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cs="Times New Roman"/>
                <w:b w:val="0"/>
                <w:bCs/>
                <w:caps w:val="0"/>
                <w:color w:val="auto"/>
                <w:sz w:val="24"/>
                <w:szCs w:val="24"/>
                <w:highlight w:val="none"/>
                <w:lang w:val="en-US" w:eastAsia="zh-CN"/>
              </w:rPr>
              <w:t>注塑工序有机废气</w:t>
            </w:r>
            <w:r>
              <w:rPr>
                <w:rFonts w:hint="eastAsia" w:ascii="Times New Roman" w:hAnsi="Times New Roman" w:eastAsia="宋体" w:cs="Times New Roman"/>
                <w:color w:val="auto"/>
                <w:kern w:val="2"/>
                <w:sz w:val="24"/>
                <w:szCs w:val="24"/>
                <w:highlight w:val="none"/>
                <w:lang w:val="en-US" w:eastAsia="zh-CN" w:bidi="ar-SA"/>
              </w:rPr>
              <w:t>经活性炭吸附装置</w:t>
            </w:r>
            <w:r>
              <w:rPr>
                <w:rFonts w:hint="eastAsia" w:ascii="Times New Roman" w:hAnsi="Times New Roman" w:eastAsia="宋体" w:cs="Times New Roman"/>
                <w:b w:val="0"/>
                <w:bCs/>
                <w:caps w:val="0"/>
                <w:color w:val="auto"/>
                <w:sz w:val="24"/>
                <w:szCs w:val="24"/>
                <w:highlight w:val="none"/>
                <w:lang w:val="en-US" w:eastAsia="zh-CN"/>
              </w:rPr>
              <w:t>（TA00</w:t>
            </w:r>
            <w:r>
              <w:rPr>
                <w:rFonts w:hint="eastAsia" w:ascii="Times New Roman" w:hAnsi="Times New Roman" w:cs="Times New Roman"/>
                <w:b w:val="0"/>
                <w:bCs/>
                <w:caps w:val="0"/>
                <w:color w:val="auto"/>
                <w:sz w:val="24"/>
                <w:szCs w:val="24"/>
                <w:highlight w:val="none"/>
                <w:lang w:val="en-US" w:eastAsia="zh-CN"/>
              </w:rPr>
              <w:t>1</w:t>
            </w:r>
            <w:r>
              <w:rPr>
                <w:rFonts w:hint="eastAsia" w:ascii="Times New Roman" w:hAnsi="Times New Roman" w:eastAsia="宋体" w:cs="Times New Roman"/>
                <w:b w:val="0"/>
                <w:bCs/>
                <w:caps w:val="0"/>
                <w:color w:val="auto"/>
                <w:sz w:val="24"/>
                <w:szCs w:val="24"/>
                <w:highlight w:val="none"/>
                <w:lang w:val="en-US" w:eastAsia="zh-CN"/>
              </w:rPr>
              <w:t>）处理后通过</w:t>
            </w:r>
            <w:r>
              <w:rPr>
                <w:rFonts w:hint="eastAsia" w:ascii="Times New Roman" w:hAnsi="Times New Roman" w:cs="Times New Roman"/>
                <w:b w:val="0"/>
                <w:bCs/>
                <w:caps w:val="0"/>
                <w:color w:val="auto"/>
                <w:sz w:val="24"/>
                <w:szCs w:val="24"/>
                <w:highlight w:val="none"/>
                <w:lang w:val="en-US" w:eastAsia="zh-CN"/>
              </w:rPr>
              <w:t>不低于15</w:t>
            </w:r>
            <w:r>
              <w:rPr>
                <w:rFonts w:hint="eastAsia" w:ascii="Times New Roman" w:hAnsi="Times New Roman" w:eastAsia="宋体" w:cs="Times New Roman"/>
                <w:b w:val="0"/>
                <w:bCs/>
                <w:caps w:val="0"/>
                <w:color w:val="auto"/>
                <w:sz w:val="24"/>
                <w:szCs w:val="24"/>
                <w:highlight w:val="none"/>
                <w:lang w:val="en-US" w:eastAsia="zh-CN"/>
              </w:rPr>
              <w:t>m高排气筒（DA00</w:t>
            </w:r>
            <w:r>
              <w:rPr>
                <w:rFonts w:hint="eastAsia" w:ascii="Times New Roman" w:hAnsi="Times New Roman" w:cs="Times New Roman"/>
                <w:b w:val="0"/>
                <w:bCs/>
                <w:caps w:val="0"/>
                <w:color w:val="auto"/>
                <w:sz w:val="24"/>
                <w:szCs w:val="24"/>
                <w:highlight w:val="none"/>
                <w:lang w:val="en-US" w:eastAsia="zh-CN"/>
              </w:rPr>
              <w:t>1</w:t>
            </w:r>
            <w:r>
              <w:rPr>
                <w:rFonts w:hint="eastAsia" w:ascii="Times New Roman" w:hAnsi="Times New Roman" w:eastAsia="宋体" w:cs="Times New Roman"/>
                <w:b w:val="0"/>
                <w:bCs/>
                <w:caps w:val="0"/>
                <w:color w:val="auto"/>
                <w:sz w:val="24"/>
                <w:szCs w:val="24"/>
                <w:highlight w:val="none"/>
                <w:lang w:val="en-US" w:eastAsia="zh-CN"/>
              </w:rPr>
              <w:t>）排放。</w:t>
            </w:r>
            <w:r>
              <w:rPr>
                <w:rFonts w:hint="eastAsia" w:ascii="Times New Roman" w:hAnsi="Times New Roman" w:eastAsia="宋体" w:cs="Times New Roman"/>
                <w:smallCaps w:val="0"/>
                <w:color w:val="auto"/>
                <w:kern w:val="2"/>
                <w:sz w:val="24"/>
                <w:szCs w:val="24"/>
                <w:highlight w:val="none"/>
                <w:lang w:val="en-US" w:eastAsia="zh-CN" w:bidi="ar-SA"/>
              </w:rPr>
              <w:t>非</w:t>
            </w:r>
            <w:r>
              <w:rPr>
                <w:rFonts w:hint="eastAsia" w:ascii="Times New Roman" w:hAnsi="Times New Roman" w:eastAsia="宋体" w:cs="Times New Roman"/>
                <w:b w:val="0"/>
                <w:bCs/>
                <w:caps w:val="0"/>
                <w:color w:val="auto"/>
                <w:sz w:val="24"/>
                <w:szCs w:val="24"/>
                <w:highlight w:val="none"/>
                <w:lang w:val="en-US" w:eastAsia="zh-CN"/>
              </w:rPr>
              <w:t>甲烷总烃有组织排放浓度为</w:t>
            </w:r>
            <w:r>
              <w:rPr>
                <w:rFonts w:hint="eastAsia" w:ascii="Times New Roman" w:hAnsi="Times New Roman" w:cs="Times New Roman"/>
                <w:b w:val="0"/>
                <w:bCs/>
                <w:caps w:val="0"/>
                <w:color w:val="auto"/>
                <w:sz w:val="24"/>
                <w:szCs w:val="24"/>
                <w:highlight w:val="none"/>
                <w:lang w:val="en-US" w:eastAsia="zh-CN"/>
              </w:rPr>
              <w:t>19.2</w:t>
            </w:r>
            <w:r>
              <w:rPr>
                <w:rFonts w:hint="default" w:ascii="Times New Roman" w:hAnsi="Times New Roman" w:cs="Times New Roman"/>
                <w:color w:val="auto"/>
                <w:sz w:val="24"/>
                <w:szCs w:val="24"/>
                <w:highlight w:val="none"/>
              </w:rPr>
              <w:t>mg/m</w:t>
            </w:r>
            <w:r>
              <w:rPr>
                <w:rFonts w:hint="default" w:ascii="Times New Roman" w:hAnsi="Times New Roman" w:cs="Times New Roman"/>
                <w:color w:val="auto"/>
                <w:sz w:val="24"/>
                <w:szCs w:val="24"/>
                <w:highlight w:val="none"/>
                <w:vertAlign w:val="superscript"/>
              </w:rPr>
              <w:t>3</w:t>
            </w:r>
            <w:r>
              <w:rPr>
                <w:rFonts w:hint="eastAsia" w:ascii="Times New Roman" w:hAnsi="Times New Roman" w:eastAsia="宋体" w:cs="Times New Roman"/>
                <w:i w:val="0"/>
                <w:iCs w:val="0"/>
                <w:color w:val="auto"/>
                <w:sz w:val="24"/>
                <w:highlight w:val="none"/>
                <w:u w:val="none"/>
                <w:lang w:val="en-US" w:eastAsia="zh-CN"/>
              </w:rPr>
              <w:t>、速率为0.</w:t>
            </w:r>
            <w:r>
              <w:rPr>
                <w:rFonts w:hint="eastAsia" w:ascii="Times New Roman" w:hAnsi="Times New Roman" w:cs="Times New Roman"/>
                <w:i w:val="0"/>
                <w:iCs w:val="0"/>
                <w:color w:val="auto"/>
                <w:sz w:val="24"/>
                <w:highlight w:val="none"/>
                <w:u w:val="none"/>
                <w:lang w:val="en-US" w:eastAsia="zh-CN"/>
              </w:rPr>
              <w:t>3474</w:t>
            </w:r>
            <w:r>
              <w:rPr>
                <w:rFonts w:hint="eastAsia" w:ascii="Times New Roman" w:hAnsi="Times New Roman" w:eastAsia="宋体" w:cs="Times New Roman"/>
                <w:i w:val="0"/>
                <w:iCs w:val="0"/>
                <w:color w:val="auto"/>
                <w:sz w:val="24"/>
                <w:highlight w:val="none"/>
                <w:u w:val="none"/>
                <w:lang w:val="en-US" w:eastAsia="zh-CN"/>
              </w:rPr>
              <w:t>kg/h，排放浓度和速率</w:t>
            </w:r>
            <w:r>
              <w:rPr>
                <w:rFonts w:hint="eastAsia" w:ascii="Times New Roman" w:hAnsi="Times New Roman" w:eastAsia="宋体" w:cs="Times New Roman"/>
                <w:b w:val="0"/>
                <w:bCs/>
                <w:caps w:val="0"/>
                <w:color w:val="auto"/>
                <w:sz w:val="24"/>
                <w:szCs w:val="24"/>
                <w:highlight w:val="none"/>
                <w:lang w:val="en-US" w:eastAsia="zh-CN"/>
              </w:rPr>
              <w:t>满足</w:t>
            </w:r>
            <w:r>
              <w:rPr>
                <w:rFonts w:hint="eastAsia" w:ascii="Times New Roman" w:hAnsi="Times New Roman" w:eastAsia="宋体" w:cs="Times New Roman"/>
                <w:color w:val="auto"/>
                <w:kern w:val="2"/>
                <w:sz w:val="24"/>
                <w:szCs w:val="24"/>
                <w:highlight w:val="none"/>
                <w:lang w:val="en-US" w:eastAsia="zh-CN" w:bidi="ar-SA"/>
              </w:rPr>
              <w:t>《合成树脂工业污染物排放标准》（GB31572-2015）中表5大气污染物特别排放限值</w:t>
            </w:r>
            <w:r>
              <w:rPr>
                <w:rFonts w:hint="default" w:ascii="Times New Roman" w:hAnsi="Times New Roman" w:eastAsia="宋体" w:cs="Times New Roman"/>
                <w:color w:val="auto"/>
                <w:kern w:val="2"/>
                <w:sz w:val="24"/>
                <w:szCs w:val="24"/>
                <w:highlight w:val="none"/>
                <w:lang w:val="en-US" w:eastAsia="zh-CN" w:bidi="ar-SA"/>
              </w:rPr>
              <w:t>要求</w:t>
            </w:r>
            <w:r>
              <w:rPr>
                <w:rFonts w:hint="eastAsia" w:ascii="Times New Roman" w:hAnsi="Times New Roman" w:eastAsia="宋体" w:cs="Times New Roman"/>
                <w:color w:val="auto"/>
                <w:kern w:val="2"/>
                <w:sz w:val="24"/>
                <w:szCs w:val="24"/>
                <w:highlight w:val="none"/>
                <w:lang w:val="en-US" w:eastAsia="zh-CN" w:bidi="ar-SA"/>
              </w:rPr>
              <w:t>。</w:t>
            </w:r>
          </w:p>
          <w:p>
            <w:pPr>
              <w:pStyle w:val="12"/>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cs="Times New Roman"/>
                <w:b w:val="0"/>
                <w:bCs/>
                <w:caps w:val="0"/>
                <w:color w:val="auto"/>
                <w:sz w:val="24"/>
                <w:szCs w:val="24"/>
                <w:highlight w:val="none"/>
                <w:lang w:val="en-US" w:eastAsia="zh-CN"/>
              </w:rPr>
            </w:pPr>
            <w:r>
              <w:rPr>
                <w:rFonts w:hint="eastAsia" w:ascii="Times New Roman" w:hAnsi="Times New Roman" w:cs="Times New Roman"/>
                <w:b w:val="0"/>
                <w:bCs/>
                <w:caps w:val="0"/>
                <w:color w:val="auto"/>
                <w:kern w:val="2"/>
                <w:sz w:val="24"/>
                <w:szCs w:val="20"/>
                <w:highlight w:val="none"/>
                <w:lang w:val="en-US" w:eastAsia="zh-CN" w:bidi="ar-SA"/>
              </w:rPr>
              <w:t>破碎工序</w:t>
            </w:r>
            <w:r>
              <w:rPr>
                <w:rFonts w:hint="eastAsia" w:ascii="Times New Roman" w:hAnsi="Times New Roman" w:eastAsia="宋体" w:cs="Times New Roman"/>
                <w:b w:val="0"/>
                <w:bCs/>
                <w:caps w:val="0"/>
                <w:color w:val="auto"/>
                <w:kern w:val="2"/>
                <w:sz w:val="24"/>
                <w:szCs w:val="20"/>
                <w:highlight w:val="none"/>
                <w:lang w:val="en-US" w:eastAsia="zh-CN" w:bidi="ar-SA"/>
              </w:rPr>
              <w:t>颗粒物经布袋除尘器</w:t>
            </w:r>
            <w:r>
              <w:rPr>
                <w:rFonts w:hint="eastAsia" w:ascii="Times New Roman" w:hAnsi="Times New Roman" w:eastAsia="宋体"/>
                <w:color w:val="auto"/>
                <w:sz w:val="24"/>
                <w:highlight w:val="none"/>
                <w:lang w:val="en-US" w:bidi="zh-CN"/>
              </w:rPr>
              <w:t>（TA00</w:t>
            </w:r>
            <w:r>
              <w:rPr>
                <w:rFonts w:hint="eastAsia" w:ascii="Times New Roman" w:hAnsi="Times New Roman"/>
                <w:color w:val="auto"/>
                <w:sz w:val="24"/>
                <w:highlight w:val="none"/>
                <w:lang w:val="en-US" w:bidi="zh-CN"/>
              </w:rPr>
              <w:t>2</w:t>
            </w:r>
            <w:r>
              <w:rPr>
                <w:rFonts w:hint="eastAsia" w:ascii="Times New Roman" w:hAnsi="Times New Roman" w:eastAsia="宋体"/>
                <w:color w:val="auto"/>
                <w:sz w:val="24"/>
                <w:highlight w:val="none"/>
                <w:lang w:val="en-US" w:bidi="zh-CN"/>
              </w:rPr>
              <w:t>）净化后</w:t>
            </w:r>
            <w:r>
              <w:rPr>
                <w:rFonts w:hint="eastAsia" w:ascii="Times New Roman" w:hAnsi="Times New Roman" w:eastAsia="宋体" w:cs="Times New Roman"/>
                <w:b w:val="0"/>
                <w:bCs/>
                <w:caps w:val="0"/>
                <w:color w:val="auto"/>
                <w:sz w:val="24"/>
                <w:szCs w:val="24"/>
                <w:highlight w:val="none"/>
                <w:lang w:val="en-US" w:eastAsia="zh-CN"/>
              </w:rPr>
              <w:t>通过</w:t>
            </w:r>
            <w:r>
              <w:rPr>
                <w:rFonts w:hint="eastAsia" w:ascii="Times New Roman" w:hAnsi="Times New Roman" w:cs="Times New Roman"/>
                <w:b w:val="0"/>
                <w:bCs/>
                <w:caps w:val="0"/>
                <w:color w:val="auto"/>
                <w:sz w:val="24"/>
                <w:szCs w:val="24"/>
                <w:highlight w:val="none"/>
                <w:lang w:val="en-US" w:eastAsia="zh-CN"/>
              </w:rPr>
              <w:t>不低于15</w:t>
            </w:r>
            <w:r>
              <w:rPr>
                <w:rFonts w:hint="eastAsia" w:ascii="Times New Roman" w:hAnsi="Times New Roman" w:eastAsia="宋体" w:cs="Times New Roman"/>
                <w:b w:val="0"/>
                <w:bCs/>
                <w:caps w:val="0"/>
                <w:color w:val="auto"/>
                <w:sz w:val="24"/>
                <w:szCs w:val="24"/>
                <w:highlight w:val="none"/>
                <w:lang w:val="en-US" w:eastAsia="zh-CN"/>
              </w:rPr>
              <w:t>m高排气筒（DA00</w:t>
            </w:r>
            <w:r>
              <w:rPr>
                <w:rFonts w:hint="eastAsia" w:ascii="Times New Roman" w:hAnsi="Times New Roman" w:cs="Times New Roman"/>
                <w:b w:val="0"/>
                <w:bCs/>
                <w:caps w:val="0"/>
                <w:color w:val="auto"/>
                <w:sz w:val="24"/>
                <w:szCs w:val="24"/>
                <w:highlight w:val="none"/>
                <w:lang w:val="en-US" w:eastAsia="zh-CN"/>
              </w:rPr>
              <w:t>2</w:t>
            </w:r>
            <w:r>
              <w:rPr>
                <w:rFonts w:hint="eastAsia" w:ascii="Times New Roman" w:hAnsi="Times New Roman" w:eastAsia="宋体" w:cs="Times New Roman"/>
                <w:b w:val="0"/>
                <w:bCs/>
                <w:caps w:val="0"/>
                <w:color w:val="auto"/>
                <w:sz w:val="24"/>
                <w:szCs w:val="24"/>
                <w:highlight w:val="none"/>
                <w:lang w:val="en-US" w:eastAsia="zh-CN"/>
              </w:rPr>
              <w:t>）排放。</w:t>
            </w:r>
            <w:r>
              <w:rPr>
                <w:rFonts w:hint="eastAsia" w:ascii="Times New Roman" w:hAnsi="Times New Roman" w:eastAsia="宋体" w:cs="Times New Roman"/>
                <w:smallCaps w:val="0"/>
                <w:color w:val="auto"/>
                <w:kern w:val="2"/>
                <w:sz w:val="24"/>
                <w:szCs w:val="24"/>
                <w:highlight w:val="none"/>
                <w:lang w:val="en-US" w:eastAsia="zh-CN" w:bidi="ar-SA"/>
              </w:rPr>
              <w:t>颗粒物</w:t>
            </w:r>
            <w:r>
              <w:rPr>
                <w:rFonts w:hint="eastAsia" w:ascii="Times New Roman" w:hAnsi="Times New Roman" w:eastAsia="宋体" w:cs="Times New Roman"/>
                <w:b w:val="0"/>
                <w:bCs/>
                <w:caps w:val="0"/>
                <w:color w:val="auto"/>
                <w:sz w:val="24"/>
                <w:szCs w:val="24"/>
                <w:highlight w:val="none"/>
                <w:lang w:val="en-US" w:eastAsia="zh-CN"/>
              </w:rPr>
              <w:t>排放浓度为</w:t>
            </w:r>
            <w:r>
              <w:rPr>
                <w:rFonts w:hint="eastAsia" w:ascii="Times New Roman" w:hAnsi="Times New Roman" w:cs="Times New Roman"/>
                <w:b w:val="0"/>
                <w:bCs/>
                <w:caps w:val="0"/>
                <w:color w:val="auto"/>
                <w:sz w:val="24"/>
                <w:szCs w:val="24"/>
                <w:highlight w:val="none"/>
                <w:lang w:val="en-US" w:eastAsia="zh-CN"/>
              </w:rPr>
              <w:t>7.5</w:t>
            </w:r>
            <w:r>
              <w:rPr>
                <w:rFonts w:hint="default" w:ascii="Times New Roman" w:hAnsi="Times New Roman" w:cs="Times New Roman"/>
                <w:color w:val="auto"/>
                <w:sz w:val="24"/>
                <w:szCs w:val="24"/>
                <w:highlight w:val="none"/>
              </w:rPr>
              <w:t>mg/m</w:t>
            </w:r>
            <w:r>
              <w:rPr>
                <w:rFonts w:hint="default" w:ascii="Times New Roman" w:hAnsi="Times New Roman" w:cs="Times New Roman"/>
                <w:color w:val="auto"/>
                <w:sz w:val="24"/>
                <w:szCs w:val="24"/>
                <w:highlight w:val="none"/>
                <w:vertAlign w:val="superscript"/>
              </w:rPr>
              <w:t>3</w:t>
            </w:r>
            <w:r>
              <w:rPr>
                <w:rFonts w:hint="eastAsia" w:ascii="Times New Roman" w:hAnsi="Times New Roman" w:eastAsia="宋体" w:cs="Times New Roman"/>
                <w:i w:val="0"/>
                <w:iCs w:val="0"/>
                <w:color w:val="auto"/>
                <w:sz w:val="24"/>
                <w:highlight w:val="none"/>
                <w:u w:val="none"/>
                <w:lang w:val="en-US" w:eastAsia="zh-CN"/>
              </w:rPr>
              <w:t>、速率为0.00</w:t>
            </w:r>
            <w:r>
              <w:rPr>
                <w:rFonts w:hint="eastAsia" w:ascii="Times New Roman" w:hAnsi="Times New Roman" w:cs="Times New Roman"/>
                <w:i w:val="0"/>
                <w:iCs w:val="0"/>
                <w:color w:val="auto"/>
                <w:sz w:val="24"/>
                <w:highlight w:val="none"/>
                <w:u w:val="none"/>
                <w:lang w:val="en-US" w:eastAsia="zh-CN"/>
              </w:rPr>
              <w:t>55</w:t>
            </w:r>
            <w:r>
              <w:rPr>
                <w:rFonts w:hint="eastAsia" w:ascii="Times New Roman" w:hAnsi="Times New Roman" w:eastAsia="宋体" w:cs="Times New Roman"/>
                <w:i w:val="0"/>
                <w:iCs w:val="0"/>
                <w:color w:val="auto"/>
                <w:sz w:val="24"/>
                <w:highlight w:val="none"/>
                <w:u w:val="none"/>
                <w:lang w:val="en-US" w:eastAsia="zh-CN"/>
              </w:rPr>
              <w:t>kg/h，排放浓度和速率</w:t>
            </w:r>
            <w:r>
              <w:rPr>
                <w:rFonts w:hint="default" w:ascii="Times New Roman" w:hAnsi="Times New Roman" w:eastAsia="宋体" w:cs="Times New Roman"/>
                <w:b w:val="0"/>
                <w:bCs/>
                <w:caps w:val="0"/>
                <w:color w:val="auto"/>
                <w:sz w:val="24"/>
                <w:szCs w:val="24"/>
                <w:highlight w:val="none"/>
                <w:lang w:val="en-US" w:eastAsia="zh-CN"/>
              </w:rPr>
              <w:t>满足《大气污染物综合排放标准》（GB16297-1996）中新污染源二级排放标准限值要求</w:t>
            </w:r>
            <w:r>
              <w:rPr>
                <w:rFonts w:hint="eastAsia" w:ascii="Times New Roman" w:hAnsi="Times New Roman" w:cs="Times New Roman"/>
                <w:b w:val="0"/>
                <w:bCs/>
                <w:caps w:val="0"/>
                <w:color w:val="auto"/>
                <w:sz w:val="24"/>
                <w:szCs w:val="24"/>
                <w:highlight w:val="none"/>
                <w:lang w:val="en-US" w:eastAsia="zh-CN"/>
              </w:rPr>
              <w:t>。</w:t>
            </w:r>
          </w:p>
          <w:p>
            <w:pPr>
              <w:pStyle w:val="12"/>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auto"/>
                <w:szCs w:val="20"/>
                <w:highlight w:val="none"/>
              </w:rPr>
            </w:pPr>
            <w:r>
              <w:rPr>
                <w:rFonts w:hint="eastAsia" w:ascii="Times New Roman" w:hAnsi="Times New Roman" w:eastAsia="宋体" w:cs="Times New Roman"/>
                <w:b w:val="0"/>
                <w:bCs/>
                <w:caps w:val="0"/>
                <w:color w:val="auto"/>
                <w:sz w:val="24"/>
                <w:szCs w:val="24"/>
                <w:highlight w:val="none"/>
                <w:lang w:val="en-US" w:eastAsia="zh-CN"/>
              </w:rPr>
              <w:t>无组织排放的非甲烷总烃厂界内最高浓度值满足《挥发性有机物无组织排放控制标准》（GB37822-2019）特别排放限值要求；厂界处无组织排放的非甲烷总烃</w:t>
            </w:r>
            <w:r>
              <w:rPr>
                <w:rFonts w:hint="eastAsia" w:ascii="Times New Roman" w:hAnsi="Times New Roman" w:cs="Times New Roman"/>
                <w:b w:val="0"/>
                <w:bCs/>
                <w:caps w:val="0"/>
                <w:color w:val="auto"/>
                <w:sz w:val="24"/>
                <w:szCs w:val="24"/>
                <w:highlight w:val="none"/>
                <w:lang w:val="en-US" w:eastAsia="zh-CN"/>
              </w:rPr>
              <w:t>、颗粒物</w:t>
            </w:r>
            <w:r>
              <w:rPr>
                <w:rFonts w:hint="eastAsia" w:ascii="Times New Roman" w:hAnsi="Times New Roman" w:eastAsia="宋体" w:cs="Times New Roman"/>
                <w:b w:val="0"/>
                <w:bCs/>
                <w:caps w:val="0"/>
                <w:color w:val="auto"/>
                <w:sz w:val="24"/>
                <w:szCs w:val="24"/>
                <w:highlight w:val="none"/>
                <w:lang w:val="en-US" w:eastAsia="zh-CN"/>
              </w:rPr>
              <w:t>最高浓度值满足</w:t>
            </w:r>
            <w:r>
              <w:rPr>
                <w:rFonts w:hint="default" w:ascii="Times New Roman" w:hAnsi="Times New Roman" w:eastAsia="宋体" w:cs="Times New Roman"/>
                <w:color w:val="auto"/>
                <w:sz w:val="24"/>
                <w:szCs w:val="24"/>
                <w:highlight w:val="none"/>
              </w:rPr>
              <w:t>《合成树脂工业污染物排放标准》</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GB31572-2015</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cs="Times New Roman"/>
                <w:i w:val="0"/>
                <w:iCs w:val="0"/>
                <w:color w:val="auto"/>
                <w:sz w:val="24"/>
                <w:highlight w:val="none"/>
                <w:u w:val="none"/>
                <w:shd w:val="clear" w:color="auto" w:fill="auto"/>
                <w:lang w:val="en-US" w:eastAsia="zh-CN"/>
              </w:rPr>
              <w:t>中企业边界大气污染物浓度限值</w:t>
            </w:r>
            <w:r>
              <w:rPr>
                <w:rFonts w:hint="eastAsia" w:ascii="Times New Roman" w:hAnsi="Times New Roman" w:cs="Times New Roman"/>
                <w:color w:val="auto"/>
                <w:sz w:val="24"/>
                <w:szCs w:val="24"/>
                <w:highlight w:val="none"/>
                <w:lang w:val="zh-CN" w:eastAsia="zh-CN"/>
              </w:rPr>
              <w:t>。</w:t>
            </w:r>
          </w:p>
          <w:p>
            <w:pPr>
              <w:pStyle w:val="12"/>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caps w:val="0"/>
                <w:color w:val="auto"/>
                <w:kern w:val="2"/>
                <w:sz w:val="24"/>
                <w:szCs w:val="20"/>
                <w:highlight w:val="none"/>
                <w:lang w:val="en-US" w:eastAsia="zh-CN" w:bidi="ar-SA"/>
              </w:rPr>
            </w:pPr>
            <w:r>
              <w:rPr>
                <w:rFonts w:hint="eastAsia" w:ascii="Times New Roman" w:hAnsi="Times New Roman" w:eastAsia="宋体" w:cs="Times New Roman"/>
                <w:b w:val="0"/>
                <w:bCs/>
                <w:caps w:val="0"/>
                <w:color w:val="auto"/>
                <w:sz w:val="24"/>
                <w:szCs w:val="24"/>
                <w:highlight w:val="none"/>
                <w:lang w:val="en-US" w:eastAsia="zh-CN"/>
              </w:rPr>
              <w:t>综上废气</w:t>
            </w:r>
            <w:r>
              <w:rPr>
                <w:rFonts w:hint="eastAsia" w:ascii="Times New Roman" w:hAnsi="Times New Roman" w:eastAsia="宋体" w:cs="Times New Roman"/>
                <w:b w:val="0"/>
                <w:bCs/>
                <w:caps w:val="0"/>
                <w:color w:val="auto"/>
                <w:kern w:val="2"/>
                <w:sz w:val="24"/>
                <w:szCs w:val="20"/>
                <w:highlight w:val="none"/>
                <w:lang w:val="en-US" w:eastAsia="zh-CN" w:bidi="ar-SA"/>
              </w:rPr>
              <w:t>对周围大气环境影响较小，在可接受范围之内。</w:t>
            </w:r>
          </w:p>
          <w:p>
            <w:pPr>
              <w:pStyle w:val="16"/>
              <w:ind w:firstLine="480"/>
              <w:rPr>
                <w:color w:val="auto"/>
                <w:highlight w:val="none"/>
              </w:rPr>
            </w:pPr>
            <w:r>
              <w:rPr>
                <w:color w:val="auto"/>
                <w:highlight w:val="none"/>
              </w:rPr>
              <w:t>本项目位于大气环境达标区，</w:t>
            </w:r>
            <w:r>
              <w:rPr>
                <w:color w:val="auto"/>
                <w:highlight w:val="none"/>
                <w:lang w:val="zh-CN"/>
              </w:rPr>
              <w:t>距离本项目最近敏感点为位于项目厂房东北侧480m处的前朝阳沟村居民</w:t>
            </w:r>
            <w:r>
              <w:rPr>
                <w:color w:val="auto"/>
                <w:highlight w:val="none"/>
              </w:rPr>
              <w:t>，距离较远，且位于本项目侧风向，本项目废气经处理后达标排放，对所在区域的大气环境影响不大，不会降低现有大气环境质量功能，不会对敏感目标产生明显影响。</w:t>
            </w:r>
          </w:p>
          <w:p>
            <w:pPr>
              <w:widowControl/>
              <w:spacing w:line="360" w:lineRule="auto"/>
              <w:ind w:firstLine="482" w:firstLineChars="200"/>
              <w:rPr>
                <w:b/>
                <w:bCs/>
                <w:color w:val="auto"/>
                <w:sz w:val="24"/>
                <w:highlight w:val="none"/>
              </w:rPr>
            </w:pPr>
            <w:r>
              <w:rPr>
                <w:b/>
                <w:bCs/>
                <w:color w:val="auto"/>
                <w:sz w:val="24"/>
                <w:highlight w:val="none"/>
              </w:rPr>
              <w:t>1.4排污口设置及监测要求</w:t>
            </w:r>
          </w:p>
          <w:p>
            <w:pPr>
              <w:widowControl/>
              <w:spacing w:line="360" w:lineRule="auto"/>
              <w:ind w:firstLine="480" w:firstLineChars="200"/>
              <w:rPr>
                <w:b w:val="0"/>
                <w:bCs w:val="0"/>
                <w:color w:val="auto"/>
                <w:sz w:val="24"/>
                <w:highlight w:val="none"/>
              </w:rPr>
            </w:pPr>
            <w:r>
              <w:rPr>
                <w:rFonts w:hint="eastAsia"/>
                <w:b w:val="0"/>
                <w:bCs w:val="0"/>
                <w:color w:val="auto"/>
                <w:sz w:val="24"/>
                <w:highlight w:val="none"/>
                <w:lang w:eastAsia="zh-CN"/>
              </w:rPr>
              <w:t>（</w:t>
            </w:r>
            <w:r>
              <w:rPr>
                <w:rFonts w:hint="eastAsia"/>
                <w:b w:val="0"/>
                <w:bCs w:val="0"/>
                <w:color w:val="auto"/>
                <w:sz w:val="24"/>
                <w:highlight w:val="none"/>
                <w:lang w:val="en-US" w:eastAsia="zh-CN"/>
              </w:rPr>
              <w:t>1</w:t>
            </w:r>
            <w:r>
              <w:rPr>
                <w:rFonts w:hint="eastAsia"/>
                <w:b w:val="0"/>
                <w:bCs w:val="0"/>
                <w:color w:val="auto"/>
                <w:sz w:val="24"/>
                <w:highlight w:val="none"/>
                <w:lang w:eastAsia="zh-CN"/>
              </w:rPr>
              <w:t>）</w:t>
            </w:r>
            <w:r>
              <w:rPr>
                <w:b w:val="0"/>
                <w:bCs w:val="0"/>
                <w:color w:val="auto"/>
                <w:sz w:val="24"/>
                <w:highlight w:val="none"/>
              </w:rPr>
              <w:t>排污口情况</w:t>
            </w:r>
          </w:p>
          <w:p>
            <w:pPr>
              <w:spacing w:line="360" w:lineRule="auto"/>
              <w:ind w:firstLine="480" w:firstLineChars="200"/>
              <w:rPr>
                <w:color w:val="auto"/>
                <w:sz w:val="24"/>
                <w:highlight w:val="none"/>
              </w:rPr>
            </w:pPr>
            <w:r>
              <w:rPr>
                <w:color w:val="auto"/>
                <w:sz w:val="24"/>
                <w:highlight w:val="none"/>
              </w:rPr>
              <w:t>本项目排放口设置情况详见下表。</w:t>
            </w:r>
          </w:p>
          <w:p>
            <w:pPr>
              <w:widowControl/>
              <w:jc w:val="center"/>
              <w:rPr>
                <w:color w:val="auto"/>
                <w:highlight w:val="none"/>
              </w:rPr>
            </w:pPr>
            <w:r>
              <w:rPr>
                <w:b/>
                <w:color w:val="auto"/>
                <w:kern w:val="0"/>
                <w:sz w:val="24"/>
                <w:highlight w:val="none"/>
              </w:rPr>
              <w:t>表4-</w:t>
            </w:r>
            <w:r>
              <w:rPr>
                <w:rFonts w:hint="eastAsia"/>
                <w:b/>
                <w:color w:val="auto"/>
                <w:kern w:val="0"/>
                <w:sz w:val="24"/>
                <w:highlight w:val="none"/>
                <w:lang w:val="en-US" w:eastAsia="zh-CN"/>
              </w:rPr>
              <w:t>2</w:t>
            </w:r>
            <w:r>
              <w:rPr>
                <w:b/>
                <w:bCs/>
                <w:color w:val="auto"/>
                <w:sz w:val="24"/>
                <w:highlight w:val="none"/>
              </w:rPr>
              <w:t xml:space="preserve">  </w:t>
            </w:r>
            <w:r>
              <w:rPr>
                <w:b/>
                <w:color w:val="auto"/>
                <w:kern w:val="0"/>
                <w:sz w:val="24"/>
                <w:highlight w:val="none"/>
              </w:rPr>
              <w:t>废气排放口基本情况一览表</w:t>
            </w:r>
          </w:p>
          <w:tbl>
            <w:tblPr>
              <w:tblStyle w:val="30"/>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109"/>
              <w:gridCol w:w="1087"/>
              <w:gridCol w:w="1087"/>
              <w:gridCol w:w="913"/>
              <w:gridCol w:w="950"/>
              <w:gridCol w:w="1225"/>
              <w:gridCol w:w="11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492" w:type="pct"/>
                  <w:vMerge w:val="restart"/>
                  <w:vAlign w:val="center"/>
                </w:tcPr>
                <w:p>
                  <w:pPr>
                    <w:jc w:val="center"/>
                    <w:rPr>
                      <w:color w:val="auto"/>
                      <w:highlight w:val="none"/>
                    </w:rPr>
                  </w:pPr>
                  <w:r>
                    <w:rPr>
                      <w:color w:val="auto"/>
                      <w:highlight w:val="none"/>
                    </w:rPr>
                    <w:t>编号</w:t>
                  </w:r>
                </w:p>
              </w:tc>
              <w:tc>
                <w:tcPr>
                  <w:tcW w:w="661" w:type="pct"/>
                  <w:vMerge w:val="restart"/>
                  <w:vAlign w:val="center"/>
                </w:tcPr>
                <w:p>
                  <w:pPr>
                    <w:jc w:val="center"/>
                    <w:rPr>
                      <w:color w:val="auto"/>
                      <w:highlight w:val="none"/>
                    </w:rPr>
                  </w:pPr>
                  <w:r>
                    <w:rPr>
                      <w:color w:val="auto"/>
                      <w:highlight w:val="none"/>
                    </w:rPr>
                    <w:t>名称</w:t>
                  </w:r>
                </w:p>
              </w:tc>
              <w:tc>
                <w:tcPr>
                  <w:tcW w:w="648" w:type="pct"/>
                  <w:vMerge w:val="restart"/>
                  <w:vAlign w:val="center"/>
                </w:tcPr>
                <w:p>
                  <w:pPr>
                    <w:jc w:val="center"/>
                    <w:rPr>
                      <w:color w:val="auto"/>
                      <w:highlight w:val="none"/>
                    </w:rPr>
                  </w:pPr>
                  <w:r>
                    <w:rPr>
                      <w:color w:val="auto"/>
                      <w:highlight w:val="none"/>
                    </w:rPr>
                    <w:t>排气筒高度（m）</w:t>
                  </w:r>
                </w:p>
              </w:tc>
              <w:tc>
                <w:tcPr>
                  <w:tcW w:w="648" w:type="pct"/>
                  <w:vMerge w:val="restart"/>
                  <w:vAlign w:val="center"/>
                </w:tcPr>
                <w:p>
                  <w:pPr>
                    <w:jc w:val="center"/>
                    <w:rPr>
                      <w:color w:val="auto"/>
                      <w:highlight w:val="none"/>
                    </w:rPr>
                  </w:pPr>
                  <w:r>
                    <w:rPr>
                      <w:color w:val="auto"/>
                      <w:highlight w:val="none"/>
                    </w:rPr>
                    <w:t>排气筒内径（m）</w:t>
                  </w:r>
                </w:p>
              </w:tc>
              <w:tc>
                <w:tcPr>
                  <w:tcW w:w="544" w:type="pct"/>
                  <w:vMerge w:val="restart"/>
                  <w:vAlign w:val="center"/>
                </w:tcPr>
                <w:p>
                  <w:pPr>
                    <w:jc w:val="center"/>
                    <w:rPr>
                      <w:color w:val="auto"/>
                      <w:highlight w:val="none"/>
                    </w:rPr>
                  </w:pPr>
                  <w:r>
                    <w:rPr>
                      <w:color w:val="auto"/>
                      <w:highlight w:val="none"/>
                    </w:rPr>
                    <w:t>废气温度（℃）</w:t>
                  </w:r>
                </w:p>
              </w:tc>
              <w:tc>
                <w:tcPr>
                  <w:tcW w:w="566" w:type="pct"/>
                  <w:vMerge w:val="restart"/>
                  <w:vAlign w:val="center"/>
                </w:tcPr>
                <w:p>
                  <w:pPr>
                    <w:jc w:val="center"/>
                    <w:rPr>
                      <w:color w:val="auto"/>
                      <w:highlight w:val="none"/>
                    </w:rPr>
                  </w:pPr>
                  <w:r>
                    <w:rPr>
                      <w:color w:val="auto"/>
                      <w:highlight w:val="none"/>
                    </w:rPr>
                    <w:t>类型</w:t>
                  </w:r>
                </w:p>
              </w:tc>
              <w:tc>
                <w:tcPr>
                  <w:tcW w:w="1438" w:type="pct"/>
                  <w:gridSpan w:val="2"/>
                  <w:vAlign w:val="center"/>
                </w:tcPr>
                <w:p>
                  <w:pPr>
                    <w:jc w:val="center"/>
                    <w:rPr>
                      <w:color w:val="auto"/>
                      <w:highlight w:val="none"/>
                    </w:rPr>
                  </w:pPr>
                  <w:r>
                    <w:rPr>
                      <w:color w:val="auto"/>
                      <w:highlight w:val="none"/>
                    </w:rPr>
                    <w:t>坐标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92" w:type="pct"/>
                  <w:vMerge w:val="continue"/>
                  <w:vAlign w:val="center"/>
                </w:tcPr>
                <w:p>
                  <w:pPr>
                    <w:jc w:val="center"/>
                    <w:rPr>
                      <w:color w:val="auto"/>
                      <w:highlight w:val="none"/>
                    </w:rPr>
                  </w:pPr>
                </w:p>
              </w:tc>
              <w:tc>
                <w:tcPr>
                  <w:tcW w:w="661" w:type="pct"/>
                  <w:vMerge w:val="continue"/>
                  <w:vAlign w:val="center"/>
                </w:tcPr>
                <w:p>
                  <w:pPr>
                    <w:jc w:val="center"/>
                    <w:rPr>
                      <w:color w:val="auto"/>
                      <w:highlight w:val="none"/>
                    </w:rPr>
                  </w:pPr>
                </w:p>
              </w:tc>
              <w:tc>
                <w:tcPr>
                  <w:tcW w:w="648" w:type="pct"/>
                  <w:vMerge w:val="continue"/>
                  <w:vAlign w:val="center"/>
                </w:tcPr>
                <w:p>
                  <w:pPr>
                    <w:jc w:val="center"/>
                    <w:rPr>
                      <w:color w:val="auto"/>
                      <w:highlight w:val="none"/>
                    </w:rPr>
                  </w:pPr>
                </w:p>
              </w:tc>
              <w:tc>
                <w:tcPr>
                  <w:tcW w:w="648" w:type="pct"/>
                  <w:vMerge w:val="continue"/>
                  <w:vAlign w:val="center"/>
                </w:tcPr>
                <w:p>
                  <w:pPr>
                    <w:jc w:val="center"/>
                    <w:rPr>
                      <w:color w:val="auto"/>
                      <w:highlight w:val="none"/>
                    </w:rPr>
                  </w:pPr>
                </w:p>
              </w:tc>
              <w:tc>
                <w:tcPr>
                  <w:tcW w:w="544" w:type="pct"/>
                  <w:vMerge w:val="continue"/>
                  <w:vAlign w:val="center"/>
                </w:tcPr>
                <w:p>
                  <w:pPr>
                    <w:jc w:val="center"/>
                    <w:rPr>
                      <w:color w:val="auto"/>
                      <w:highlight w:val="none"/>
                    </w:rPr>
                  </w:pPr>
                </w:p>
              </w:tc>
              <w:tc>
                <w:tcPr>
                  <w:tcW w:w="566" w:type="pct"/>
                  <w:vMerge w:val="continue"/>
                  <w:vAlign w:val="center"/>
                </w:tcPr>
                <w:p>
                  <w:pPr>
                    <w:jc w:val="center"/>
                    <w:rPr>
                      <w:color w:val="auto"/>
                      <w:highlight w:val="none"/>
                    </w:rPr>
                  </w:pPr>
                </w:p>
              </w:tc>
              <w:tc>
                <w:tcPr>
                  <w:tcW w:w="730" w:type="pct"/>
                  <w:vAlign w:val="center"/>
                </w:tcPr>
                <w:p>
                  <w:pPr>
                    <w:jc w:val="center"/>
                    <w:rPr>
                      <w:color w:val="auto"/>
                      <w:highlight w:val="none"/>
                    </w:rPr>
                  </w:pPr>
                  <w:r>
                    <w:rPr>
                      <w:color w:val="auto"/>
                      <w:szCs w:val="21"/>
                      <w:highlight w:val="none"/>
                    </w:rPr>
                    <w:t>经度</w:t>
                  </w:r>
                </w:p>
              </w:tc>
              <w:tc>
                <w:tcPr>
                  <w:tcW w:w="707" w:type="pct"/>
                  <w:vAlign w:val="center"/>
                </w:tcPr>
                <w:p>
                  <w:pPr>
                    <w:jc w:val="center"/>
                    <w:rPr>
                      <w:color w:val="auto"/>
                      <w:highlight w:val="none"/>
                    </w:rPr>
                  </w:pPr>
                  <w:r>
                    <w:rPr>
                      <w:color w:val="auto"/>
                      <w:szCs w:val="21"/>
                      <w:highlight w:val="none"/>
                    </w:rPr>
                    <w:t>纬度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2" w:type="pct"/>
                  <w:vAlign w:val="center"/>
                </w:tcPr>
                <w:p>
                  <w:pPr>
                    <w:jc w:val="center"/>
                    <w:rPr>
                      <w:color w:val="auto"/>
                      <w:highlight w:val="none"/>
                    </w:rPr>
                  </w:pPr>
                  <w:r>
                    <w:rPr>
                      <w:color w:val="auto"/>
                      <w:highlight w:val="none"/>
                    </w:rPr>
                    <w:t>DA001</w:t>
                  </w:r>
                </w:p>
              </w:tc>
              <w:tc>
                <w:tcPr>
                  <w:tcW w:w="661" w:type="pct"/>
                  <w:vAlign w:val="center"/>
                </w:tcPr>
                <w:p>
                  <w:pPr>
                    <w:jc w:val="center"/>
                    <w:rPr>
                      <w:color w:val="auto"/>
                      <w:highlight w:val="none"/>
                    </w:rPr>
                  </w:pPr>
                  <w:r>
                    <w:rPr>
                      <w:color w:val="auto"/>
                      <w:highlight w:val="none"/>
                    </w:rPr>
                    <w:t>清洗、防锈、注塑工序废气</w:t>
                  </w:r>
                </w:p>
              </w:tc>
              <w:tc>
                <w:tcPr>
                  <w:tcW w:w="648" w:type="pct"/>
                  <w:vAlign w:val="center"/>
                </w:tcPr>
                <w:p>
                  <w:pPr>
                    <w:jc w:val="center"/>
                    <w:rPr>
                      <w:color w:val="auto"/>
                      <w:highlight w:val="none"/>
                    </w:rPr>
                  </w:pPr>
                  <w:r>
                    <w:rPr>
                      <w:color w:val="auto"/>
                      <w:highlight w:val="none"/>
                    </w:rPr>
                    <w:t>15</w:t>
                  </w:r>
                </w:p>
              </w:tc>
              <w:tc>
                <w:tcPr>
                  <w:tcW w:w="648" w:type="pct"/>
                  <w:vAlign w:val="center"/>
                </w:tcPr>
                <w:p>
                  <w:pPr>
                    <w:jc w:val="center"/>
                    <w:rPr>
                      <w:color w:val="auto"/>
                      <w:highlight w:val="none"/>
                    </w:rPr>
                  </w:pPr>
                  <w:r>
                    <w:rPr>
                      <w:color w:val="auto"/>
                      <w:highlight w:val="none"/>
                    </w:rPr>
                    <w:t>0.4</w:t>
                  </w:r>
                </w:p>
              </w:tc>
              <w:tc>
                <w:tcPr>
                  <w:tcW w:w="544" w:type="pct"/>
                  <w:vAlign w:val="center"/>
                </w:tcPr>
                <w:p>
                  <w:pPr>
                    <w:jc w:val="center"/>
                    <w:rPr>
                      <w:color w:val="auto"/>
                      <w:highlight w:val="none"/>
                    </w:rPr>
                  </w:pPr>
                  <w:r>
                    <w:rPr>
                      <w:color w:val="auto"/>
                      <w:highlight w:val="none"/>
                    </w:rPr>
                    <w:t>常温</w:t>
                  </w:r>
                </w:p>
              </w:tc>
              <w:tc>
                <w:tcPr>
                  <w:tcW w:w="566" w:type="pct"/>
                  <w:vAlign w:val="center"/>
                </w:tcPr>
                <w:p>
                  <w:pPr>
                    <w:jc w:val="center"/>
                    <w:rPr>
                      <w:color w:val="auto"/>
                      <w:highlight w:val="none"/>
                    </w:rPr>
                  </w:pPr>
                  <w:r>
                    <w:rPr>
                      <w:color w:val="auto"/>
                      <w:highlight w:val="none"/>
                    </w:rPr>
                    <w:t>一般排放口</w:t>
                  </w:r>
                </w:p>
              </w:tc>
              <w:tc>
                <w:tcPr>
                  <w:tcW w:w="730" w:type="pct"/>
                  <w:vAlign w:val="center"/>
                </w:tcPr>
                <w:p>
                  <w:pPr>
                    <w:jc w:val="center"/>
                    <w:rPr>
                      <w:color w:val="auto"/>
                      <w:highlight w:val="none"/>
                    </w:rPr>
                  </w:pPr>
                  <w:r>
                    <w:rPr>
                      <w:color w:val="auto"/>
                      <w:highlight w:val="none"/>
                    </w:rPr>
                    <w:t>125°26′38.854″</w:t>
                  </w:r>
                </w:p>
              </w:tc>
              <w:tc>
                <w:tcPr>
                  <w:tcW w:w="707" w:type="pct"/>
                  <w:vAlign w:val="center"/>
                </w:tcPr>
                <w:p>
                  <w:pPr>
                    <w:jc w:val="center"/>
                    <w:rPr>
                      <w:color w:val="auto"/>
                      <w:highlight w:val="none"/>
                    </w:rPr>
                  </w:pPr>
                  <w:r>
                    <w:rPr>
                      <w:color w:val="auto"/>
                      <w:highlight w:val="none"/>
                    </w:rPr>
                    <w:t>43°54′19.734″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2" w:type="pct"/>
                  <w:vAlign w:val="center"/>
                </w:tcPr>
                <w:p>
                  <w:pPr>
                    <w:jc w:val="center"/>
                    <w:rPr>
                      <w:rFonts w:hint="default" w:eastAsia="宋体"/>
                      <w:color w:val="auto"/>
                      <w:highlight w:val="none"/>
                      <w:lang w:val="en-US" w:eastAsia="zh-CN"/>
                    </w:rPr>
                  </w:pPr>
                  <w:r>
                    <w:rPr>
                      <w:rFonts w:hint="eastAsia"/>
                      <w:color w:val="auto"/>
                      <w:highlight w:val="none"/>
                      <w:lang w:val="en-US" w:eastAsia="zh-CN"/>
                    </w:rPr>
                    <w:t>DA002</w:t>
                  </w:r>
                </w:p>
              </w:tc>
              <w:tc>
                <w:tcPr>
                  <w:tcW w:w="661" w:type="pct"/>
                  <w:vAlign w:val="center"/>
                </w:tcPr>
                <w:p>
                  <w:pPr>
                    <w:jc w:val="both"/>
                    <w:rPr>
                      <w:rFonts w:hint="default" w:eastAsia="宋体"/>
                      <w:color w:val="auto"/>
                      <w:highlight w:val="none"/>
                      <w:lang w:val="en-US" w:eastAsia="zh-CN"/>
                    </w:rPr>
                  </w:pPr>
                  <w:r>
                    <w:rPr>
                      <w:rFonts w:hint="eastAsia"/>
                      <w:color w:val="auto"/>
                      <w:highlight w:val="none"/>
                      <w:lang w:val="en-US" w:eastAsia="zh-CN"/>
                    </w:rPr>
                    <w:t>破碎废气</w:t>
                  </w:r>
                </w:p>
              </w:tc>
              <w:tc>
                <w:tcPr>
                  <w:tcW w:w="648" w:type="pct"/>
                  <w:vAlign w:val="center"/>
                </w:tcPr>
                <w:p>
                  <w:pPr>
                    <w:jc w:val="center"/>
                    <w:rPr>
                      <w:rFonts w:ascii="Times New Roman" w:hAnsi="Times New Roman" w:eastAsia="宋体" w:cs="Times New Roman"/>
                      <w:color w:val="auto"/>
                      <w:kern w:val="2"/>
                      <w:sz w:val="21"/>
                      <w:szCs w:val="24"/>
                      <w:highlight w:val="none"/>
                      <w:lang w:val="en-US" w:eastAsia="zh-CN" w:bidi="ar-SA"/>
                    </w:rPr>
                  </w:pPr>
                  <w:r>
                    <w:rPr>
                      <w:color w:val="auto"/>
                      <w:highlight w:val="none"/>
                    </w:rPr>
                    <w:t>15</w:t>
                  </w:r>
                </w:p>
              </w:tc>
              <w:tc>
                <w:tcPr>
                  <w:tcW w:w="648" w:type="pct"/>
                  <w:vAlign w:val="center"/>
                </w:tcPr>
                <w:p>
                  <w:pPr>
                    <w:jc w:val="center"/>
                    <w:rPr>
                      <w:rFonts w:ascii="Times New Roman" w:hAnsi="Times New Roman" w:eastAsia="宋体" w:cs="Times New Roman"/>
                      <w:color w:val="auto"/>
                      <w:kern w:val="2"/>
                      <w:sz w:val="21"/>
                      <w:szCs w:val="24"/>
                      <w:highlight w:val="none"/>
                      <w:lang w:val="en-US" w:eastAsia="zh-CN" w:bidi="ar-SA"/>
                    </w:rPr>
                  </w:pPr>
                  <w:r>
                    <w:rPr>
                      <w:color w:val="auto"/>
                      <w:highlight w:val="none"/>
                    </w:rPr>
                    <w:t>0.4</w:t>
                  </w:r>
                </w:p>
              </w:tc>
              <w:tc>
                <w:tcPr>
                  <w:tcW w:w="544" w:type="pct"/>
                  <w:vAlign w:val="center"/>
                </w:tcPr>
                <w:p>
                  <w:pPr>
                    <w:jc w:val="center"/>
                    <w:rPr>
                      <w:rFonts w:ascii="Times New Roman" w:hAnsi="Times New Roman" w:eastAsia="宋体" w:cs="Times New Roman"/>
                      <w:color w:val="auto"/>
                      <w:kern w:val="2"/>
                      <w:sz w:val="21"/>
                      <w:szCs w:val="24"/>
                      <w:highlight w:val="none"/>
                      <w:lang w:val="en-US" w:eastAsia="zh-CN" w:bidi="ar-SA"/>
                    </w:rPr>
                  </w:pPr>
                  <w:r>
                    <w:rPr>
                      <w:color w:val="auto"/>
                      <w:highlight w:val="none"/>
                    </w:rPr>
                    <w:t>常温</w:t>
                  </w:r>
                </w:p>
              </w:tc>
              <w:tc>
                <w:tcPr>
                  <w:tcW w:w="566" w:type="pct"/>
                  <w:vAlign w:val="center"/>
                </w:tcPr>
                <w:p>
                  <w:pPr>
                    <w:jc w:val="center"/>
                    <w:rPr>
                      <w:color w:val="auto"/>
                      <w:highlight w:val="none"/>
                    </w:rPr>
                  </w:pPr>
                  <w:r>
                    <w:rPr>
                      <w:color w:val="auto"/>
                      <w:highlight w:val="none"/>
                    </w:rPr>
                    <w:t>一般排放口</w:t>
                  </w:r>
                </w:p>
              </w:tc>
              <w:tc>
                <w:tcPr>
                  <w:tcW w:w="730" w:type="pct"/>
                  <w:vAlign w:val="center"/>
                </w:tcPr>
                <w:p>
                  <w:pPr>
                    <w:jc w:val="center"/>
                    <w:rPr>
                      <w:rFonts w:ascii="Times New Roman" w:hAnsi="Times New Roman" w:eastAsia="宋体" w:cs="Times New Roman"/>
                      <w:color w:val="auto"/>
                      <w:kern w:val="2"/>
                      <w:sz w:val="21"/>
                      <w:szCs w:val="24"/>
                      <w:highlight w:val="none"/>
                      <w:lang w:val="en-US" w:eastAsia="zh-CN" w:bidi="ar-SA"/>
                    </w:rPr>
                  </w:pPr>
                  <w:r>
                    <w:rPr>
                      <w:color w:val="auto"/>
                      <w:highlight w:val="none"/>
                    </w:rPr>
                    <w:t>125°26′3</w:t>
                  </w:r>
                  <w:r>
                    <w:rPr>
                      <w:rFonts w:hint="eastAsia"/>
                      <w:color w:val="auto"/>
                      <w:highlight w:val="none"/>
                      <w:lang w:val="en-US" w:eastAsia="zh-CN"/>
                    </w:rPr>
                    <w:t>7</w:t>
                  </w:r>
                  <w:r>
                    <w:rPr>
                      <w:color w:val="auto"/>
                      <w:highlight w:val="none"/>
                    </w:rPr>
                    <w:t>.</w:t>
                  </w:r>
                  <w:r>
                    <w:rPr>
                      <w:rFonts w:hint="eastAsia"/>
                      <w:color w:val="auto"/>
                      <w:highlight w:val="none"/>
                      <w:lang w:val="en-US" w:eastAsia="zh-CN"/>
                    </w:rPr>
                    <w:t>221</w:t>
                  </w:r>
                  <w:r>
                    <w:rPr>
                      <w:color w:val="auto"/>
                      <w:highlight w:val="none"/>
                    </w:rPr>
                    <w:t>″</w:t>
                  </w:r>
                </w:p>
              </w:tc>
              <w:tc>
                <w:tcPr>
                  <w:tcW w:w="707" w:type="pct"/>
                  <w:vAlign w:val="center"/>
                </w:tcPr>
                <w:p>
                  <w:pPr>
                    <w:jc w:val="center"/>
                    <w:rPr>
                      <w:rFonts w:ascii="Times New Roman" w:hAnsi="Times New Roman" w:eastAsia="宋体" w:cs="Times New Roman"/>
                      <w:color w:val="auto"/>
                      <w:kern w:val="2"/>
                      <w:sz w:val="21"/>
                      <w:szCs w:val="24"/>
                      <w:highlight w:val="none"/>
                      <w:lang w:val="en-US" w:eastAsia="zh-CN" w:bidi="ar-SA"/>
                    </w:rPr>
                  </w:pPr>
                  <w:r>
                    <w:rPr>
                      <w:color w:val="auto"/>
                      <w:highlight w:val="none"/>
                    </w:rPr>
                    <w:t>43°54′19.</w:t>
                  </w:r>
                  <w:r>
                    <w:rPr>
                      <w:rFonts w:hint="eastAsia"/>
                      <w:color w:val="auto"/>
                      <w:highlight w:val="none"/>
                      <w:lang w:val="en-US" w:eastAsia="zh-CN"/>
                    </w:rPr>
                    <w:t>604</w:t>
                  </w:r>
                  <w:r>
                    <w:rPr>
                      <w:color w:val="auto"/>
                      <w:highlight w:val="none"/>
                    </w:rPr>
                    <w:t>″</w:t>
                  </w:r>
                </w:p>
              </w:tc>
            </w:tr>
          </w:tbl>
          <w:p>
            <w:pPr>
              <w:spacing w:line="240" w:lineRule="auto"/>
              <w:ind w:firstLine="420" w:firstLineChars="200"/>
              <w:rPr>
                <w:color w:val="auto"/>
                <w:highlight w:val="none"/>
              </w:rPr>
            </w:pPr>
          </w:p>
          <w:p>
            <w:pPr>
              <w:widowControl/>
              <w:spacing w:line="360" w:lineRule="auto"/>
              <w:ind w:firstLine="480" w:firstLineChars="200"/>
              <w:rPr>
                <w:b w:val="0"/>
                <w:bCs w:val="0"/>
                <w:color w:val="auto"/>
                <w:sz w:val="24"/>
                <w:highlight w:val="none"/>
              </w:rPr>
            </w:pPr>
            <w:r>
              <w:rPr>
                <w:rFonts w:hint="eastAsia"/>
                <w:b w:val="0"/>
                <w:bCs w:val="0"/>
                <w:color w:val="auto"/>
                <w:sz w:val="24"/>
                <w:highlight w:val="none"/>
                <w:lang w:eastAsia="zh-CN"/>
              </w:rPr>
              <w:t>（</w:t>
            </w:r>
            <w:r>
              <w:rPr>
                <w:rFonts w:hint="eastAsia"/>
                <w:b w:val="0"/>
                <w:bCs w:val="0"/>
                <w:color w:val="auto"/>
                <w:sz w:val="24"/>
                <w:highlight w:val="none"/>
                <w:lang w:val="en-US" w:eastAsia="zh-CN"/>
              </w:rPr>
              <w:t>2</w:t>
            </w:r>
            <w:r>
              <w:rPr>
                <w:rFonts w:hint="eastAsia"/>
                <w:b w:val="0"/>
                <w:bCs w:val="0"/>
                <w:color w:val="auto"/>
                <w:sz w:val="24"/>
                <w:highlight w:val="none"/>
                <w:lang w:eastAsia="zh-CN"/>
              </w:rPr>
              <w:t>）</w:t>
            </w:r>
            <w:r>
              <w:rPr>
                <w:b w:val="0"/>
                <w:bCs w:val="0"/>
                <w:color w:val="auto"/>
                <w:sz w:val="24"/>
                <w:highlight w:val="none"/>
              </w:rPr>
              <w:t>环境监测要求</w:t>
            </w:r>
          </w:p>
          <w:p>
            <w:pPr>
              <w:adjustRightInd w:val="0"/>
              <w:snapToGrid w:val="0"/>
              <w:spacing w:line="360" w:lineRule="auto"/>
              <w:ind w:firstLine="480" w:firstLineChars="200"/>
              <w:rPr>
                <w:color w:val="auto"/>
                <w:sz w:val="24"/>
                <w:highlight w:val="none"/>
              </w:rPr>
            </w:pPr>
            <w:r>
              <w:rPr>
                <w:color w:val="auto"/>
                <w:sz w:val="24"/>
                <w:highlight w:val="none"/>
              </w:rPr>
              <w:t>根据《排污许可证申请与核发技术规范 总则》（HJ942-2018）、</w:t>
            </w:r>
            <w:r>
              <w:rPr>
                <w:rFonts w:hint="default" w:ascii="Times New Roman" w:hAnsi="Times New Roman" w:eastAsia="宋体" w:cs="Times New Roman"/>
                <w:i w:val="0"/>
                <w:iCs w:val="0"/>
                <w:color w:val="auto"/>
                <w:sz w:val="24"/>
                <w:highlight w:val="none"/>
                <w:u w:val="none"/>
                <w:shd w:val="clear" w:color="auto" w:fill="auto"/>
                <w:lang w:val="en-US" w:eastAsia="zh-CN"/>
              </w:rPr>
              <w:t>《排污许可证申请与核发技术规范</w:t>
            </w:r>
            <w:r>
              <w:rPr>
                <w:rFonts w:hint="eastAsia" w:ascii="Times New Roman" w:hAnsi="Times New Roman" w:eastAsia="宋体" w:cs="Times New Roman"/>
                <w:i w:val="0"/>
                <w:iCs w:val="0"/>
                <w:color w:val="auto"/>
                <w:sz w:val="24"/>
                <w:highlight w:val="none"/>
                <w:u w:val="none"/>
                <w:shd w:val="clear" w:color="auto" w:fill="auto"/>
                <w:lang w:val="en-US" w:eastAsia="zh-CN"/>
              </w:rPr>
              <w:t>-</w:t>
            </w:r>
            <w:r>
              <w:rPr>
                <w:rFonts w:hint="default" w:ascii="Times New Roman" w:hAnsi="Times New Roman" w:eastAsia="宋体" w:cs="Times New Roman"/>
                <w:i w:val="0"/>
                <w:iCs w:val="0"/>
                <w:color w:val="auto"/>
                <w:sz w:val="24"/>
                <w:highlight w:val="none"/>
                <w:u w:val="none"/>
                <w:shd w:val="clear" w:color="auto" w:fill="auto"/>
                <w:lang w:val="en-US" w:eastAsia="zh-CN"/>
              </w:rPr>
              <w:t>橡胶和塑料制品》（HJ1122-2020）</w:t>
            </w:r>
            <w:r>
              <w:rPr>
                <w:color w:val="auto"/>
                <w:sz w:val="24"/>
                <w:highlight w:val="none"/>
              </w:rPr>
              <w:t>、《排污单位自行监测技术指南总则》（HJ819-2017），本项目监测计划详见下表。</w:t>
            </w:r>
          </w:p>
          <w:p>
            <w:pPr>
              <w:pStyle w:val="18"/>
              <w:jc w:val="center"/>
              <w:rPr>
                <w:b/>
                <w:color w:val="auto"/>
                <w:sz w:val="24"/>
                <w:szCs w:val="24"/>
                <w:highlight w:val="none"/>
              </w:rPr>
            </w:pPr>
            <w:r>
              <w:rPr>
                <w:b/>
                <w:color w:val="auto"/>
                <w:sz w:val="24"/>
                <w:szCs w:val="24"/>
                <w:highlight w:val="none"/>
              </w:rPr>
              <w:t>表4-</w:t>
            </w:r>
            <w:r>
              <w:rPr>
                <w:rFonts w:hint="eastAsia"/>
                <w:b/>
                <w:color w:val="auto"/>
                <w:sz w:val="24"/>
                <w:szCs w:val="24"/>
                <w:highlight w:val="none"/>
                <w:lang w:val="en-US" w:eastAsia="zh-CN"/>
              </w:rPr>
              <w:t>3</w:t>
            </w:r>
            <w:r>
              <w:rPr>
                <w:b/>
                <w:bCs/>
                <w:color w:val="auto"/>
                <w:sz w:val="24"/>
                <w:highlight w:val="none"/>
              </w:rPr>
              <w:t xml:space="preserve">  </w:t>
            </w:r>
            <w:r>
              <w:rPr>
                <w:b/>
                <w:color w:val="auto"/>
                <w:sz w:val="24"/>
                <w:szCs w:val="24"/>
                <w:highlight w:val="none"/>
              </w:rPr>
              <w:t>废气自行监测一览表</w:t>
            </w:r>
          </w:p>
          <w:tbl>
            <w:tblPr>
              <w:tblStyle w:val="30"/>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93"/>
              <w:gridCol w:w="1158"/>
              <w:gridCol w:w="954"/>
              <w:gridCol w:w="1046"/>
              <w:gridCol w:w="960"/>
              <w:gridCol w:w="33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532" w:type="pct"/>
                  <w:tcBorders>
                    <w:tl2br w:val="nil"/>
                    <w:tr2bl w:val="nil"/>
                  </w:tcBorders>
                  <w:vAlign w:val="center"/>
                </w:tcPr>
                <w:p>
                  <w:pPr>
                    <w:jc w:val="center"/>
                    <w:rPr>
                      <w:color w:val="auto"/>
                      <w:highlight w:val="none"/>
                    </w:rPr>
                  </w:pPr>
                  <w:r>
                    <w:rPr>
                      <w:color w:val="auto"/>
                      <w:highlight w:val="none"/>
                    </w:rPr>
                    <w:t>排放口类型</w:t>
                  </w:r>
                </w:p>
              </w:tc>
              <w:tc>
                <w:tcPr>
                  <w:tcW w:w="690" w:type="pct"/>
                  <w:tcBorders>
                    <w:tl2br w:val="nil"/>
                    <w:tr2bl w:val="nil"/>
                  </w:tcBorders>
                  <w:vAlign w:val="center"/>
                </w:tcPr>
                <w:p>
                  <w:pPr>
                    <w:jc w:val="center"/>
                    <w:rPr>
                      <w:color w:val="auto"/>
                      <w:highlight w:val="none"/>
                    </w:rPr>
                  </w:pPr>
                  <w:r>
                    <w:rPr>
                      <w:color w:val="auto"/>
                      <w:highlight w:val="none"/>
                    </w:rPr>
                    <w:t>废气来源</w:t>
                  </w:r>
                </w:p>
              </w:tc>
              <w:tc>
                <w:tcPr>
                  <w:tcW w:w="568" w:type="pct"/>
                  <w:tcBorders>
                    <w:tl2br w:val="nil"/>
                    <w:tr2bl w:val="nil"/>
                  </w:tcBorders>
                  <w:vAlign w:val="center"/>
                </w:tcPr>
                <w:p>
                  <w:pPr>
                    <w:jc w:val="center"/>
                    <w:rPr>
                      <w:color w:val="auto"/>
                      <w:highlight w:val="none"/>
                    </w:rPr>
                  </w:pPr>
                  <w:r>
                    <w:rPr>
                      <w:color w:val="auto"/>
                      <w:highlight w:val="none"/>
                    </w:rPr>
                    <w:t>监测点位</w:t>
                  </w:r>
                </w:p>
              </w:tc>
              <w:tc>
                <w:tcPr>
                  <w:tcW w:w="623" w:type="pct"/>
                  <w:tcBorders>
                    <w:tl2br w:val="nil"/>
                    <w:tr2bl w:val="nil"/>
                  </w:tcBorders>
                  <w:vAlign w:val="center"/>
                </w:tcPr>
                <w:p>
                  <w:pPr>
                    <w:jc w:val="center"/>
                    <w:rPr>
                      <w:color w:val="auto"/>
                      <w:highlight w:val="none"/>
                    </w:rPr>
                  </w:pPr>
                  <w:r>
                    <w:rPr>
                      <w:color w:val="auto"/>
                      <w:highlight w:val="none"/>
                    </w:rPr>
                    <w:t>检测项目</w:t>
                  </w:r>
                </w:p>
              </w:tc>
              <w:tc>
                <w:tcPr>
                  <w:tcW w:w="572" w:type="pct"/>
                  <w:tcBorders>
                    <w:tl2br w:val="nil"/>
                    <w:tr2bl w:val="nil"/>
                  </w:tcBorders>
                  <w:vAlign w:val="center"/>
                </w:tcPr>
                <w:p>
                  <w:pPr>
                    <w:jc w:val="center"/>
                    <w:rPr>
                      <w:color w:val="auto"/>
                      <w:highlight w:val="none"/>
                    </w:rPr>
                  </w:pPr>
                  <w:r>
                    <w:rPr>
                      <w:color w:val="auto"/>
                      <w:highlight w:val="none"/>
                    </w:rPr>
                    <w:t>监测频次</w:t>
                  </w:r>
                </w:p>
              </w:tc>
              <w:tc>
                <w:tcPr>
                  <w:tcW w:w="2011" w:type="pct"/>
                  <w:tcBorders>
                    <w:tl2br w:val="nil"/>
                    <w:tr2bl w:val="nil"/>
                  </w:tcBorders>
                  <w:vAlign w:val="center"/>
                </w:tcPr>
                <w:p>
                  <w:pPr>
                    <w:jc w:val="center"/>
                    <w:rPr>
                      <w:color w:val="auto"/>
                      <w:highlight w:val="none"/>
                    </w:rPr>
                  </w:pPr>
                  <w:r>
                    <w:rPr>
                      <w:color w:val="auto"/>
                      <w:highlight w:val="none"/>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2" w:type="pct"/>
                  <w:vMerge w:val="restart"/>
                  <w:tcBorders>
                    <w:tl2br w:val="nil"/>
                    <w:tr2bl w:val="nil"/>
                  </w:tcBorders>
                  <w:vAlign w:val="center"/>
                </w:tcPr>
                <w:p>
                  <w:pPr>
                    <w:jc w:val="center"/>
                    <w:rPr>
                      <w:color w:val="auto"/>
                      <w:highlight w:val="none"/>
                    </w:rPr>
                  </w:pPr>
                  <w:r>
                    <w:rPr>
                      <w:color w:val="auto"/>
                      <w:highlight w:val="none"/>
                    </w:rPr>
                    <w:t>一般排放口</w:t>
                  </w:r>
                </w:p>
              </w:tc>
              <w:tc>
                <w:tcPr>
                  <w:tcW w:w="690" w:type="pct"/>
                  <w:tcBorders>
                    <w:tl2br w:val="nil"/>
                    <w:tr2bl w:val="nil"/>
                  </w:tcBorders>
                  <w:vAlign w:val="center"/>
                </w:tcPr>
                <w:p>
                  <w:pPr>
                    <w:jc w:val="center"/>
                    <w:rPr>
                      <w:color w:val="auto"/>
                      <w:highlight w:val="none"/>
                    </w:rPr>
                  </w:pPr>
                  <w:r>
                    <w:rPr>
                      <w:color w:val="auto"/>
                      <w:highlight w:val="none"/>
                    </w:rPr>
                    <w:t>清洗、防锈、注塑工序废气</w:t>
                  </w:r>
                </w:p>
              </w:tc>
              <w:tc>
                <w:tcPr>
                  <w:tcW w:w="568" w:type="pct"/>
                  <w:tcBorders>
                    <w:tl2br w:val="nil"/>
                    <w:tr2bl w:val="nil"/>
                  </w:tcBorders>
                  <w:vAlign w:val="center"/>
                </w:tcPr>
                <w:p>
                  <w:pPr>
                    <w:jc w:val="center"/>
                    <w:rPr>
                      <w:color w:val="auto"/>
                      <w:highlight w:val="none"/>
                    </w:rPr>
                  </w:pPr>
                  <w:r>
                    <w:rPr>
                      <w:color w:val="auto"/>
                      <w:highlight w:val="none"/>
                    </w:rPr>
                    <w:t>DA001</w:t>
                  </w:r>
                </w:p>
              </w:tc>
              <w:tc>
                <w:tcPr>
                  <w:tcW w:w="623" w:type="pct"/>
                  <w:tcBorders>
                    <w:tl2br w:val="nil"/>
                    <w:tr2bl w:val="nil"/>
                  </w:tcBorders>
                  <w:vAlign w:val="center"/>
                </w:tcPr>
                <w:p>
                  <w:pPr>
                    <w:jc w:val="center"/>
                    <w:rPr>
                      <w:color w:val="auto"/>
                      <w:highlight w:val="none"/>
                    </w:rPr>
                  </w:pPr>
                  <w:r>
                    <w:rPr>
                      <w:color w:val="auto"/>
                      <w:highlight w:val="none"/>
                    </w:rPr>
                    <w:t>NMHC</w:t>
                  </w:r>
                </w:p>
              </w:tc>
              <w:tc>
                <w:tcPr>
                  <w:tcW w:w="572" w:type="pct"/>
                  <w:tcBorders>
                    <w:tl2br w:val="nil"/>
                    <w:tr2bl w:val="nil"/>
                  </w:tcBorders>
                  <w:vAlign w:val="center"/>
                </w:tcPr>
                <w:p>
                  <w:pPr>
                    <w:jc w:val="center"/>
                    <w:rPr>
                      <w:color w:val="auto"/>
                      <w:highlight w:val="none"/>
                    </w:rPr>
                  </w:pPr>
                  <w:r>
                    <w:rPr>
                      <w:color w:val="auto"/>
                      <w:highlight w:val="none"/>
                    </w:rPr>
                    <w:t>1次/年</w:t>
                  </w:r>
                </w:p>
              </w:tc>
              <w:tc>
                <w:tcPr>
                  <w:tcW w:w="2011" w:type="pct"/>
                  <w:tcBorders>
                    <w:tl2br w:val="nil"/>
                    <w:tr2bl w:val="nil"/>
                  </w:tcBorders>
                  <w:vAlign w:val="center"/>
                </w:tcPr>
                <w:p>
                  <w:pPr>
                    <w:jc w:val="center"/>
                    <w:rPr>
                      <w:color w:val="auto"/>
                      <w:highlight w:val="none"/>
                    </w:rPr>
                  </w:pPr>
                  <w:r>
                    <w:rPr>
                      <w:color w:val="auto"/>
                      <w:highlight w:val="none"/>
                    </w:rPr>
                    <w:t>《合成树脂工业污染物排放标准》（GB31572-2015）中表5大气污染物特别排放限值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2" w:type="pct"/>
                  <w:vMerge w:val="continue"/>
                  <w:tcBorders>
                    <w:tl2br w:val="nil"/>
                    <w:tr2bl w:val="nil"/>
                  </w:tcBorders>
                  <w:vAlign w:val="center"/>
                </w:tcPr>
                <w:p>
                  <w:pPr>
                    <w:jc w:val="center"/>
                    <w:rPr>
                      <w:color w:val="auto"/>
                      <w:highlight w:val="none"/>
                    </w:rPr>
                  </w:pPr>
                </w:p>
              </w:tc>
              <w:tc>
                <w:tcPr>
                  <w:tcW w:w="690" w:type="pct"/>
                  <w:tcBorders>
                    <w:tl2br w:val="nil"/>
                    <w:tr2bl w:val="nil"/>
                  </w:tcBorders>
                  <w:vAlign w:val="center"/>
                </w:tcPr>
                <w:p>
                  <w:pPr>
                    <w:jc w:val="center"/>
                    <w:rPr>
                      <w:rFonts w:hint="default" w:eastAsia="宋体"/>
                      <w:color w:val="auto"/>
                      <w:highlight w:val="none"/>
                      <w:lang w:val="en-US" w:eastAsia="zh-CN"/>
                    </w:rPr>
                  </w:pPr>
                  <w:r>
                    <w:rPr>
                      <w:rFonts w:hint="eastAsia"/>
                      <w:color w:val="auto"/>
                      <w:highlight w:val="none"/>
                      <w:lang w:val="en-US" w:eastAsia="zh-CN"/>
                    </w:rPr>
                    <w:t>破碎废气</w:t>
                  </w:r>
                </w:p>
              </w:tc>
              <w:tc>
                <w:tcPr>
                  <w:tcW w:w="568" w:type="pct"/>
                  <w:tcBorders>
                    <w:tl2br w:val="nil"/>
                    <w:tr2bl w:val="nil"/>
                  </w:tcBorders>
                  <w:vAlign w:val="center"/>
                </w:tcPr>
                <w:p>
                  <w:pPr>
                    <w:jc w:val="center"/>
                    <w:rPr>
                      <w:rFonts w:hint="default" w:eastAsia="宋体"/>
                      <w:color w:val="auto"/>
                      <w:highlight w:val="none"/>
                      <w:lang w:val="en-US" w:eastAsia="zh-CN"/>
                    </w:rPr>
                  </w:pPr>
                  <w:r>
                    <w:rPr>
                      <w:rFonts w:hint="eastAsia"/>
                      <w:color w:val="auto"/>
                      <w:highlight w:val="none"/>
                      <w:lang w:val="en-US" w:eastAsia="zh-CN"/>
                    </w:rPr>
                    <w:t>DA002</w:t>
                  </w:r>
                </w:p>
              </w:tc>
              <w:tc>
                <w:tcPr>
                  <w:tcW w:w="623" w:type="pct"/>
                  <w:tcBorders>
                    <w:tl2br w:val="nil"/>
                    <w:tr2bl w:val="nil"/>
                  </w:tcBorders>
                  <w:vAlign w:val="center"/>
                </w:tcPr>
                <w:p>
                  <w:pPr>
                    <w:jc w:val="center"/>
                    <w:rPr>
                      <w:color w:val="auto"/>
                      <w:highlight w:val="none"/>
                    </w:rPr>
                  </w:pPr>
                  <w:r>
                    <w:rPr>
                      <w:color w:val="auto"/>
                      <w:highlight w:val="none"/>
                    </w:rPr>
                    <w:t>颗粒物</w:t>
                  </w:r>
                </w:p>
              </w:tc>
              <w:tc>
                <w:tcPr>
                  <w:tcW w:w="572" w:type="pct"/>
                  <w:tcBorders>
                    <w:tl2br w:val="nil"/>
                    <w:tr2bl w:val="nil"/>
                  </w:tcBorders>
                  <w:vAlign w:val="center"/>
                </w:tcPr>
                <w:p>
                  <w:pPr>
                    <w:jc w:val="center"/>
                    <w:rPr>
                      <w:color w:val="auto"/>
                      <w:highlight w:val="none"/>
                    </w:rPr>
                  </w:pPr>
                  <w:r>
                    <w:rPr>
                      <w:color w:val="auto"/>
                      <w:highlight w:val="none"/>
                    </w:rPr>
                    <w:t>1次/年</w:t>
                  </w:r>
                </w:p>
              </w:tc>
              <w:tc>
                <w:tcPr>
                  <w:tcW w:w="2011" w:type="pct"/>
                  <w:tcBorders>
                    <w:tl2br w:val="nil"/>
                    <w:tr2bl w:val="nil"/>
                  </w:tcBorders>
                  <w:vAlign w:val="center"/>
                </w:tcPr>
                <w:p>
                  <w:pPr>
                    <w:jc w:val="center"/>
                    <w:rPr>
                      <w:color w:val="auto"/>
                      <w:highlight w:val="none"/>
                    </w:rPr>
                  </w:pPr>
                  <w:r>
                    <w:rPr>
                      <w:rFonts w:hint="default" w:ascii="Times New Roman" w:hAnsi="Times New Roman" w:cs="Times New Roman"/>
                      <w:color w:val="auto"/>
                      <w:highlight w:val="none"/>
                      <w:lang w:val="en-US" w:eastAsia="zh-CN"/>
                    </w:rPr>
                    <w:t>《大气污染物综合排放标准中》（GB16297-1996）中表2新污染源大气污染物二级排放限值要求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2" w:type="pct"/>
                  <w:vMerge w:val="restart"/>
                  <w:tcBorders>
                    <w:tl2br w:val="nil"/>
                    <w:tr2bl w:val="nil"/>
                  </w:tcBorders>
                  <w:vAlign w:val="center"/>
                </w:tcPr>
                <w:p>
                  <w:pPr>
                    <w:jc w:val="center"/>
                    <w:rPr>
                      <w:color w:val="auto"/>
                      <w:highlight w:val="none"/>
                    </w:rPr>
                  </w:pPr>
                  <w:r>
                    <w:rPr>
                      <w:color w:val="auto"/>
                      <w:highlight w:val="none"/>
                    </w:rPr>
                    <w:t>无组织</w:t>
                  </w:r>
                </w:p>
              </w:tc>
              <w:tc>
                <w:tcPr>
                  <w:tcW w:w="690" w:type="pct"/>
                  <w:vMerge w:val="restart"/>
                  <w:tcBorders>
                    <w:tl2br w:val="nil"/>
                    <w:tr2bl w:val="nil"/>
                  </w:tcBorders>
                  <w:vAlign w:val="center"/>
                </w:tcPr>
                <w:p>
                  <w:pPr>
                    <w:jc w:val="center"/>
                    <w:rPr>
                      <w:rFonts w:hint="eastAsia" w:eastAsia="宋体"/>
                      <w:color w:val="auto"/>
                      <w:highlight w:val="none"/>
                      <w:lang w:eastAsia="zh-CN"/>
                    </w:rPr>
                  </w:pPr>
                  <w:r>
                    <w:rPr>
                      <w:rFonts w:hint="eastAsia"/>
                      <w:color w:val="auto"/>
                      <w:highlight w:val="none"/>
                      <w:lang w:val="en-US" w:eastAsia="zh-CN"/>
                    </w:rPr>
                    <w:t>全厂</w:t>
                  </w:r>
                </w:p>
              </w:tc>
              <w:tc>
                <w:tcPr>
                  <w:tcW w:w="568" w:type="pct"/>
                  <w:tcBorders>
                    <w:tl2br w:val="nil"/>
                    <w:tr2bl w:val="nil"/>
                  </w:tcBorders>
                  <w:vAlign w:val="center"/>
                </w:tcPr>
                <w:p>
                  <w:pPr>
                    <w:jc w:val="center"/>
                    <w:rPr>
                      <w:color w:val="auto"/>
                      <w:highlight w:val="none"/>
                    </w:rPr>
                  </w:pPr>
                  <w:r>
                    <w:rPr>
                      <w:color w:val="auto"/>
                      <w:highlight w:val="none"/>
                    </w:rPr>
                    <w:t>厂区内</w:t>
                  </w:r>
                </w:p>
              </w:tc>
              <w:tc>
                <w:tcPr>
                  <w:tcW w:w="623" w:type="pct"/>
                  <w:tcBorders>
                    <w:tl2br w:val="nil"/>
                    <w:tr2bl w:val="nil"/>
                  </w:tcBorders>
                  <w:vAlign w:val="center"/>
                </w:tcPr>
                <w:p>
                  <w:pPr>
                    <w:jc w:val="center"/>
                    <w:rPr>
                      <w:color w:val="auto"/>
                      <w:highlight w:val="none"/>
                    </w:rPr>
                  </w:pPr>
                  <w:r>
                    <w:rPr>
                      <w:color w:val="auto"/>
                      <w:highlight w:val="none"/>
                    </w:rPr>
                    <w:t>NMHC</w:t>
                  </w:r>
                </w:p>
              </w:tc>
              <w:tc>
                <w:tcPr>
                  <w:tcW w:w="572" w:type="pct"/>
                  <w:tcBorders>
                    <w:tl2br w:val="nil"/>
                    <w:tr2bl w:val="nil"/>
                  </w:tcBorders>
                  <w:vAlign w:val="center"/>
                </w:tcPr>
                <w:p>
                  <w:pPr>
                    <w:jc w:val="center"/>
                    <w:rPr>
                      <w:color w:val="auto"/>
                      <w:highlight w:val="none"/>
                    </w:rPr>
                  </w:pPr>
                  <w:r>
                    <w:rPr>
                      <w:color w:val="auto"/>
                      <w:highlight w:val="none"/>
                    </w:rPr>
                    <w:t>1次/年</w:t>
                  </w:r>
                </w:p>
              </w:tc>
              <w:tc>
                <w:tcPr>
                  <w:tcW w:w="2011" w:type="pct"/>
                  <w:tcBorders>
                    <w:tl2br w:val="nil"/>
                    <w:tr2bl w:val="nil"/>
                  </w:tcBorders>
                  <w:vAlign w:val="center"/>
                </w:tcPr>
                <w:p>
                  <w:pPr>
                    <w:jc w:val="center"/>
                    <w:rPr>
                      <w:color w:val="auto"/>
                      <w:highlight w:val="none"/>
                    </w:rPr>
                  </w:pPr>
                  <w:r>
                    <w:rPr>
                      <w:color w:val="auto"/>
                      <w:highlight w:val="none"/>
                    </w:rPr>
                    <w:t>《挥发性有机物无组织排放控制标准》（GB37822-2019）附录A特别排放标准要求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32" w:type="pct"/>
                  <w:vMerge w:val="continue"/>
                  <w:tcBorders>
                    <w:tl2br w:val="nil"/>
                    <w:tr2bl w:val="nil"/>
                  </w:tcBorders>
                  <w:vAlign w:val="center"/>
                </w:tcPr>
                <w:p>
                  <w:pPr>
                    <w:jc w:val="center"/>
                    <w:rPr>
                      <w:color w:val="auto"/>
                      <w:highlight w:val="none"/>
                    </w:rPr>
                  </w:pPr>
                </w:p>
              </w:tc>
              <w:tc>
                <w:tcPr>
                  <w:tcW w:w="690" w:type="pct"/>
                  <w:vMerge w:val="continue"/>
                  <w:tcBorders>
                    <w:tl2br w:val="nil"/>
                    <w:tr2bl w:val="nil"/>
                  </w:tcBorders>
                  <w:vAlign w:val="center"/>
                </w:tcPr>
                <w:p>
                  <w:pPr>
                    <w:jc w:val="center"/>
                    <w:rPr>
                      <w:color w:val="auto"/>
                      <w:highlight w:val="none"/>
                    </w:rPr>
                  </w:pPr>
                </w:p>
              </w:tc>
              <w:tc>
                <w:tcPr>
                  <w:tcW w:w="568" w:type="pct"/>
                  <w:vMerge w:val="restart"/>
                  <w:tcBorders>
                    <w:tl2br w:val="nil"/>
                    <w:tr2bl w:val="nil"/>
                  </w:tcBorders>
                  <w:vAlign w:val="center"/>
                </w:tcPr>
                <w:p>
                  <w:pPr>
                    <w:jc w:val="center"/>
                    <w:rPr>
                      <w:color w:val="auto"/>
                      <w:highlight w:val="none"/>
                    </w:rPr>
                  </w:pPr>
                  <w:r>
                    <w:rPr>
                      <w:color w:val="auto"/>
                      <w:highlight w:val="none"/>
                    </w:rPr>
                    <w:t>厂界</w:t>
                  </w:r>
                </w:p>
              </w:tc>
              <w:tc>
                <w:tcPr>
                  <w:tcW w:w="623" w:type="pct"/>
                  <w:tcBorders>
                    <w:tl2br w:val="nil"/>
                    <w:tr2bl w:val="nil"/>
                  </w:tcBorders>
                  <w:vAlign w:val="center"/>
                </w:tcPr>
                <w:p>
                  <w:pPr>
                    <w:jc w:val="center"/>
                    <w:rPr>
                      <w:color w:val="auto"/>
                      <w:highlight w:val="none"/>
                    </w:rPr>
                  </w:pPr>
                  <w:r>
                    <w:rPr>
                      <w:color w:val="auto"/>
                      <w:highlight w:val="none"/>
                    </w:rPr>
                    <w:t>NMHC</w:t>
                  </w:r>
                </w:p>
              </w:tc>
              <w:tc>
                <w:tcPr>
                  <w:tcW w:w="572" w:type="pct"/>
                  <w:tcBorders>
                    <w:tl2br w:val="nil"/>
                    <w:tr2bl w:val="nil"/>
                  </w:tcBorders>
                  <w:vAlign w:val="center"/>
                </w:tcPr>
                <w:p>
                  <w:pPr>
                    <w:jc w:val="center"/>
                    <w:rPr>
                      <w:color w:val="auto"/>
                      <w:highlight w:val="none"/>
                    </w:rPr>
                  </w:pPr>
                  <w:r>
                    <w:rPr>
                      <w:color w:val="auto"/>
                      <w:highlight w:val="none"/>
                    </w:rPr>
                    <w:t>1次/年</w:t>
                  </w:r>
                </w:p>
              </w:tc>
              <w:tc>
                <w:tcPr>
                  <w:tcW w:w="2011" w:type="pct"/>
                  <w:vMerge w:val="restart"/>
                  <w:tcBorders>
                    <w:tl2br w:val="nil"/>
                    <w:tr2bl w:val="nil"/>
                  </w:tcBorders>
                  <w:vAlign w:val="center"/>
                </w:tcPr>
                <w:p>
                  <w:pPr>
                    <w:jc w:val="center"/>
                    <w:rPr>
                      <w:color w:val="auto"/>
                      <w:highlight w:val="none"/>
                    </w:rPr>
                  </w:pPr>
                  <w:r>
                    <w:rPr>
                      <w:color w:val="auto"/>
                      <w:highlight w:val="none"/>
                    </w:rPr>
                    <w:t>《合成树脂工业污染物排放标准》（GB31572-2015）中表9企业边界大气污染物浓度限值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2" w:type="pct"/>
                  <w:vMerge w:val="continue"/>
                  <w:tcBorders>
                    <w:tl2br w:val="nil"/>
                    <w:tr2bl w:val="nil"/>
                  </w:tcBorders>
                  <w:vAlign w:val="center"/>
                </w:tcPr>
                <w:p>
                  <w:pPr>
                    <w:jc w:val="center"/>
                    <w:rPr>
                      <w:color w:val="auto"/>
                      <w:highlight w:val="none"/>
                    </w:rPr>
                  </w:pPr>
                </w:p>
              </w:tc>
              <w:tc>
                <w:tcPr>
                  <w:tcW w:w="690" w:type="pct"/>
                  <w:vMerge w:val="continue"/>
                  <w:tcBorders>
                    <w:tl2br w:val="nil"/>
                    <w:tr2bl w:val="nil"/>
                  </w:tcBorders>
                  <w:vAlign w:val="center"/>
                </w:tcPr>
                <w:p>
                  <w:pPr>
                    <w:jc w:val="center"/>
                    <w:rPr>
                      <w:color w:val="auto"/>
                      <w:highlight w:val="none"/>
                    </w:rPr>
                  </w:pPr>
                </w:p>
              </w:tc>
              <w:tc>
                <w:tcPr>
                  <w:tcW w:w="568" w:type="pct"/>
                  <w:vMerge w:val="continue"/>
                  <w:tcBorders>
                    <w:tl2br w:val="nil"/>
                    <w:tr2bl w:val="nil"/>
                  </w:tcBorders>
                  <w:vAlign w:val="center"/>
                </w:tcPr>
                <w:p>
                  <w:pPr>
                    <w:jc w:val="center"/>
                    <w:rPr>
                      <w:color w:val="auto"/>
                      <w:highlight w:val="none"/>
                    </w:rPr>
                  </w:pPr>
                </w:p>
              </w:tc>
              <w:tc>
                <w:tcPr>
                  <w:tcW w:w="623" w:type="pct"/>
                  <w:tcBorders>
                    <w:tl2br w:val="nil"/>
                    <w:tr2bl w:val="nil"/>
                  </w:tcBorders>
                  <w:vAlign w:val="center"/>
                </w:tcPr>
                <w:p>
                  <w:pPr>
                    <w:jc w:val="center"/>
                    <w:rPr>
                      <w:color w:val="auto"/>
                      <w:highlight w:val="none"/>
                    </w:rPr>
                  </w:pPr>
                  <w:r>
                    <w:rPr>
                      <w:color w:val="auto"/>
                      <w:highlight w:val="none"/>
                    </w:rPr>
                    <w:t>颗粒物</w:t>
                  </w:r>
                </w:p>
              </w:tc>
              <w:tc>
                <w:tcPr>
                  <w:tcW w:w="572" w:type="pct"/>
                  <w:tcBorders>
                    <w:tl2br w:val="nil"/>
                    <w:tr2bl w:val="nil"/>
                  </w:tcBorders>
                  <w:vAlign w:val="center"/>
                </w:tcPr>
                <w:p>
                  <w:pPr>
                    <w:jc w:val="center"/>
                    <w:rPr>
                      <w:color w:val="auto"/>
                      <w:highlight w:val="none"/>
                    </w:rPr>
                  </w:pPr>
                  <w:r>
                    <w:rPr>
                      <w:color w:val="auto"/>
                      <w:highlight w:val="none"/>
                    </w:rPr>
                    <w:t>1次/年</w:t>
                  </w:r>
                </w:p>
              </w:tc>
              <w:tc>
                <w:tcPr>
                  <w:tcW w:w="2011" w:type="pct"/>
                  <w:vMerge w:val="continue"/>
                  <w:tcBorders>
                    <w:tl2br w:val="nil"/>
                    <w:tr2bl w:val="nil"/>
                  </w:tcBorders>
                  <w:vAlign w:val="center"/>
                </w:tcPr>
                <w:p>
                  <w:pPr>
                    <w:jc w:val="center"/>
                    <w:rPr>
                      <w:color w:val="auto"/>
                      <w:highlight w:val="none"/>
                    </w:rPr>
                  </w:pPr>
                </w:p>
              </w:tc>
            </w:tr>
          </w:tbl>
          <w:p>
            <w:pPr>
              <w:widowControl/>
              <w:spacing w:line="240" w:lineRule="auto"/>
              <w:ind w:firstLine="442" w:firstLineChars="200"/>
              <w:rPr>
                <w:b/>
                <w:bCs/>
                <w:color w:val="auto"/>
                <w:sz w:val="22"/>
                <w:szCs w:val="22"/>
                <w:highlight w:val="none"/>
              </w:rPr>
            </w:pPr>
          </w:p>
          <w:p>
            <w:pPr>
              <w:widowControl/>
              <w:spacing w:line="360" w:lineRule="auto"/>
              <w:ind w:firstLine="482" w:firstLineChars="200"/>
              <w:rPr>
                <w:b/>
                <w:bCs/>
                <w:color w:val="auto"/>
                <w:sz w:val="24"/>
                <w:highlight w:val="none"/>
              </w:rPr>
            </w:pPr>
            <w:r>
              <w:rPr>
                <w:b/>
                <w:bCs/>
                <w:color w:val="auto"/>
                <w:sz w:val="24"/>
                <w:highlight w:val="none"/>
              </w:rPr>
              <w:t>2.废水</w:t>
            </w:r>
          </w:p>
          <w:p>
            <w:pPr>
              <w:widowControl/>
              <w:spacing w:line="360" w:lineRule="auto"/>
              <w:ind w:firstLine="482" w:firstLineChars="200"/>
              <w:rPr>
                <w:b/>
                <w:bCs/>
                <w:color w:val="auto"/>
                <w:sz w:val="24"/>
                <w:highlight w:val="none"/>
              </w:rPr>
            </w:pPr>
            <w:r>
              <w:rPr>
                <w:b/>
                <w:bCs/>
                <w:color w:val="auto"/>
                <w:sz w:val="24"/>
                <w:highlight w:val="none"/>
              </w:rPr>
              <w:t>2.1产排污分析</w:t>
            </w:r>
          </w:p>
          <w:p>
            <w:pPr>
              <w:widowControl/>
              <w:spacing w:line="360" w:lineRule="auto"/>
              <w:ind w:firstLine="480" w:firstLineChars="200"/>
              <w:rPr>
                <w:color w:val="auto"/>
                <w:sz w:val="24"/>
                <w:highlight w:val="none"/>
              </w:rPr>
            </w:pPr>
            <w:r>
              <w:rPr>
                <w:color w:val="auto"/>
                <w:sz w:val="24"/>
                <w:highlight w:val="none"/>
              </w:rPr>
              <w:t>本项目运营期废水主要为生活污水、循环冷却水排水。</w:t>
            </w:r>
          </w:p>
          <w:p>
            <w:pPr>
              <w:widowControl/>
              <w:spacing w:line="360" w:lineRule="auto"/>
              <w:ind w:firstLine="480" w:firstLineChars="200"/>
              <w:rPr>
                <w:color w:val="auto"/>
                <w:sz w:val="24"/>
                <w:highlight w:val="none"/>
              </w:rPr>
            </w:pPr>
            <w:r>
              <w:rPr>
                <w:color w:val="auto"/>
                <w:sz w:val="24"/>
                <w:highlight w:val="none"/>
              </w:rPr>
              <w:t>生活污水产生量为</w:t>
            </w:r>
            <w:r>
              <w:rPr>
                <w:rFonts w:hint="default" w:ascii="Times New Roman" w:hAnsi="Times New Roman" w:eastAsia="宋体" w:cs="Times New Roman"/>
                <w:i w:val="0"/>
                <w:iCs w:val="0"/>
                <w:color w:val="auto"/>
                <w:sz w:val="24"/>
                <w:highlight w:val="none"/>
                <w:u w:val="none"/>
                <w:shd w:val="clear" w:color="auto" w:fill="auto"/>
              </w:rPr>
              <w:t>2</w:t>
            </w:r>
            <w:r>
              <w:rPr>
                <w:rFonts w:hint="eastAsia" w:ascii="Times New Roman" w:hAnsi="Times New Roman" w:eastAsia="宋体" w:cs="Times New Roman"/>
                <w:i w:val="0"/>
                <w:iCs w:val="0"/>
                <w:color w:val="auto"/>
                <w:sz w:val="24"/>
                <w:highlight w:val="none"/>
                <w:u w:val="none"/>
                <w:shd w:val="clear" w:color="auto" w:fill="auto"/>
                <w:lang w:val="en-US" w:eastAsia="zh-CN"/>
              </w:rPr>
              <w:t>0</w:t>
            </w:r>
            <w:r>
              <w:rPr>
                <w:rFonts w:hint="default" w:ascii="Times New Roman" w:hAnsi="Times New Roman" w:eastAsia="宋体" w:cs="Times New Roman"/>
                <w:i w:val="0"/>
                <w:iCs w:val="0"/>
                <w:color w:val="auto"/>
                <w:sz w:val="24"/>
                <w:highlight w:val="none"/>
                <w:u w:val="none"/>
                <w:shd w:val="clear" w:color="auto" w:fill="auto"/>
              </w:rPr>
              <w:t>0</w:t>
            </w:r>
            <w:r>
              <w:rPr>
                <w:color w:val="auto"/>
                <w:sz w:val="24"/>
                <w:highlight w:val="none"/>
              </w:rPr>
              <w:t>m</w:t>
            </w:r>
            <w:r>
              <w:rPr>
                <w:rFonts w:hint="eastAsia"/>
                <w:color w:val="auto"/>
                <w:sz w:val="24"/>
                <w:highlight w:val="none"/>
                <w:vertAlign w:val="superscript"/>
                <w:lang w:val="en-US" w:eastAsia="zh-CN"/>
              </w:rPr>
              <w:t>3</w:t>
            </w:r>
            <w:r>
              <w:rPr>
                <w:color w:val="auto"/>
                <w:sz w:val="24"/>
                <w:highlight w:val="none"/>
              </w:rPr>
              <w:t>/a，主要污染因子包括COD、BOD</w:t>
            </w:r>
            <w:r>
              <w:rPr>
                <w:color w:val="auto"/>
                <w:sz w:val="24"/>
                <w:highlight w:val="none"/>
                <w:vertAlign w:val="subscript"/>
              </w:rPr>
              <w:t>5</w:t>
            </w:r>
            <w:r>
              <w:rPr>
                <w:color w:val="auto"/>
                <w:sz w:val="24"/>
                <w:highlight w:val="none"/>
              </w:rPr>
              <w:t>、SS、氨氮等，浓度分别为300mg/L、150mg/L、350mg/L、</w:t>
            </w:r>
            <w:r>
              <w:rPr>
                <w:rFonts w:hint="eastAsia"/>
                <w:color w:val="auto"/>
                <w:sz w:val="24"/>
                <w:highlight w:val="none"/>
                <w:lang w:val="en-US" w:eastAsia="zh-CN"/>
              </w:rPr>
              <w:t>25</w:t>
            </w:r>
            <w:r>
              <w:rPr>
                <w:color w:val="auto"/>
                <w:sz w:val="24"/>
                <w:highlight w:val="none"/>
              </w:rPr>
              <w:t>mg/L，各污染物排放浓度满足《污染物综合排放标准》（GB8978-1996）三级排放标准，排入市政污水管网，由长春市北郊污水处理厂处理。</w:t>
            </w:r>
          </w:p>
          <w:p>
            <w:pPr>
              <w:widowControl/>
              <w:spacing w:line="360" w:lineRule="auto"/>
              <w:ind w:firstLine="480" w:firstLineChars="200"/>
              <w:rPr>
                <w:color w:val="auto"/>
                <w:sz w:val="24"/>
                <w:highlight w:val="none"/>
              </w:rPr>
            </w:pPr>
            <w:r>
              <w:rPr>
                <w:color w:val="auto"/>
                <w:sz w:val="24"/>
                <w:highlight w:val="none"/>
              </w:rPr>
              <w:t>循环冷却水排水产生量为</w:t>
            </w:r>
            <w:r>
              <w:rPr>
                <w:rFonts w:hint="eastAsia"/>
                <w:color w:val="auto"/>
                <w:sz w:val="24"/>
                <w:highlight w:val="none"/>
                <w:lang w:val="en-US" w:eastAsia="zh-CN"/>
              </w:rPr>
              <w:t>50</w:t>
            </w:r>
            <w:r>
              <w:rPr>
                <w:color w:val="auto"/>
                <w:sz w:val="24"/>
                <w:highlight w:val="none"/>
              </w:rPr>
              <w:t>m</w:t>
            </w:r>
            <w:r>
              <w:rPr>
                <w:rFonts w:hint="eastAsia"/>
                <w:color w:val="auto"/>
                <w:sz w:val="24"/>
                <w:highlight w:val="none"/>
                <w:vertAlign w:val="superscript"/>
                <w:lang w:val="en-US" w:eastAsia="zh-CN"/>
              </w:rPr>
              <w:t>3</w:t>
            </w:r>
            <w:r>
              <w:rPr>
                <w:color w:val="auto"/>
                <w:sz w:val="24"/>
                <w:highlight w:val="none"/>
              </w:rPr>
              <w:t>/a，主要污染因子为COD、SS等，浓度分别为50mg/L、20mg/L，各污染物排放浓度满足《污染物综合排放标准》（GB8978-1996）三级排放标准，排入市政污水管网，由长春市北郊污水处理厂处理。</w:t>
            </w:r>
          </w:p>
          <w:p>
            <w:pPr>
              <w:widowControl/>
              <w:spacing w:line="360" w:lineRule="auto"/>
              <w:ind w:firstLine="480" w:firstLineChars="200"/>
              <w:rPr>
                <w:color w:val="auto"/>
                <w:sz w:val="24"/>
                <w:highlight w:val="none"/>
              </w:rPr>
            </w:pPr>
            <w:r>
              <w:rPr>
                <w:rFonts w:hint="eastAsia"/>
                <w:color w:val="auto"/>
                <w:sz w:val="24"/>
                <w:highlight w:val="none"/>
                <w:lang w:eastAsia="zh-CN"/>
              </w:rPr>
              <w:t>本</w:t>
            </w:r>
            <w:r>
              <w:rPr>
                <w:color w:val="auto"/>
                <w:sz w:val="24"/>
                <w:highlight w:val="none"/>
              </w:rPr>
              <w:t>项目废水产生及排放情况详见下表。</w:t>
            </w:r>
          </w:p>
          <w:p>
            <w:pPr>
              <w:pStyle w:val="23"/>
              <w:ind w:left="0" w:leftChars="0"/>
              <w:jc w:val="center"/>
              <w:rPr>
                <w:b/>
                <w:color w:val="auto"/>
                <w:kern w:val="0"/>
                <w:sz w:val="24"/>
                <w:highlight w:val="none"/>
              </w:rPr>
            </w:pPr>
            <w:r>
              <w:rPr>
                <w:b/>
                <w:color w:val="auto"/>
                <w:kern w:val="0"/>
                <w:sz w:val="24"/>
                <w:highlight w:val="none"/>
              </w:rPr>
              <w:t>表4-</w:t>
            </w:r>
            <w:r>
              <w:rPr>
                <w:rFonts w:hint="eastAsia"/>
                <w:b/>
                <w:color w:val="auto"/>
                <w:kern w:val="0"/>
                <w:sz w:val="24"/>
                <w:highlight w:val="none"/>
                <w:lang w:val="en-US" w:eastAsia="zh-CN"/>
              </w:rPr>
              <w:t>4</w:t>
            </w:r>
            <w:r>
              <w:rPr>
                <w:b/>
                <w:bCs/>
                <w:color w:val="auto"/>
                <w:sz w:val="24"/>
                <w:highlight w:val="none"/>
              </w:rPr>
              <w:t xml:space="preserve">  </w:t>
            </w:r>
            <w:r>
              <w:rPr>
                <w:b/>
                <w:color w:val="auto"/>
                <w:kern w:val="0"/>
                <w:sz w:val="24"/>
                <w:highlight w:val="none"/>
              </w:rPr>
              <w:t>废水产生及排放情况一览表</w:t>
            </w:r>
          </w:p>
          <w:tbl>
            <w:tblPr>
              <w:tblStyle w:val="30"/>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1796"/>
              <w:gridCol w:w="1322"/>
              <w:gridCol w:w="1370"/>
              <w:gridCol w:w="1298"/>
              <w:gridCol w:w="139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86" w:type="pct"/>
                  <w:gridSpan w:val="2"/>
                  <w:vAlign w:val="center"/>
                </w:tcPr>
                <w:p>
                  <w:pPr>
                    <w:jc w:val="center"/>
                    <w:rPr>
                      <w:color w:val="auto"/>
                      <w:highlight w:val="none"/>
                    </w:rPr>
                  </w:pPr>
                  <w:r>
                    <w:rPr>
                      <w:color w:val="auto"/>
                      <w:highlight w:val="none"/>
                    </w:rPr>
                    <w:t>主要污染因子</w:t>
                  </w:r>
                </w:p>
              </w:tc>
              <w:tc>
                <w:tcPr>
                  <w:tcW w:w="788" w:type="pct"/>
                  <w:vAlign w:val="center"/>
                </w:tcPr>
                <w:p>
                  <w:pPr>
                    <w:jc w:val="center"/>
                    <w:rPr>
                      <w:color w:val="auto"/>
                      <w:highlight w:val="none"/>
                    </w:rPr>
                  </w:pPr>
                  <w:r>
                    <w:rPr>
                      <w:color w:val="auto"/>
                      <w:highlight w:val="none"/>
                    </w:rPr>
                    <w:t>COD</w:t>
                  </w:r>
                </w:p>
              </w:tc>
              <w:tc>
                <w:tcPr>
                  <w:tcW w:w="817" w:type="pct"/>
                  <w:vAlign w:val="center"/>
                </w:tcPr>
                <w:p>
                  <w:pPr>
                    <w:jc w:val="center"/>
                    <w:rPr>
                      <w:color w:val="auto"/>
                      <w:highlight w:val="none"/>
                    </w:rPr>
                  </w:pPr>
                  <w:r>
                    <w:rPr>
                      <w:color w:val="auto"/>
                      <w:highlight w:val="none"/>
                    </w:rPr>
                    <w:t>BOD</w:t>
                  </w:r>
                  <w:r>
                    <w:rPr>
                      <w:color w:val="auto"/>
                      <w:highlight w:val="none"/>
                      <w:vertAlign w:val="subscript"/>
                    </w:rPr>
                    <w:t>5</w:t>
                  </w:r>
                </w:p>
              </w:tc>
              <w:tc>
                <w:tcPr>
                  <w:tcW w:w="774" w:type="pct"/>
                  <w:vAlign w:val="center"/>
                </w:tcPr>
                <w:p>
                  <w:pPr>
                    <w:jc w:val="center"/>
                    <w:rPr>
                      <w:color w:val="auto"/>
                      <w:highlight w:val="none"/>
                    </w:rPr>
                  </w:pPr>
                  <w:r>
                    <w:rPr>
                      <w:color w:val="auto"/>
                      <w:highlight w:val="none"/>
                    </w:rPr>
                    <w:t>SS</w:t>
                  </w:r>
                </w:p>
              </w:tc>
              <w:tc>
                <w:tcPr>
                  <w:tcW w:w="832" w:type="pct"/>
                  <w:vAlign w:val="center"/>
                </w:tcPr>
                <w:p>
                  <w:pPr>
                    <w:jc w:val="center"/>
                    <w:rPr>
                      <w:color w:val="auto"/>
                      <w:highlight w:val="none"/>
                    </w:rPr>
                  </w:pPr>
                  <w:r>
                    <w:rPr>
                      <w:color w:val="auto"/>
                      <w:highlight w:val="none"/>
                    </w:rPr>
                    <w:t>氨氮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15" w:type="pct"/>
                  <w:vMerge w:val="restart"/>
                  <w:tcBorders>
                    <w:right w:val="single" w:color="000000" w:sz="4" w:space="0"/>
                  </w:tcBorders>
                  <w:vAlign w:val="center"/>
                </w:tcPr>
                <w:p>
                  <w:pPr>
                    <w:jc w:val="center"/>
                    <w:rPr>
                      <w:color w:val="auto"/>
                      <w:highlight w:val="none"/>
                    </w:rPr>
                  </w:pPr>
                  <w:r>
                    <w:rPr>
                      <w:color w:val="auto"/>
                      <w:highlight w:val="none"/>
                    </w:rPr>
                    <w:t>生活</w:t>
                  </w:r>
                </w:p>
                <w:p>
                  <w:pPr>
                    <w:jc w:val="center"/>
                    <w:rPr>
                      <w:color w:val="auto"/>
                      <w:highlight w:val="none"/>
                    </w:rPr>
                  </w:pPr>
                  <w:r>
                    <w:rPr>
                      <w:color w:val="auto"/>
                      <w:highlight w:val="none"/>
                    </w:rPr>
                    <w:t>污水</w:t>
                  </w:r>
                </w:p>
              </w:tc>
              <w:tc>
                <w:tcPr>
                  <w:tcW w:w="1071" w:type="pct"/>
                  <w:tcBorders>
                    <w:left w:val="single" w:color="000000" w:sz="4" w:space="0"/>
                  </w:tcBorders>
                  <w:vAlign w:val="center"/>
                </w:tcPr>
                <w:p>
                  <w:pPr>
                    <w:jc w:val="center"/>
                    <w:rPr>
                      <w:color w:val="auto"/>
                      <w:highlight w:val="none"/>
                    </w:rPr>
                  </w:pPr>
                  <w:r>
                    <w:rPr>
                      <w:color w:val="auto"/>
                      <w:highlight w:val="none"/>
                    </w:rPr>
                    <w:t>产生浓度（mg/L）</w:t>
                  </w:r>
                </w:p>
              </w:tc>
              <w:tc>
                <w:tcPr>
                  <w:tcW w:w="788" w:type="pct"/>
                  <w:vAlign w:val="center"/>
                </w:tcPr>
                <w:p>
                  <w:pPr>
                    <w:widowControl/>
                    <w:jc w:val="center"/>
                    <w:textAlignment w:val="center"/>
                    <w:rPr>
                      <w:color w:val="auto"/>
                      <w:highlight w:val="none"/>
                    </w:rPr>
                  </w:pPr>
                  <w:r>
                    <w:rPr>
                      <w:color w:val="auto"/>
                      <w:kern w:val="0"/>
                      <w:szCs w:val="21"/>
                      <w:highlight w:val="none"/>
                      <w:lang w:bidi="ar"/>
                    </w:rPr>
                    <w:t>300</w:t>
                  </w:r>
                </w:p>
              </w:tc>
              <w:tc>
                <w:tcPr>
                  <w:tcW w:w="817" w:type="pct"/>
                  <w:vAlign w:val="center"/>
                </w:tcPr>
                <w:p>
                  <w:pPr>
                    <w:widowControl/>
                    <w:jc w:val="center"/>
                    <w:textAlignment w:val="center"/>
                    <w:rPr>
                      <w:color w:val="auto"/>
                      <w:highlight w:val="none"/>
                    </w:rPr>
                  </w:pPr>
                  <w:r>
                    <w:rPr>
                      <w:color w:val="auto"/>
                      <w:kern w:val="0"/>
                      <w:szCs w:val="21"/>
                      <w:highlight w:val="none"/>
                      <w:lang w:bidi="ar"/>
                    </w:rPr>
                    <w:t>150</w:t>
                  </w:r>
                </w:p>
              </w:tc>
              <w:tc>
                <w:tcPr>
                  <w:tcW w:w="774" w:type="pct"/>
                  <w:vAlign w:val="center"/>
                </w:tcPr>
                <w:p>
                  <w:pPr>
                    <w:widowControl/>
                    <w:jc w:val="center"/>
                    <w:textAlignment w:val="center"/>
                    <w:rPr>
                      <w:color w:val="auto"/>
                      <w:highlight w:val="none"/>
                    </w:rPr>
                  </w:pPr>
                  <w:r>
                    <w:rPr>
                      <w:color w:val="auto"/>
                      <w:kern w:val="0"/>
                      <w:szCs w:val="21"/>
                      <w:highlight w:val="none"/>
                      <w:lang w:bidi="ar"/>
                    </w:rPr>
                    <w:t>200</w:t>
                  </w:r>
                </w:p>
              </w:tc>
              <w:tc>
                <w:tcPr>
                  <w:tcW w:w="832" w:type="pct"/>
                  <w:vAlign w:val="center"/>
                </w:tcPr>
                <w:p>
                  <w:pPr>
                    <w:widowControl/>
                    <w:jc w:val="center"/>
                    <w:textAlignment w:val="center"/>
                    <w:rPr>
                      <w:color w:val="auto"/>
                      <w:highlight w:val="none"/>
                    </w:rPr>
                  </w:pPr>
                  <w:r>
                    <w:rPr>
                      <w:color w:val="auto"/>
                      <w:kern w:val="0"/>
                      <w:szCs w:val="21"/>
                      <w:highlight w:val="none"/>
                      <w:lang w:bidi="ar"/>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715" w:type="pct"/>
                  <w:vMerge w:val="continue"/>
                  <w:tcBorders>
                    <w:right w:val="single" w:color="000000" w:sz="4" w:space="0"/>
                  </w:tcBorders>
                  <w:vAlign w:val="center"/>
                </w:tcPr>
                <w:p>
                  <w:pPr>
                    <w:jc w:val="center"/>
                    <w:rPr>
                      <w:color w:val="auto"/>
                      <w:highlight w:val="none"/>
                    </w:rPr>
                  </w:pPr>
                </w:p>
              </w:tc>
              <w:tc>
                <w:tcPr>
                  <w:tcW w:w="1071" w:type="pct"/>
                  <w:tcBorders>
                    <w:left w:val="single" w:color="000000" w:sz="4" w:space="0"/>
                  </w:tcBorders>
                  <w:vAlign w:val="center"/>
                </w:tcPr>
                <w:p>
                  <w:pPr>
                    <w:jc w:val="center"/>
                    <w:rPr>
                      <w:color w:val="auto"/>
                      <w:highlight w:val="none"/>
                    </w:rPr>
                  </w:pPr>
                  <w:r>
                    <w:rPr>
                      <w:color w:val="auto"/>
                      <w:highlight w:val="none"/>
                    </w:rPr>
                    <w:t>产生量（t/a）</w:t>
                  </w:r>
                </w:p>
              </w:tc>
              <w:tc>
                <w:tcPr>
                  <w:tcW w:w="788" w:type="pct"/>
                  <w:vAlign w:val="center"/>
                </w:tcPr>
                <w:p>
                  <w:pPr>
                    <w:jc w:val="center"/>
                    <w:rPr>
                      <w:rFonts w:hint="eastAsia" w:eastAsia="宋体"/>
                      <w:color w:val="auto"/>
                      <w:highlight w:val="none"/>
                      <w:lang w:val="en-US" w:eastAsia="zh-CN"/>
                    </w:rPr>
                  </w:pPr>
                  <w:r>
                    <w:rPr>
                      <w:rFonts w:hint="eastAsia"/>
                      <w:color w:val="auto"/>
                      <w:highlight w:val="none"/>
                    </w:rPr>
                    <w:t>0.06</w:t>
                  </w:r>
                  <w:r>
                    <w:rPr>
                      <w:rFonts w:hint="eastAsia"/>
                      <w:color w:val="auto"/>
                      <w:highlight w:val="none"/>
                      <w:lang w:val="en-US" w:eastAsia="zh-CN"/>
                    </w:rPr>
                    <w:t>0</w:t>
                  </w:r>
                </w:p>
              </w:tc>
              <w:tc>
                <w:tcPr>
                  <w:tcW w:w="817" w:type="pct"/>
                  <w:vAlign w:val="center"/>
                </w:tcPr>
                <w:p>
                  <w:pPr>
                    <w:jc w:val="center"/>
                    <w:rPr>
                      <w:rFonts w:hint="default" w:eastAsia="宋体"/>
                      <w:color w:val="auto"/>
                      <w:highlight w:val="none"/>
                      <w:lang w:val="en-US" w:eastAsia="zh-CN"/>
                    </w:rPr>
                  </w:pPr>
                  <w:r>
                    <w:rPr>
                      <w:rFonts w:hint="eastAsia"/>
                      <w:color w:val="auto"/>
                      <w:highlight w:val="none"/>
                    </w:rPr>
                    <w:t>0.0</w:t>
                  </w:r>
                  <w:r>
                    <w:rPr>
                      <w:rFonts w:hint="eastAsia"/>
                      <w:color w:val="auto"/>
                      <w:highlight w:val="none"/>
                      <w:lang w:val="en-US" w:eastAsia="zh-CN"/>
                    </w:rPr>
                    <w:t>30</w:t>
                  </w:r>
                </w:p>
              </w:tc>
              <w:tc>
                <w:tcPr>
                  <w:tcW w:w="774" w:type="pct"/>
                  <w:vAlign w:val="center"/>
                </w:tcPr>
                <w:p>
                  <w:pPr>
                    <w:jc w:val="center"/>
                    <w:rPr>
                      <w:rFonts w:hint="eastAsia" w:eastAsia="宋体"/>
                      <w:color w:val="auto"/>
                      <w:highlight w:val="none"/>
                      <w:lang w:val="en-US" w:eastAsia="zh-CN"/>
                    </w:rPr>
                  </w:pPr>
                  <w:r>
                    <w:rPr>
                      <w:rFonts w:hint="eastAsia"/>
                      <w:color w:val="auto"/>
                      <w:highlight w:val="none"/>
                    </w:rPr>
                    <w:t>0.04</w:t>
                  </w:r>
                  <w:r>
                    <w:rPr>
                      <w:rFonts w:hint="eastAsia"/>
                      <w:color w:val="auto"/>
                      <w:highlight w:val="none"/>
                      <w:lang w:val="en-US" w:eastAsia="zh-CN"/>
                    </w:rPr>
                    <w:t>0</w:t>
                  </w:r>
                </w:p>
              </w:tc>
              <w:tc>
                <w:tcPr>
                  <w:tcW w:w="832" w:type="pct"/>
                  <w:vAlign w:val="center"/>
                </w:tcPr>
                <w:p>
                  <w:pPr>
                    <w:jc w:val="center"/>
                    <w:rPr>
                      <w:rFonts w:hint="eastAsia" w:eastAsia="宋体"/>
                      <w:color w:val="auto"/>
                      <w:highlight w:val="none"/>
                      <w:lang w:eastAsia="zh-CN"/>
                    </w:rPr>
                  </w:pPr>
                  <w:r>
                    <w:rPr>
                      <w:rFonts w:hint="eastAsia"/>
                      <w:color w:val="auto"/>
                      <w:highlight w:val="none"/>
                    </w:rPr>
                    <w:t>0.005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15" w:type="pct"/>
                  <w:vMerge w:val="restart"/>
                  <w:tcBorders>
                    <w:right w:val="single" w:color="000000" w:sz="4" w:space="0"/>
                  </w:tcBorders>
                  <w:vAlign w:val="center"/>
                </w:tcPr>
                <w:p>
                  <w:pPr>
                    <w:jc w:val="center"/>
                    <w:rPr>
                      <w:color w:val="auto"/>
                      <w:highlight w:val="none"/>
                    </w:rPr>
                  </w:pPr>
                  <w:r>
                    <w:rPr>
                      <w:color w:val="auto"/>
                      <w:highlight w:val="none"/>
                    </w:rPr>
                    <w:t>循环冷却水排水</w:t>
                  </w:r>
                </w:p>
              </w:tc>
              <w:tc>
                <w:tcPr>
                  <w:tcW w:w="1071" w:type="pct"/>
                  <w:tcBorders>
                    <w:left w:val="single" w:color="000000" w:sz="4" w:space="0"/>
                  </w:tcBorders>
                  <w:vAlign w:val="center"/>
                </w:tcPr>
                <w:p>
                  <w:pPr>
                    <w:jc w:val="center"/>
                    <w:rPr>
                      <w:color w:val="auto"/>
                      <w:highlight w:val="none"/>
                    </w:rPr>
                  </w:pPr>
                  <w:r>
                    <w:rPr>
                      <w:color w:val="auto"/>
                      <w:highlight w:val="none"/>
                    </w:rPr>
                    <w:t>产生浓度（mg/L）</w:t>
                  </w:r>
                </w:p>
              </w:tc>
              <w:tc>
                <w:tcPr>
                  <w:tcW w:w="788" w:type="pct"/>
                  <w:vAlign w:val="center"/>
                </w:tcPr>
                <w:p>
                  <w:pPr>
                    <w:jc w:val="center"/>
                    <w:rPr>
                      <w:color w:val="auto"/>
                      <w:highlight w:val="none"/>
                    </w:rPr>
                  </w:pPr>
                  <w:r>
                    <w:rPr>
                      <w:color w:val="auto"/>
                      <w:highlight w:val="none"/>
                    </w:rPr>
                    <w:t>50</w:t>
                  </w:r>
                </w:p>
              </w:tc>
              <w:tc>
                <w:tcPr>
                  <w:tcW w:w="817" w:type="pct"/>
                  <w:vAlign w:val="center"/>
                </w:tcPr>
                <w:p>
                  <w:pPr>
                    <w:jc w:val="center"/>
                    <w:rPr>
                      <w:color w:val="auto"/>
                      <w:highlight w:val="none"/>
                    </w:rPr>
                  </w:pPr>
                  <w:r>
                    <w:rPr>
                      <w:color w:val="auto"/>
                      <w:highlight w:val="none"/>
                    </w:rPr>
                    <w:t>/</w:t>
                  </w:r>
                </w:p>
              </w:tc>
              <w:tc>
                <w:tcPr>
                  <w:tcW w:w="774" w:type="pct"/>
                  <w:vAlign w:val="center"/>
                </w:tcPr>
                <w:p>
                  <w:pPr>
                    <w:jc w:val="center"/>
                    <w:rPr>
                      <w:color w:val="auto"/>
                      <w:highlight w:val="none"/>
                    </w:rPr>
                  </w:pPr>
                  <w:r>
                    <w:rPr>
                      <w:color w:val="auto"/>
                      <w:highlight w:val="none"/>
                    </w:rPr>
                    <w:t>20</w:t>
                  </w:r>
                </w:p>
              </w:tc>
              <w:tc>
                <w:tcPr>
                  <w:tcW w:w="832" w:type="pct"/>
                  <w:vAlign w:val="center"/>
                </w:tcPr>
                <w:p>
                  <w:pPr>
                    <w:jc w:val="center"/>
                    <w:rPr>
                      <w:color w:val="auto"/>
                      <w:highlight w:val="none"/>
                    </w:rPr>
                  </w:pPr>
                  <w:r>
                    <w:rPr>
                      <w:color w:val="auto"/>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15" w:type="pct"/>
                  <w:vMerge w:val="continue"/>
                  <w:tcBorders>
                    <w:right w:val="single" w:color="000000" w:sz="4" w:space="0"/>
                  </w:tcBorders>
                  <w:vAlign w:val="center"/>
                </w:tcPr>
                <w:p>
                  <w:pPr>
                    <w:jc w:val="center"/>
                    <w:rPr>
                      <w:color w:val="auto"/>
                      <w:highlight w:val="none"/>
                    </w:rPr>
                  </w:pPr>
                </w:p>
              </w:tc>
              <w:tc>
                <w:tcPr>
                  <w:tcW w:w="1071" w:type="pct"/>
                  <w:tcBorders>
                    <w:left w:val="single" w:color="000000" w:sz="4" w:space="0"/>
                    <w:right w:val="single" w:color="000000" w:sz="4" w:space="0"/>
                  </w:tcBorders>
                  <w:vAlign w:val="center"/>
                </w:tcPr>
                <w:p>
                  <w:pPr>
                    <w:jc w:val="center"/>
                    <w:rPr>
                      <w:color w:val="auto"/>
                      <w:highlight w:val="none"/>
                    </w:rPr>
                  </w:pPr>
                  <w:r>
                    <w:rPr>
                      <w:color w:val="auto"/>
                      <w:highlight w:val="none"/>
                    </w:rPr>
                    <w:t>产生量（t/a）</w:t>
                  </w:r>
                </w:p>
              </w:tc>
              <w:tc>
                <w:tcPr>
                  <w:tcW w:w="788" w:type="pct"/>
                  <w:tcBorders>
                    <w:left w:val="single" w:color="000000" w:sz="4" w:space="0"/>
                    <w:right w:val="single" w:color="000000" w:sz="4" w:space="0"/>
                  </w:tcBorders>
                  <w:vAlign w:val="center"/>
                </w:tcPr>
                <w:p>
                  <w:pPr>
                    <w:jc w:val="center"/>
                    <w:rPr>
                      <w:color w:val="auto"/>
                      <w:highlight w:val="none"/>
                    </w:rPr>
                  </w:pPr>
                  <w:r>
                    <w:rPr>
                      <w:rFonts w:hint="eastAsia"/>
                      <w:color w:val="auto"/>
                      <w:highlight w:val="none"/>
                    </w:rPr>
                    <w:t>0.0025</w:t>
                  </w:r>
                </w:p>
              </w:tc>
              <w:tc>
                <w:tcPr>
                  <w:tcW w:w="817" w:type="pct"/>
                  <w:tcBorders>
                    <w:left w:val="single" w:color="000000" w:sz="4" w:space="0"/>
                    <w:right w:val="single" w:color="000000" w:sz="4" w:space="0"/>
                  </w:tcBorders>
                  <w:vAlign w:val="center"/>
                </w:tcPr>
                <w:p>
                  <w:pPr>
                    <w:jc w:val="center"/>
                    <w:rPr>
                      <w:color w:val="auto"/>
                      <w:highlight w:val="none"/>
                    </w:rPr>
                  </w:pPr>
                  <w:r>
                    <w:rPr>
                      <w:color w:val="auto"/>
                      <w:highlight w:val="none"/>
                    </w:rPr>
                    <w:t>0</w:t>
                  </w:r>
                </w:p>
              </w:tc>
              <w:tc>
                <w:tcPr>
                  <w:tcW w:w="774" w:type="pct"/>
                  <w:tcBorders>
                    <w:left w:val="single" w:color="000000" w:sz="4" w:space="0"/>
                    <w:right w:val="single" w:color="000000" w:sz="4" w:space="0"/>
                  </w:tcBorders>
                  <w:vAlign w:val="center"/>
                </w:tcPr>
                <w:p>
                  <w:pPr>
                    <w:jc w:val="center"/>
                    <w:rPr>
                      <w:color w:val="auto"/>
                      <w:highlight w:val="none"/>
                    </w:rPr>
                  </w:pPr>
                  <w:r>
                    <w:rPr>
                      <w:rFonts w:hint="eastAsia"/>
                      <w:color w:val="auto"/>
                      <w:highlight w:val="none"/>
                    </w:rPr>
                    <w:t>0.001</w:t>
                  </w:r>
                </w:p>
              </w:tc>
              <w:tc>
                <w:tcPr>
                  <w:tcW w:w="832" w:type="pct"/>
                  <w:tcBorders>
                    <w:left w:val="single" w:color="000000" w:sz="4" w:space="0"/>
                  </w:tcBorders>
                  <w:vAlign w:val="center"/>
                </w:tcPr>
                <w:p>
                  <w:pPr>
                    <w:jc w:val="center"/>
                    <w:rPr>
                      <w:color w:val="auto"/>
                      <w:highlight w:val="none"/>
                    </w:rPr>
                  </w:pPr>
                  <w:r>
                    <w:rPr>
                      <w:color w:val="auto"/>
                      <w:highlight w:val="none"/>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15" w:type="pct"/>
                  <w:vMerge w:val="restart"/>
                  <w:tcBorders>
                    <w:right w:val="single" w:color="000000" w:sz="4" w:space="0"/>
                  </w:tcBorders>
                  <w:vAlign w:val="center"/>
                </w:tcPr>
                <w:p>
                  <w:pPr>
                    <w:jc w:val="center"/>
                    <w:rPr>
                      <w:color w:val="auto"/>
                      <w:highlight w:val="none"/>
                    </w:rPr>
                  </w:pPr>
                  <w:r>
                    <w:rPr>
                      <w:color w:val="auto"/>
                      <w:highlight w:val="none"/>
                    </w:rPr>
                    <w:t>综合</w:t>
                  </w:r>
                </w:p>
                <w:p>
                  <w:pPr>
                    <w:jc w:val="center"/>
                    <w:rPr>
                      <w:color w:val="auto"/>
                      <w:highlight w:val="none"/>
                    </w:rPr>
                  </w:pPr>
                  <w:r>
                    <w:rPr>
                      <w:color w:val="auto"/>
                      <w:highlight w:val="none"/>
                    </w:rPr>
                    <w:t>废水</w:t>
                  </w:r>
                </w:p>
              </w:tc>
              <w:tc>
                <w:tcPr>
                  <w:tcW w:w="1071" w:type="pct"/>
                  <w:tcBorders>
                    <w:left w:val="single" w:color="000000" w:sz="4" w:space="0"/>
                  </w:tcBorders>
                  <w:vAlign w:val="center"/>
                </w:tcPr>
                <w:p>
                  <w:pPr>
                    <w:jc w:val="center"/>
                    <w:rPr>
                      <w:color w:val="auto"/>
                      <w:highlight w:val="none"/>
                    </w:rPr>
                  </w:pPr>
                  <w:r>
                    <w:rPr>
                      <w:color w:val="auto"/>
                      <w:highlight w:val="none"/>
                    </w:rPr>
                    <w:t>排放浓度（mg/L）</w:t>
                  </w:r>
                </w:p>
              </w:tc>
              <w:tc>
                <w:tcPr>
                  <w:tcW w:w="1335" w:type="dxa"/>
                  <w:vAlign w:val="center"/>
                </w:tcPr>
                <w:p>
                  <w:pPr>
                    <w:jc w:val="center"/>
                    <w:rPr>
                      <w:rFonts w:hint="eastAsia" w:ascii="Times New Roman" w:hAnsi="Times New Roman" w:cs="Times New Roman"/>
                      <w:color w:val="auto"/>
                      <w:highlight w:val="none"/>
                    </w:rPr>
                  </w:pPr>
                  <w:r>
                    <w:rPr>
                      <w:rFonts w:hint="default" w:ascii="Times New Roman" w:hAnsi="Times New Roman" w:cs="Times New Roman"/>
                      <w:color w:val="auto"/>
                      <w:highlight w:val="none"/>
                      <w:lang w:val="en-US" w:eastAsia="zh-CN"/>
                    </w:rPr>
                    <w:t>250</w:t>
                  </w:r>
                </w:p>
              </w:tc>
              <w:tc>
                <w:tcPr>
                  <w:tcW w:w="1384" w:type="dxa"/>
                  <w:vAlign w:val="center"/>
                </w:tcPr>
                <w:p>
                  <w:pPr>
                    <w:jc w:val="center"/>
                    <w:rPr>
                      <w:rFonts w:hint="eastAsia" w:ascii="Times New Roman" w:hAnsi="Times New Roman" w:cs="Times New Roman"/>
                      <w:color w:val="auto"/>
                      <w:highlight w:val="none"/>
                    </w:rPr>
                  </w:pPr>
                  <w:r>
                    <w:rPr>
                      <w:rFonts w:hint="default" w:ascii="Times New Roman" w:hAnsi="Times New Roman" w:cs="Times New Roman"/>
                      <w:color w:val="auto"/>
                      <w:highlight w:val="none"/>
                      <w:lang w:val="en-US" w:eastAsia="zh-CN"/>
                    </w:rPr>
                    <w:t>120</w:t>
                  </w:r>
                </w:p>
              </w:tc>
              <w:tc>
                <w:tcPr>
                  <w:tcW w:w="1311" w:type="dxa"/>
                  <w:vAlign w:val="center"/>
                </w:tcPr>
                <w:p>
                  <w:pPr>
                    <w:jc w:val="center"/>
                    <w:rPr>
                      <w:rFonts w:hint="eastAsia" w:ascii="Times New Roman" w:hAnsi="Times New Roman" w:cs="Times New Roman"/>
                      <w:color w:val="auto"/>
                      <w:highlight w:val="none"/>
                    </w:rPr>
                  </w:pPr>
                  <w:r>
                    <w:rPr>
                      <w:rFonts w:hint="default" w:ascii="Times New Roman" w:hAnsi="Times New Roman" w:cs="Times New Roman"/>
                      <w:color w:val="auto"/>
                      <w:highlight w:val="none"/>
                      <w:lang w:val="en-US" w:eastAsia="zh-CN"/>
                    </w:rPr>
                    <w:t>164</w:t>
                  </w:r>
                </w:p>
              </w:tc>
              <w:tc>
                <w:tcPr>
                  <w:tcW w:w="1410" w:type="dxa"/>
                  <w:vAlign w:val="center"/>
                </w:tcPr>
                <w:p>
                  <w:pPr>
                    <w:jc w:val="center"/>
                    <w:rPr>
                      <w:rFonts w:hint="eastAsia" w:ascii="Times New Roman" w:hAnsi="Times New Roman" w:cs="Times New Roman"/>
                      <w:color w:val="auto"/>
                      <w:highlight w:val="none"/>
                    </w:rPr>
                  </w:pPr>
                  <w:r>
                    <w:rPr>
                      <w:rFonts w:hint="default" w:ascii="Times New Roman" w:hAnsi="Times New Roman" w:cs="Times New Roman"/>
                      <w:color w:val="auto"/>
                      <w:highlight w:val="none"/>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715" w:type="pct"/>
                  <w:vMerge w:val="continue"/>
                  <w:tcBorders>
                    <w:right w:val="single" w:color="000000" w:sz="4" w:space="0"/>
                  </w:tcBorders>
                  <w:vAlign w:val="center"/>
                </w:tcPr>
                <w:p>
                  <w:pPr>
                    <w:jc w:val="center"/>
                    <w:rPr>
                      <w:color w:val="auto"/>
                      <w:highlight w:val="none"/>
                    </w:rPr>
                  </w:pPr>
                </w:p>
              </w:tc>
              <w:tc>
                <w:tcPr>
                  <w:tcW w:w="1071" w:type="pct"/>
                  <w:tcBorders>
                    <w:left w:val="single" w:color="000000" w:sz="4" w:space="0"/>
                  </w:tcBorders>
                  <w:vAlign w:val="center"/>
                </w:tcPr>
                <w:p>
                  <w:pPr>
                    <w:jc w:val="center"/>
                    <w:rPr>
                      <w:color w:val="auto"/>
                      <w:highlight w:val="none"/>
                    </w:rPr>
                  </w:pPr>
                  <w:r>
                    <w:rPr>
                      <w:color w:val="auto"/>
                      <w:highlight w:val="none"/>
                    </w:rPr>
                    <w:t>排放量（t/a）</w:t>
                  </w:r>
                </w:p>
              </w:tc>
              <w:tc>
                <w:tcPr>
                  <w:tcW w:w="1335" w:type="dxa"/>
                  <w:vAlign w:val="center"/>
                </w:tcPr>
                <w:p>
                  <w:pPr>
                    <w:jc w:val="center"/>
                    <w:rPr>
                      <w:rFonts w:hint="eastAsia" w:ascii="Times New Roman" w:hAnsi="Times New Roman" w:cs="Times New Roman"/>
                      <w:color w:val="auto"/>
                      <w:highlight w:val="none"/>
                    </w:rPr>
                  </w:pPr>
                  <w:r>
                    <w:rPr>
                      <w:rFonts w:hint="default" w:ascii="Times New Roman" w:hAnsi="Times New Roman" w:cs="Times New Roman"/>
                      <w:color w:val="auto"/>
                      <w:highlight w:val="none"/>
                      <w:lang w:val="en-US" w:eastAsia="zh-CN"/>
                    </w:rPr>
                    <w:t>0.0625</w:t>
                  </w:r>
                </w:p>
              </w:tc>
              <w:tc>
                <w:tcPr>
                  <w:tcW w:w="1384" w:type="dxa"/>
                  <w:vAlign w:val="center"/>
                </w:tcPr>
                <w:p>
                  <w:pPr>
                    <w:jc w:val="center"/>
                    <w:rPr>
                      <w:rFonts w:hint="eastAsia" w:ascii="Times New Roman" w:hAnsi="Times New Roman" w:cs="Times New Roman"/>
                      <w:color w:val="auto"/>
                      <w:highlight w:val="none"/>
                    </w:rPr>
                  </w:pPr>
                  <w:r>
                    <w:rPr>
                      <w:rFonts w:hint="default" w:ascii="Times New Roman" w:hAnsi="Times New Roman" w:cs="Times New Roman"/>
                      <w:color w:val="auto"/>
                      <w:highlight w:val="none"/>
                      <w:lang w:val="en-US" w:eastAsia="zh-CN"/>
                    </w:rPr>
                    <w:t>0.03</w:t>
                  </w:r>
                </w:p>
              </w:tc>
              <w:tc>
                <w:tcPr>
                  <w:tcW w:w="1311" w:type="dxa"/>
                  <w:vAlign w:val="center"/>
                </w:tcPr>
                <w:p>
                  <w:pPr>
                    <w:jc w:val="center"/>
                    <w:rPr>
                      <w:rFonts w:hint="eastAsia" w:ascii="Times New Roman" w:hAnsi="Times New Roman" w:cs="Times New Roman"/>
                      <w:color w:val="auto"/>
                      <w:highlight w:val="none"/>
                    </w:rPr>
                  </w:pPr>
                  <w:r>
                    <w:rPr>
                      <w:rFonts w:hint="default" w:ascii="Times New Roman" w:hAnsi="Times New Roman" w:cs="Times New Roman"/>
                      <w:color w:val="auto"/>
                      <w:highlight w:val="none"/>
                      <w:lang w:val="en-US" w:eastAsia="zh-CN"/>
                    </w:rPr>
                    <w:t>0.041</w:t>
                  </w:r>
                </w:p>
              </w:tc>
              <w:tc>
                <w:tcPr>
                  <w:tcW w:w="1410" w:type="dxa"/>
                  <w:vAlign w:val="center"/>
                </w:tcPr>
                <w:p>
                  <w:pPr>
                    <w:jc w:val="center"/>
                    <w:rPr>
                      <w:rFonts w:hint="eastAsia" w:ascii="Times New Roman" w:hAnsi="Times New Roman" w:cs="Times New Roman"/>
                      <w:color w:val="auto"/>
                      <w:highlight w:val="none"/>
                    </w:rPr>
                  </w:pPr>
                  <w:r>
                    <w:rPr>
                      <w:rFonts w:hint="default" w:ascii="Times New Roman" w:hAnsi="Times New Roman" w:cs="Times New Roman"/>
                      <w:color w:val="auto"/>
                      <w:highlight w:val="none"/>
                      <w:lang w:val="en-US" w:eastAsia="zh-CN"/>
                    </w:rPr>
                    <w:t>0.005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86" w:type="pct"/>
                  <w:gridSpan w:val="2"/>
                  <w:vAlign w:val="center"/>
                </w:tcPr>
                <w:p>
                  <w:pPr>
                    <w:jc w:val="center"/>
                    <w:rPr>
                      <w:color w:val="auto"/>
                      <w:highlight w:val="none"/>
                    </w:rPr>
                  </w:pPr>
                  <w:r>
                    <w:rPr>
                      <w:color w:val="auto"/>
                      <w:highlight w:val="none"/>
                    </w:rPr>
                    <w:t>《污染物综合排放标准》（GB8978-1996）三级排放标准（mg/L）</w:t>
                  </w:r>
                </w:p>
              </w:tc>
              <w:tc>
                <w:tcPr>
                  <w:tcW w:w="788" w:type="pct"/>
                  <w:vAlign w:val="center"/>
                </w:tcPr>
                <w:p>
                  <w:pPr>
                    <w:jc w:val="center"/>
                    <w:rPr>
                      <w:rFonts w:hint="eastAsia" w:ascii="Times New Roman" w:hAnsi="Times New Roman" w:cs="Times New Roman"/>
                      <w:color w:val="auto"/>
                      <w:highlight w:val="none"/>
                    </w:rPr>
                  </w:pPr>
                  <w:r>
                    <w:rPr>
                      <w:rFonts w:hint="eastAsia" w:ascii="Times New Roman" w:hAnsi="Times New Roman" w:cs="Times New Roman"/>
                      <w:color w:val="auto"/>
                      <w:highlight w:val="none"/>
                    </w:rPr>
                    <w:t>500</w:t>
                  </w:r>
                </w:p>
              </w:tc>
              <w:tc>
                <w:tcPr>
                  <w:tcW w:w="817" w:type="pct"/>
                  <w:vAlign w:val="center"/>
                </w:tcPr>
                <w:p>
                  <w:pPr>
                    <w:jc w:val="center"/>
                    <w:rPr>
                      <w:rFonts w:hint="eastAsia" w:ascii="Times New Roman" w:hAnsi="Times New Roman" w:cs="Times New Roman"/>
                      <w:color w:val="auto"/>
                      <w:highlight w:val="none"/>
                    </w:rPr>
                  </w:pPr>
                  <w:r>
                    <w:rPr>
                      <w:rFonts w:hint="eastAsia" w:ascii="Times New Roman" w:hAnsi="Times New Roman" w:cs="Times New Roman"/>
                      <w:color w:val="auto"/>
                      <w:highlight w:val="none"/>
                    </w:rPr>
                    <w:t>300</w:t>
                  </w:r>
                </w:p>
              </w:tc>
              <w:tc>
                <w:tcPr>
                  <w:tcW w:w="774" w:type="pct"/>
                  <w:vAlign w:val="center"/>
                </w:tcPr>
                <w:p>
                  <w:pPr>
                    <w:jc w:val="center"/>
                    <w:rPr>
                      <w:rFonts w:hint="eastAsia" w:ascii="Times New Roman" w:hAnsi="Times New Roman" w:cs="Times New Roman"/>
                      <w:color w:val="auto"/>
                      <w:highlight w:val="none"/>
                    </w:rPr>
                  </w:pPr>
                  <w:r>
                    <w:rPr>
                      <w:rFonts w:hint="eastAsia" w:ascii="Times New Roman" w:hAnsi="Times New Roman" w:cs="Times New Roman"/>
                      <w:color w:val="auto"/>
                      <w:highlight w:val="none"/>
                    </w:rPr>
                    <w:t>400</w:t>
                  </w:r>
                </w:p>
              </w:tc>
              <w:tc>
                <w:tcPr>
                  <w:tcW w:w="832" w:type="pct"/>
                  <w:vAlign w:val="center"/>
                </w:tcPr>
                <w:p>
                  <w:pPr>
                    <w:jc w:val="center"/>
                    <w:rPr>
                      <w:rFonts w:hint="eastAsia" w:ascii="Times New Roman" w:hAnsi="Times New Roman" w:cs="Times New Roman"/>
                      <w:color w:val="auto"/>
                      <w:highlight w:val="none"/>
                    </w:rPr>
                  </w:pPr>
                  <w:r>
                    <w:rPr>
                      <w:rFonts w:hint="eastAsia" w:ascii="Times New Roman" w:hAnsi="Times New Roman" w:cs="Times New Roman"/>
                      <w:color w:val="auto"/>
                      <w:highlight w:val="none"/>
                    </w:rPr>
                    <w:t>-</w:t>
                  </w:r>
                </w:p>
              </w:tc>
            </w:tr>
          </w:tbl>
          <w:p>
            <w:pPr>
              <w:widowControl/>
              <w:spacing w:line="240" w:lineRule="auto"/>
              <w:ind w:firstLine="420" w:firstLineChars="200"/>
              <w:rPr>
                <w:color w:val="auto"/>
                <w:highlight w:val="none"/>
              </w:rPr>
            </w:pPr>
          </w:p>
          <w:p>
            <w:pPr>
              <w:pStyle w:val="2"/>
              <w:spacing w:before="0" w:after="0" w:line="360" w:lineRule="auto"/>
              <w:ind w:right="0" w:firstLine="480" w:firstLineChars="200"/>
              <w:rPr>
                <w:color w:val="auto"/>
                <w:highlight w:val="none"/>
              </w:rPr>
            </w:pPr>
            <w:r>
              <w:rPr>
                <w:color w:val="auto"/>
                <w:sz w:val="24"/>
                <w:highlight w:val="none"/>
              </w:rPr>
              <w:t>本项目综合废水中各污染</w:t>
            </w:r>
            <w:r>
              <w:rPr>
                <w:color w:val="auto"/>
                <w:sz w:val="24"/>
                <w:highlight w:val="none"/>
                <w:lang w:bidi="ar"/>
              </w:rPr>
              <w:t>物排放浓度满足《污染物综合排放标准》（GB8978-1996）三级排放标准，排入市政污水管网，由长春市北郊污水处理厂处理，处理达标后外排</w:t>
            </w:r>
            <w:r>
              <w:rPr>
                <w:color w:val="auto"/>
                <w:sz w:val="24"/>
                <w:highlight w:val="none"/>
              </w:rPr>
              <w:t>。</w:t>
            </w:r>
          </w:p>
          <w:p>
            <w:pPr>
              <w:widowControl/>
              <w:spacing w:line="360" w:lineRule="auto"/>
              <w:ind w:firstLine="482" w:firstLineChars="200"/>
              <w:rPr>
                <w:b/>
                <w:bCs/>
                <w:color w:val="auto"/>
                <w:sz w:val="24"/>
                <w:highlight w:val="none"/>
              </w:rPr>
            </w:pPr>
            <w:r>
              <w:rPr>
                <w:b/>
                <w:bCs/>
                <w:color w:val="auto"/>
                <w:sz w:val="24"/>
                <w:highlight w:val="none"/>
              </w:rPr>
              <w:t>2.2 依托</w:t>
            </w:r>
            <w:r>
              <w:rPr>
                <w:b/>
                <w:bCs/>
                <w:color w:val="auto"/>
                <w:sz w:val="24"/>
                <w:highlight w:val="none"/>
                <w:lang w:bidi="ar"/>
              </w:rPr>
              <w:t>长春市北郊污水处理厂</w:t>
            </w:r>
            <w:r>
              <w:rPr>
                <w:b/>
                <w:bCs/>
                <w:color w:val="auto"/>
                <w:sz w:val="24"/>
                <w:highlight w:val="none"/>
              </w:rPr>
              <w:t>可行性分析</w:t>
            </w:r>
          </w:p>
          <w:p>
            <w:pPr>
              <w:pStyle w:val="63"/>
              <w:spacing w:line="360" w:lineRule="auto"/>
              <w:ind w:firstLine="480" w:firstLineChars="200"/>
              <w:rPr>
                <w:color w:val="auto"/>
                <w:highlight w:val="none"/>
              </w:rPr>
            </w:pPr>
            <w:r>
              <w:rPr>
                <w:rFonts w:hint="eastAsia" w:ascii="Times New Roman" w:hAnsi="Times New Roman" w:eastAsia="宋体" w:cs="Times New Roman"/>
                <w:color w:val="auto"/>
                <w:kern w:val="2"/>
                <w:sz w:val="24"/>
                <w:szCs w:val="24"/>
                <w:highlight w:val="none"/>
                <w:u w:val="none"/>
                <w:lang w:val="en-US" w:eastAsia="zh-CN" w:bidi="ar"/>
              </w:rPr>
              <w:t>长春市北郊污水处理厂位于长春市宽城区团山街北环城路伊通河下游，主要对伊通河两岸排水区的生活污水和少量工业废水进行处理，经开区（南区）建成区全部进入长春市北郊污水处理厂</w:t>
            </w:r>
            <w:r>
              <w:rPr>
                <w:color w:val="auto"/>
                <w:sz w:val="24"/>
                <w:highlight w:val="none"/>
                <w:lang w:bidi="ar"/>
              </w:rPr>
              <w:t>。</w:t>
            </w:r>
            <w:r>
              <w:rPr>
                <w:rFonts w:hint="eastAsia"/>
                <w:color w:val="auto"/>
                <w:sz w:val="24"/>
                <w:highlight w:val="none"/>
                <w:lang w:val="en-US" w:eastAsia="zh-CN" w:bidi="ar"/>
              </w:rPr>
              <w:t>污水厂</w:t>
            </w:r>
            <w:r>
              <w:rPr>
                <w:rFonts w:hint="eastAsia" w:ascii="Times New Roman" w:hAnsi="Times New Roman" w:eastAsia="宋体" w:cs="Times New Roman"/>
                <w:color w:val="auto"/>
                <w:kern w:val="2"/>
                <w:sz w:val="24"/>
                <w:szCs w:val="24"/>
                <w:highlight w:val="none"/>
                <w:u w:val="none"/>
                <w:lang w:val="en-US" w:eastAsia="zh-CN" w:bidi="ar"/>
              </w:rPr>
              <w:t>2015年完成扩建及提标改造工程，处理总规模达78万m</w:t>
            </w:r>
            <w:r>
              <w:rPr>
                <w:rFonts w:hint="eastAsia" w:ascii="Times New Roman" w:hAnsi="Times New Roman" w:eastAsia="宋体" w:cs="Times New Roman"/>
                <w:color w:val="auto"/>
                <w:kern w:val="2"/>
                <w:sz w:val="24"/>
                <w:szCs w:val="24"/>
                <w:highlight w:val="none"/>
                <w:u w:val="none"/>
                <w:vertAlign w:val="superscript"/>
                <w:lang w:val="en-US" w:eastAsia="zh-CN" w:bidi="ar"/>
              </w:rPr>
              <w:t>3/</w:t>
            </w:r>
            <w:r>
              <w:rPr>
                <w:rFonts w:hint="eastAsia" w:ascii="Times New Roman" w:hAnsi="Times New Roman" w:eastAsia="宋体" w:cs="Times New Roman"/>
                <w:color w:val="auto"/>
                <w:kern w:val="2"/>
                <w:sz w:val="24"/>
                <w:szCs w:val="24"/>
                <w:highlight w:val="none"/>
                <w:u w:val="none"/>
                <w:lang w:val="en-US" w:eastAsia="zh-CN" w:bidi="ar"/>
              </w:rPr>
              <w:t>d。长春市北郊污水处理厂</w:t>
            </w:r>
            <w:r>
              <w:rPr>
                <w:rFonts w:hint="eastAsia"/>
                <w:color w:val="auto"/>
                <w:sz w:val="24"/>
                <w:szCs w:val="24"/>
                <w:highlight w:val="none"/>
                <w:lang w:val="en-US" w:eastAsia="zh-CN"/>
              </w:rPr>
              <w:t>污水处理工艺主要为粗格栅、提升泵、螺旋榨鼓转式细格栅、旋流沉砂池及平流式初沉池；二级生化处理采用前置反硝化A</w:t>
            </w:r>
            <w:r>
              <w:rPr>
                <w:rFonts w:hint="eastAsia"/>
                <w:color w:val="auto"/>
                <w:sz w:val="24"/>
                <w:szCs w:val="24"/>
                <w:highlight w:val="none"/>
                <w:vertAlign w:val="superscript"/>
                <w:lang w:val="en-US" w:eastAsia="zh-CN"/>
              </w:rPr>
              <w:t>2</w:t>
            </w:r>
            <w:r>
              <w:rPr>
                <w:rFonts w:hint="eastAsia"/>
                <w:color w:val="auto"/>
                <w:sz w:val="24"/>
                <w:szCs w:val="24"/>
                <w:highlight w:val="none"/>
                <w:lang w:val="en-US" w:eastAsia="zh-CN"/>
              </w:rPr>
              <w:t>/O工艺；二级处理出水经过高密度沉淀池、滤布滤池、紫外消毒间进行三级处理，最后出水排放至伊通河</w:t>
            </w:r>
            <w:r>
              <w:rPr>
                <w:rFonts w:hint="eastAsia" w:ascii="Times New Roman" w:hAnsi="Times New Roman" w:eastAsia="宋体" w:cs="Times New Roman"/>
                <w:color w:val="auto"/>
                <w:kern w:val="2"/>
                <w:sz w:val="24"/>
                <w:szCs w:val="24"/>
                <w:highlight w:val="none"/>
                <w:u w:val="none"/>
                <w:lang w:val="en-US" w:eastAsia="zh-CN" w:bidi="ar"/>
              </w:rPr>
              <w:t>，</w:t>
            </w:r>
            <w:r>
              <w:rPr>
                <w:rFonts w:hint="eastAsia" w:ascii="Times New Roman" w:hAnsi="Times New Roman" w:cs="Times New Roman"/>
                <w:bCs/>
                <w:i w:val="0"/>
                <w:iCs w:val="0"/>
                <w:color w:val="auto"/>
                <w:sz w:val="24"/>
                <w:highlight w:val="none"/>
                <w:u w:val="none"/>
                <w:lang w:val="en-US" w:eastAsia="zh-CN"/>
              </w:rPr>
              <w:t>现阶段污水厂进水量为74.82万m</w:t>
            </w:r>
            <w:r>
              <w:rPr>
                <w:rFonts w:hint="eastAsia" w:ascii="Times New Roman" w:hAnsi="Times New Roman" w:cs="Times New Roman"/>
                <w:bCs/>
                <w:i w:val="0"/>
                <w:iCs w:val="0"/>
                <w:color w:val="auto"/>
                <w:sz w:val="24"/>
                <w:highlight w:val="none"/>
                <w:u w:val="none"/>
                <w:vertAlign w:val="superscript"/>
                <w:lang w:val="en-US" w:eastAsia="zh-CN"/>
              </w:rPr>
              <w:t>3</w:t>
            </w:r>
            <w:r>
              <w:rPr>
                <w:rFonts w:hint="eastAsia" w:ascii="Times New Roman" w:hAnsi="Times New Roman" w:cs="Times New Roman"/>
                <w:bCs/>
                <w:i w:val="0"/>
                <w:iCs w:val="0"/>
                <w:color w:val="auto"/>
                <w:sz w:val="24"/>
                <w:highlight w:val="none"/>
                <w:u w:val="none"/>
                <w:lang w:val="en-US" w:eastAsia="zh-CN"/>
              </w:rPr>
              <w:t>/d</w:t>
            </w:r>
            <w:r>
              <w:rPr>
                <w:rFonts w:hint="eastAsia" w:ascii="Times New Roman" w:hAnsi="Times New Roman" w:eastAsia="宋体" w:cs="Times New Roman"/>
                <w:color w:val="auto"/>
                <w:kern w:val="2"/>
                <w:sz w:val="24"/>
                <w:szCs w:val="24"/>
                <w:highlight w:val="none"/>
                <w:u w:val="none"/>
                <w:lang w:val="en-US" w:eastAsia="zh-CN" w:bidi="ar"/>
              </w:rPr>
              <w:t>，</w:t>
            </w:r>
            <w:r>
              <w:rPr>
                <w:rFonts w:hint="eastAsia" w:ascii="Times New Roman" w:hAnsi="Times New Roman" w:cs="Times New Roman"/>
                <w:bCs/>
                <w:i w:val="0"/>
                <w:iCs w:val="0"/>
                <w:color w:val="auto"/>
                <w:sz w:val="24"/>
                <w:highlight w:val="none"/>
                <w:u w:val="none"/>
                <w:lang w:val="en-US" w:eastAsia="zh-CN"/>
              </w:rPr>
              <w:t>尚有3.18万m</w:t>
            </w:r>
            <w:r>
              <w:rPr>
                <w:rFonts w:hint="eastAsia" w:ascii="Times New Roman" w:hAnsi="Times New Roman" w:cs="Times New Roman"/>
                <w:bCs/>
                <w:i w:val="0"/>
                <w:iCs w:val="0"/>
                <w:color w:val="auto"/>
                <w:sz w:val="24"/>
                <w:highlight w:val="none"/>
                <w:u w:val="none"/>
                <w:vertAlign w:val="superscript"/>
                <w:lang w:val="en-US" w:eastAsia="zh-CN"/>
              </w:rPr>
              <w:t>3</w:t>
            </w:r>
            <w:r>
              <w:rPr>
                <w:rFonts w:hint="eastAsia" w:ascii="Times New Roman" w:hAnsi="Times New Roman" w:cs="Times New Roman"/>
                <w:bCs/>
                <w:i w:val="0"/>
                <w:iCs w:val="0"/>
                <w:color w:val="auto"/>
                <w:sz w:val="24"/>
                <w:highlight w:val="none"/>
                <w:u w:val="none"/>
                <w:lang w:val="en-US" w:eastAsia="zh-CN"/>
              </w:rPr>
              <w:t>/d余量</w:t>
            </w:r>
            <w:r>
              <w:rPr>
                <w:rFonts w:hint="default" w:ascii="Times New Roman" w:hAnsi="Times New Roman" w:eastAsia="宋体" w:cs="Times New Roman"/>
                <w:color w:val="auto"/>
                <w:kern w:val="2"/>
                <w:sz w:val="24"/>
                <w:szCs w:val="24"/>
                <w:highlight w:val="none"/>
                <w:u w:val="none"/>
                <w:lang w:val="en-US" w:eastAsia="zh-CN" w:bidi="ar"/>
              </w:rPr>
              <w:t>，目前</w:t>
            </w:r>
            <w:r>
              <w:rPr>
                <w:rFonts w:hint="eastAsia" w:ascii="Times New Roman" w:hAnsi="Times New Roman" w:eastAsia="宋体" w:cs="Times New Roman"/>
                <w:color w:val="auto"/>
                <w:kern w:val="2"/>
                <w:sz w:val="24"/>
                <w:szCs w:val="24"/>
                <w:highlight w:val="none"/>
                <w:u w:val="none"/>
                <w:lang w:val="en-US" w:eastAsia="zh-CN" w:bidi="ar"/>
              </w:rPr>
              <w:t>长春市北郊污水处理厂</w:t>
            </w:r>
            <w:r>
              <w:rPr>
                <w:rFonts w:hint="default" w:ascii="Times New Roman" w:hAnsi="Times New Roman" w:eastAsia="宋体" w:cs="Times New Roman"/>
                <w:color w:val="auto"/>
                <w:kern w:val="2"/>
                <w:sz w:val="24"/>
                <w:szCs w:val="24"/>
                <w:highlight w:val="none"/>
                <w:u w:val="none"/>
                <w:lang w:val="en-US" w:eastAsia="zh-CN" w:bidi="ar"/>
              </w:rPr>
              <w:t>具有较大的余量，</w:t>
            </w:r>
            <w:r>
              <w:rPr>
                <w:rFonts w:hint="default" w:ascii="Times New Roman" w:hAnsi="Times New Roman" w:cs="Times New Roman"/>
                <w:i w:val="0"/>
                <w:iCs w:val="0"/>
                <w:color w:val="auto"/>
                <w:sz w:val="24"/>
                <w:highlight w:val="none"/>
                <w:u w:val="none"/>
                <w:lang w:val="en-US" w:eastAsia="zh-CN"/>
              </w:rPr>
              <w:t>本项目排水量约为</w:t>
            </w:r>
            <w:r>
              <w:rPr>
                <w:rFonts w:hint="eastAsia" w:cs="Times New Roman"/>
                <w:i w:val="0"/>
                <w:iCs w:val="0"/>
                <w:color w:val="auto"/>
                <w:sz w:val="24"/>
                <w:highlight w:val="none"/>
                <w:u w:val="none"/>
                <w:lang w:val="en-US" w:eastAsia="zh-CN"/>
              </w:rPr>
              <w:t>1</w:t>
            </w:r>
            <w:r>
              <w:rPr>
                <w:rFonts w:hint="eastAsia" w:ascii="Times New Roman" w:hAnsi="Times New Roman" w:cs="Times New Roman"/>
                <w:i w:val="0"/>
                <w:iCs w:val="0"/>
                <w:color w:val="auto"/>
                <w:sz w:val="24"/>
                <w:highlight w:val="none"/>
                <w:u w:val="none"/>
                <w:lang w:val="en-US" w:eastAsia="zh-CN"/>
              </w:rPr>
              <w:t>m</w:t>
            </w:r>
            <w:r>
              <w:rPr>
                <w:rFonts w:hint="eastAsia" w:ascii="Times New Roman" w:hAnsi="Times New Roman" w:cs="Times New Roman"/>
                <w:i w:val="0"/>
                <w:iCs w:val="0"/>
                <w:color w:val="auto"/>
                <w:sz w:val="24"/>
                <w:highlight w:val="none"/>
                <w:u w:val="none"/>
                <w:vertAlign w:val="superscript"/>
                <w:lang w:val="en-US" w:eastAsia="zh-CN"/>
              </w:rPr>
              <w:t>3</w:t>
            </w:r>
            <w:r>
              <w:rPr>
                <w:rFonts w:hint="default" w:ascii="Times New Roman" w:hAnsi="Times New Roman" w:cs="Times New Roman"/>
                <w:i w:val="0"/>
                <w:iCs w:val="0"/>
                <w:color w:val="auto"/>
                <w:sz w:val="24"/>
                <w:highlight w:val="none"/>
                <w:u w:val="none"/>
                <w:lang w:val="en-US" w:eastAsia="zh-CN"/>
              </w:rPr>
              <w:t>/</w:t>
            </w:r>
            <w:r>
              <w:rPr>
                <w:rFonts w:hint="eastAsia" w:ascii="Times New Roman" w:hAnsi="Times New Roman" w:cs="Times New Roman"/>
                <w:i w:val="0"/>
                <w:iCs w:val="0"/>
                <w:color w:val="auto"/>
                <w:sz w:val="24"/>
                <w:highlight w:val="none"/>
                <w:u w:val="none"/>
                <w:lang w:val="en-US" w:eastAsia="zh-CN"/>
              </w:rPr>
              <w:t>d</w:t>
            </w:r>
            <w:r>
              <w:rPr>
                <w:rFonts w:hint="default" w:ascii="Times New Roman" w:hAnsi="Times New Roman" w:cs="Times New Roman"/>
                <w:i w:val="0"/>
                <w:iCs w:val="0"/>
                <w:color w:val="auto"/>
                <w:sz w:val="24"/>
                <w:highlight w:val="none"/>
                <w:u w:val="none"/>
                <w:lang w:val="en-US" w:eastAsia="zh-CN"/>
              </w:rPr>
              <w:t>，</w:t>
            </w:r>
            <w:r>
              <w:rPr>
                <w:rFonts w:hint="eastAsia" w:ascii="Times New Roman" w:hAnsi="Times New Roman" w:cs="Times New Roman"/>
                <w:i w:val="0"/>
                <w:iCs w:val="0"/>
                <w:color w:val="auto"/>
                <w:sz w:val="24"/>
                <w:highlight w:val="none"/>
                <w:u w:val="none"/>
                <w:lang w:val="en-US" w:eastAsia="zh-CN"/>
              </w:rPr>
              <w:t>污水量排量较少，</w:t>
            </w:r>
            <w:r>
              <w:rPr>
                <w:rFonts w:hint="default" w:ascii="Times New Roman" w:hAnsi="Times New Roman" w:eastAsia="宋体" w:cs="Times New Roman"/>
                <w:color w:val="auto"/>
                <w:kern w:val="2"/>
                <w:sz w:val="24"/>
                <w:szCs w:val="24"/>
                <w:highlight w:val="none"/>
                <w:u w:val="none"/>
                <w:lang w:val="en-US" w:eastAsia="zh-CN" w:bidi="ar"/>
              </w:rPr>
              <w:t>余量能够满足本项目产生的废水排放量。</w:t>
            </w:r>
            <w:r>
              <w:rPr>
                <w:color w:val="auto"/>
                <w:highlight w:val="none"/>
              </w:rPr>
              <w:t>本项目在长春市北郊污水处理厂管网服务范围内，且周边污水管网已敷设到位，通过污水管网接入污水处理厂是可行的。</w:t>
            </w:r>
          </w:p>
          <w:p>
            <w:pPr>
              <w:keepNext w:val="0"/>
              <w:keepLines w:val="0"/>
              <w:widowControl/>
              <w:suppressLineNumbers w:val="0"/>
              <w:spacing w:line="360" w:lineRule="auto"/>
              <w:ind w:firstLine="480" w:firstLineChars="200"/>
              <w:jc w:val="both"/>
              <w:rPr>
                <w:rFonts w:hint="default" w:ascii="Times New Roman" w:hAnsi="Times New Roman" w:eastAsia="宋体" w:cs="Times New Roman"/>
                <w:b/>
                <w:bCs/>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u w:val="none"/>
                <w:lang w:val="en-US" w:eastAsia="zh-CN" w:bidi="ar"/>
              </w:rPr>
              <w:t>同时</w:t>
            </w:r>
            <w:r>
              <w:rPr>
                <w:rFonts w:hint="default" w:ascii="Times New Roman" w:hAnsi="Times New Roman" w:eastAsia="宋体" w:cs="Times New Roman"/>
                <w:color w:val="auto"/>
                <w:kern w:val="2"/>
                <w:sz w:val="24"/>
                <w:szCs w:val="24"/>
                <w:highlight w:val="none"/>
                <w:u w:val="none"/>
                <w:lang w:val="en-US" w:eastAsia="zh-CN" w:bidi="ar"/>
              </w:rPr>
              <w:t>排水水质满足污水厂的进水水质要求</w:t>
            </w:r>
            <w:r>
              <w:rPr>
                <w:rFonts w:hint="eastAsia" w:ascii="Times New Roman" w:hAnsi="Times New Roman" w:eastAsia="宋体" w:cs="Times New Roman"/>
                <w:color w:val="auto"/>
                <w:kern w:val="2"/>
                <w:sz w:val="24"/>
                <w:szCs w:val="24"/>
                <w:highlight w:val="none"/>
                <w:u w:val="none"/>
                <w:lang w:val="en-US" w:eastAsia="zh-CN" w:bidi="ar"/>
              </w:rPr>
              <w:t>，可依托其处理，不会对其造成影响</w:t>
            </w:r>
            <w:r>
              <w:rPr>
                <w:rFonts w:hint="default" w:ascii="Times New Roman" w:hAnsi="Times New Roman" w:eastAsia="宋体" w:cs="Times New Roman"/>
                <w:color w:val="auto"/>
                <w:kern w:val="2"/>
                <w:sz w:val="24"/>
                <w:szCs w:val="24"/>
                <w:highlight w:val="none"/>
                <w:u w:val="none"/>
                <w:lang w:val="en-US" w:eastAsia="zh-CN" w:bidi="ar"/>
              </w:rPr>
              <w:t>。污水处理工艺详见下图，进水水质要求详见下表，</w:t>
            </w:r>
            <w:r>
              <w:rPr>
                <w:rFonts w:hint="eastAsia" w:ascii="Times New Roman" w:hAnsi="Times New Roman" w:eastAsia="宋体" w:cs="Times New Roman"/>
                <w:i w:val="0"/>
                <w:iCs w:val="0"/>
                <w:color w:val="auto"/>
                <w:kern w:val="0"/>
                <w:sz w:val="24"/>
                <w:szCs w:val="24"/>
                <w:highlight w:val="none"/>
                <w:lang w:val="en-US" w:eastAsia="zh-CN"/>
              </w:rPr>
              <w:t>长春市北郊污水处理厂</w:t>
            </w:r>
            <w:r>
              <w:rPr>
                <w:rFonts w:hint="default" w:ascii="Times New Roman" w:hAnsi="Times New Roman" w:eastAsia="宋体" w:cs="Times New Roman"/>
                <w:color w:val="auto"/>
                <w:kern w:val="2"/>
                <w:sz w:val="24"/>
                <w:szCs w:val="24"/>
                <w:highlight w:val="none"/>
                <w:u w:val="none"/>
                <w:lang w:val="en-US" w:eastAsia="zh-CN" w:bidi="ar"/>
              </w:rPr>
              <w:t>出水水质执行标准为</w:t>
            </w:r>
            <w:r>
              <w:rPr>
                <w:rFonts w:hint="eastAsia" w:ascii="Times New Roman" w:hAnsi="Times New Roman" w:eastAsia="宋体" w:cs="Times New Roman"/>
                <w:color w:val="auto"/>
                <w:kern w:val="2"/>
                <w:sz w:val="24"/>
                <w:szCs w:val="24"/>
                <w:highlight w:val="none"/>
                <w:u w:val="none"/>
                <w:lang w:val="en-US" w:eastAsia="zh-CN" w:bidi="ar"/>
              </w:rPr>
              <w:t>《城镇污水处理厂污染物排放标准》（GB 18918-2002）中一级A标准</w:t>
            </w:r>
            <w:r>
              <w:rPr>
                <w:rFonts w:hint="default" w:ascii="Times New Roman" w:hAnsi="Times New Roman" w:eastAsia="宋体" w:cs="Times New Roman"/>
                <w:color w:val="auto"/>
                <w:kern w:val="2"/>
                <w:sz w:val="24"/>
                <w:szCs w:val="24"/>
                <w:highlight w:val="none"/>
                <w:u w:val="none"/>
                <w:lang w:val="en-US" w:eastAsia="zh-CN" w:bidi="ar"/>
              </w:rPr>
              <w:t>。</w:t>
            </w:r>
          </w:p>
          <w:p>
            <w:pPr>
              <w:adjustRightInd w:val="0"/>
              <w:snapToGrid w:val="0"/>
              <w:jc w:val="center"/>
              <w:rPr>
                <w:rFonts w:hint="default" w:ascii="Times New Roman" w:hAnsi="Times New Roman" w:cs="Times New Roman"/>
                <w:b/>
                <w:i w:val="0"/>
                <w:iCs w:val="0"/>
                <w:color w:val="auto"/>
                <w:sz w:val="24"/>
                <w:highlight w:val="none"/>
                <w:shd w:val="clear" w:color="auto" w:fill="auto"/>
              </w:rPr>
            </w:pPr>
            <w:r>
              <w:rPr>
                <w:rFonts w:hint="default" w:ascii="Times New Roman" w:hAnsi="Times New Roman" w:cs="Times New Roman"/>
                <w:b/>
                <w:i w:val="0"/>
                <w:iCs w:val="0"/>
                <w:color w:val="auto"/>
                <w:sz w:val="24"/>
                <w:highlight w:val="none"/>
                <w:shd w:val="clear" w:color="auto" w:fill="auto"/>
              </w:rPr>
              <w:t>表</w:t>
            </w:r>
            <w:r>
              <w:rPr>
                <w:rFonts w:hint="eastAsia" w:ascii="Times New Roman" w:hAnsi="Times New Roman" w:cs="Times New Roman"/>
                <w:b/>
                <w:i w:val="0"/>
                <w:iCs w:val="0"/>
                <w:color w:val="auto"/>
                <w:sz w:val="24"/>
                <w:highlight w:val="none"/>
                <w:shd w:val="clear" w:color="auto" w:fill="auto"/>
                <w:lang w:val="en-US" w:eastAsia="zh-CN"/>
              </w:rPr>
              <w:t>4-</w:t>
            </w:r>
            <w:r>
              <w:rPr>
                <w:rFonts w:hint="eastAsia" w:cs="Times New Roman"/>
                <w:b/>
                <w:i w:val="0"/>
                <w:iCs w:val="0"/>
                <w:color w:val="auto"/>
                <w:sz w:val="24"/>
                <w:highlight w:val="none"/>
                <w:shd w:val="clear" w:color="auto" w:fill="auto"/>
                <w:lang w:val="en-US" w:eastAsia="zh-CN"/>
              </w:rPr>
              <w:t>5</w:t>
            </w:r>
            <w:r>
              <w:rPr>
                <w:rFonts w:hint="default" w:ascii="Times New Roman" w:hAnsi="Times New Roman" w:cs="Times New Roman"/>
                <w:b/>
                <w:i w:val="0"/>
                <w:iCs w:val="0"/>
                <w:color w:val="auto"/>
                <w:sz w:val="24"/>
                <w:highlight w:val="none"/>
                <w:shd w:val="clear" w:color="auto" w:fill="auto"/>
              </w:rPr>
              <w:t xml:space="preserve"> </w:t>
            </w:r>
            <w:r>
              <w:rPr>
                <w:rFonts w:hint="default" w:ascii="Times New Roman" w:hAnsi="Times New Roman" w:cs="Times New Roman"/>
                <w:b/>
                <w:i w:val="0"/>
                <w:iCs w:val="0"/>
                <w:color w:val="auto"/>
                <w:sz w:val="24"/>
                <w:highlight w:val="none"/>
                <w:shd w:val="clear" w:color="auto" w:fill="auto"/>
                <w:lang w:val="en-US" w:eastAsia="zh-CN"/>
              </w:rPr>
              <w:t xml:space="preserve"> </w:t>
            </w:r>
            <w:r>
              <w:rPr>
                <w:b/>
                <w:color w:val="auto"/>
                <w:kern w:val="0"/>
                <w:sz w:val="24"/>
                <w:highlight w:val="none"/>
              </w:rPr>
              <w:t>废水排放水质与污水厂进水水质对比表</w:t>
            </w:r>
            <w:r>
              <w:rPr>
                <w:rFonts w:hint="default" w:ascii="Times New Roman" w:hAnsi="Times New Roman" w:cs="Times New Roman"/>
                <w:b/>
                <w:i w:val="0"/>
                <w:iCs w:val="0"/>
                <w:color w:val="auto"/>
                <w:sz w:val="24"/>
                <w:highlight w:val="none"/>
                <w:shd w:val="clear" w:color="auto" w:fill="auto"/>
              </w:rPr>
              <w:t xml:space="preserve">    单位：mg/L</w:t>
            </w:r>
          </w:p>
          <w:tbl>
            <w:tblPr>
              <w:tblStyle w:val="30"/>
              <w:tblW w:w="48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28" w:type="dxa"/>
                <w:bottom w:w="0" w:type="dxa"/>
                <w:right w:w="28" w:type="dxa"/>
              </w:tblCellMar>
            </w:tblPr>
            <w:tblGrid>
              <w:gridCol w:w="3664"/>
              <w:gridCol w:w="780"/>
              <w:gridCol w:w="750"/>
              <w:gridCol w:w="600"/>
              <w:gridCol w:w="787"/>
              <w:gridCol w:w="899"/>
              <w:gridCol w:w="736"/>
            </w:tblGrid>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cantSplit/>
                <w:trHeight w:val="90" w:hRule="atLeast"/>
                <w:jc w:val="center"/>
              </w:trPr>
              <w:tc>
                <w:tcPr>
                  <w:tcW w:w="2229" w:type="pct"/>
                  <w:tcBorders>
                    <w:tl2br w:val="nil"/>
                    <w:tr2bl w:val="nil"/>
                  </w:tcBorders>
                  <w:noWrap w:val="0"/>
                  <w:vAlign w:val="center"/>
                </w:tcPr>
                <w:p>
                  <w:pPr>
                    <w:jc w:val="center"/>
                    <w:rPr>
                      <w:rFonts w:hint="default" w:ascii="Times New Roman" w:hAnsi="Times New Roman" w:eastAsia="宋体" w:cs="Times New Roman"/>
                      <w:i w:val="0"/>
                      <w:iCs w:val="0"/>
                      <w:color w:val="auto"/>
                      <w:highlight w:val="none"/>
                      <w:shd w:val="clear" w:color="auto" w:fill="auto"/>
                      <w:lang w:val="zh-CN"/>
                    </w:rPr>
                  </w:pPr>
                  <w:r>
                    <w:rPr>
                      <w:rFonts w:hint="default" w:ascii="Times New Roman" w:hAnsi="Times New Roman" w:eastAsia="宋体" w:cs="Times New Roman"/>
                      <w:i w:val="0"/>
                      <w:iCs w:val="0"/>
                      <w:color w:val="auto"/>
                      <w:highlight w:val="none"/>
                      <w:shd w:val="clear" w:color="auto" w:fill="auto"/>
                      <w:lang w:val="zh-CN"/>
                    </w:rPr>
                    <w:t>污染物</w:t>
                  </w:r>
                </w:p>
              </w:tc>
              <w:tc>
                <w:tcPr>
                  <w:tcW w:w="474" w:type="pct"/>
                  <w:tcBorders>
                    <w:tl2br w:val="nil"/>
                    <w:tr2bl w:val="nil"/>
                  </w:tcBorders>
                  <w:noWrap w:val="0"/>
                  <w:vAlign w:val="center"/>
                </w:tcPr>
                <w:p>
                  <w:pPr>
                    <w:jc w:val="center"/>
                    <w:rPr>
                      <w:rFonts w:hint="default" w:ascii="Times New Roman" w:hAnsi="Times New Roman" w:eastAsia="宋体" w:cs="Times New Roman"/>
                      <w:i w:val="0"/>
                      <w:iCs w:val="0"/>
                      <w:color w:val="auto"/>
                      <w:highlight w:val="none"/>
                      <w:shd w:val="clear" w:color="auto" w:fill="auto"/>
                      <w:lang w:val="zh-CN"/>
                    </w:rPr>
                  </w:pPr>
                  <w:r>
                    <w:rPr>
                      <w:rFonts w:hint="default" w:ascii="Times New Roman" w:hAnsi="Times New Roman" w:eastAsia="宋体" w:cs="Times New Roman"/>
                      <w:i w:val="0"/>
                      <w:iCs w:val="0"/>
                      <w:color w:val="auto"/>
                      <w:highlight w:val="none"/>
                      <w:shd w:val="clear" w:color="auto" w:fill="auto"/>
                      <w:lang w:val="zh-CN"/>
                    </w:rPr>
                    <w:t>COD</w:t>
                  </w:r>
                </w:p>
              </w:tc>
              <w:tc>
                <w:tcPr>
                  <w:tcW w:w="456" w:type="pct"/>
                  <w:tcBorders>
                    <w:tl2br w:val="nil"/>
                    <w:tr2bl w:val="nil"/>
                  </w:tcBorders>
                  <w:noWrap w:val="0"/>
                  <w:vAlign w:val="center"/>
                </w:tcPr>
                <w:p>
                  <w:pPr>
                    <w:jc w:val="center"/>
                    <w:rPr>
                      <w:rFonts w:hint="default" w:ascii="Times New Roman" w:hAnsi="Times New Roman" w:eastAsia="宋体" w:cs="Times New Roman"/>
                      <w:i w:val="0"/>
                      <w:iCs w:val="0"/>
                      <w:color w:val="auto"/>
                      <w:highlight w:val="none"/>
                      <w:shd w:val="clear" w:color="auto" w:fill="auto"/>
                      <w:lang w:val="zh-CN"/>
                    </w:rPr>
                  </w:pPr>
                  <w:r>
                    <w:rPr>
                      <w:rFonts w:hint="default" w:ascii="Times New Roman" w:hAnsi="Times New Roman" w:eastAsia="宋体" w:cs="Times New Roman"/>
                      <w:i w:val="0"/>
                      <w:iCs w:val="0"/>
                      <w:color w:val="auto"/>
                      <w:highlight w:val="none"/>
                      <w:shd w:val="clear" w:color="auto" w:fill="auto"/>
                      <w:lang w:val="zh-CN"/>
                    </w:rPr>
                    <w:t>BOD</w:t>
                  </w:r>
                  <w:r>
                    <w:rPr>
                      <w:rFonts w:hint="default" w:ascii="Times New Roman" w:hAnsi="Times New Roman" w:eastAsia="宋体" w:cs="Times New Roman"/>
                      <w:i w:val="0"/>
                      <w:iCs w:val="0"/>
                      <w:color w:val="auto"/>
                      <w:highlight w:val="none"/>
                      <w:shd w:val="clear" w:color="auto" w:fill="auto"/>
                      <w:vertAlign w:val="subscript"/>
                      <w:lang w:val="zh-CN"/>
                    </w:rPr>
                    <w:t>5</w:t>
                  </w:r>
                </w:p>
              </w:tc>
              <w:tc>
                <w:tcPr>
                  <w:tcW w:w="365" w:type="pct"/>
                  <w:tcBorders>
                    <w:tl2br w:val="nil"/>
                    <w:tr2bl w:val="nil"/>
                  </w:tcBorders>
                  <w:noWrap w:val="0"/>
                  <w:vAlign w:val="center"/>
                </w:tcPr>
                <w:p>
                  <w:pPr>
                    <w:jc w:val="center"/>
                    <w:rPr>
                      <w:rFonts w:hint="default" w:ascii="Times New Roman" w:hAnsi="Times New Roman" w:eastAsia="宋体" w:cs="Times New Roman"/>
                      <w:i w:val="0"/>
                      <w:iCs w:val="0"/>
                      <w:color w:val="auto"/>
                      <w:highlight w:val="none"/>
                      <w:shd w:val="clear" w:color="auto" w:fill="auto"/>
                      <w:lang w:val="zh-CN"/>
                    </w:rPr>
                  </w:pPr>
                  <w:r>
                    <w:rPr>
                      <w:rFonts w:hint="default" w:ascii="Times New Roman" w:hAnsi="Times New Roman" w:eastAsia="宋体" w:cs="Times New Roman"/>
                      <w:i w:val="0"/>
                      <w:iCs w:val="0"/>
                      <w:color w:val="auto"/>
                      <w:highlight w:val="none"/>
                      <w:shd w:val="clear" w:color="auto" w:fill="auto"/>
                      <w:lang w:val="zh-CN"/>
                    </w:rPr>
                    <w:t>SS</w:t>
                  </w:r>
                </w:p>
              </w:tc>
              <w:tc>
                <w:tcPr>
                  <w:tcW w:w="478" w:type="pct"/>
                  <w:tcBorders>
                    <w:tl2br w:val="nil"/>
                    <w:tr2bl w:val="nil"/>
                  </w:tcBorders>
                  <w:noWrap w:val="0"/>
                  <w:vAlign w:val="center"/>
                </w:tcPr>
                <w:p>
                  <w:pPr>
                    <w:jc w:val="center"/>
                    <w:rPr>
                      <w:rFonts w:hint="default" w:ascii="Times New Roman" w:hAnsi="Times New Roman" w:eastAsia="宋体" w:cs="Times New Roman"/>
                      <w:i w:val="0"/>
                      <w:iCs w:val="0"/>
                      <w:color w:val="auto"/>
                      <w:highlight w:val="none"/>
                      <w:shd w:val="clear" w:color="auto" w:fill="auto"/>
                      <w:lang w:val="en-US" w:eastAsia="zh-CN"/>
                    </w:rPr>
                  </w:pPr>
                  <w:r>
                    <w:rPr>
                      <w:rFonts w:hint="default" w:ascii="Times New Roman" w:hAnsi="Times New Roman" w:eastAsia="宋体" w:cs="Times New Roman"/>
                      <w:i w:val="0"/>
                      <w:iCs w:val="0"/>
                      <w:color w:val="auto"/>
                      <w:highlight w:val="none"/>
                      <w:shd w:val="clear" w:color="auto" w:fill="auto"/>
                      <w:lang w:val="en-US" w:eastAsia="zh-CN"/>
                    </w:rPr>
                    <w:t>TN</w:t>
                  </w:r>
                </w:p>
              </w:tc>
              <w:tc>
                <w:tcPr>
                  <w:tcW w:w="547" w:type="pct"/>
                  <w:tcBorders>
                    <w:tl2br w:val="nil"/>
                    <w:tr2bl w:val="nil"/>
                  </w:tcBorders>
                  <w:noWrap w:val="0"/>
                  <w:vAlign w:val="center"/>
                </w:tcPr>
                <w:p>
                  <w:pPr>
                    <w:jc w:val="center"/>
                    <w:rPr>
                      <w:rFonts w:hint="default" w:ascii="Times New Roman" w:hAnsi="Times New Roman" w:eastAsia="宋体" w:cs="Times New Roman"/>
                      <w:i w:val="0"/>
                      <w:iCs w:val="0"/>
                      <w:color w:val="auto"/>
                      <w:highlight w:val="none"/>
                      <w:shd w:val="clear" w:color="auto" w:fill="auto"/>
                      <w:lang w:val="en-US" w:eastAsia="zh-CN"/>
                    </w:rPr>
                  </w:pPr>
                  <w:r>
                    <w:rPr>
                      <w:rFonts w:hint="default" w:ascii="Times New Roman" w:hAnsi="Times New Roman" w:eastAsia="宋体" w:cs="Times New Roman"/>
                      <w:i w:val="0"/>
                      <w:iCs w:val="0"/>
                      <w:color w:val="auto"/>
                      <w:highlight w:val="none"/>
                      <w:shd w:val="clear" w:color="auto" w:fill="auto"/>
                      <w:lang w:val="en-US" w:eastAsia="zh-CN"/>
                    </w:rPr>
                    <w:t>TP</w:t>
                  </w:r>
                </w:p>
              </w:tc>
              <w:tc>
                <w:tcPr>
                  <w:tcW w:w="447" w:type="pct"/>
                  <w:tcBorders>
                    <w:tl2br w:val="nil"/>
                    <w:tr2bl w:val="nil"/>
                  </w:tcBorders>
                  <w:noWrap w:val="0"/>
                  <w:vAlign w:val="center"/>
                </w:tcPr>
                <w:p>
                  <w:pPr>
                    <w:jc w:val="center"/>
                    <w:rPr>
                      <w:rFonts w:hint="default" w:ascii="Times New Roman" w:hAnsi="Times New Roman" w:eastAsia="宋体" w:cs="Times New Roman"/>
                      <w:i w:val="0"/>
                      <w:iCs w:val="0"/>
                      <w:color w:val="auto"/>
                      <w:highlight w:val="none"/>
                      <w:shd w:val="clear" w:color="auto" w:fill="auto"/>
                      <w:lang w:val="en-US" w:eastAsia="zh-CN"/>
                    </w:rPr>
                  </w:pPr>
                  <w:r>
                    <w:rPr>
                      <w:rFonts w:hint="eastAsia" w:ascii="Times New Roman" w:hAnsi="Times New Roman" w:eastAsia="宋体" w:cs="Times New Roman"/>
                      <w:i w:val="0"/>
                      <w:iCs w:val="0"/>
                      <w:color w:val="auto"/>
                      <w:highlight w:val="none"/>
                      <w:shd w:val="clear" w:color="auto" w:fill="auto"/>
                      <w:lang w:val="en-US" w:eastAsia="zh-CN"/>
                    </w:rPr>
                    <w:t>氨氮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cantSplit/>
                <w:trHeight w:val="90" w:hRule="atLeast"/>
                <w:jc w:val="center"/>
              </w:trPr>
              <w:tc>
                <w:tcPr>
                  <w:tcW w:w="2229" w:type="pct"/>
                  <w:tcBorders>
                    <w:tl2br w:val="nil"/>
                    <w:tr2bl w:val="nil"/>
                  </w:tcBorders>
                  <w:noWrap w:val="0"/>
                  <w:vAlign w:val="center"/>
                </w:tcPr>
                <w:p>
                  <w:pPr>
                    <w:jc w:val="center"/>
                    <w:rPr>
                      <w:rFonts w:hint="default" w:ascii="Times New Roman" w:hAnsi="Times New Roman" w:eastAsia="宋体" w:cs="Times New Roman"/>
                      <w:i w:val="0"/>
                      <w:iCs w:val="0"/>
                      <w:color w:val="auto"/>
                      <w:highlight w:val="none"/>
                      <w:shd w:val="clear" w:color="auto" w:fill="auto"/>
                      <w:lang w:val="zh-CN"/>
                    </w:rPr>
                  </w:pPr>
                  <w:r>
                    <w:rPr>
                      <w:color w:val="auto"/>
                      <w:szCs w:val="21"/>
                      <w:highlight w:val="none"/>
                    </w:rPr>
                    <w:t>本项目综合废水排放浓度</w:t>
                  </w:r>
                </w:p>
              </w:tc>
              <w:tc>
                <w:tcPr>
                  <w:tcW w:w="474"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4"/>
                      <w:highlight w:val="none"/>
                      <w:lang w:val="zh-CN"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250</w:t>
                  </w:r>
                </w:p>
              </w:tc>
              <w:tc>
                <w:tcPr>
                  <w:tcW w:w="456"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4"/>
                      <w:highlight w:val="none"/>
                      <w:lang w:val="zh-CN"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120</w:t>
                  </w:r>
                </w:p>
              </w:tc>
              <w:tc>
                <w:tcPr>
                  <w:tcW w:w="365"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4"/>
                      <w:highlight w:val="none"/>
                      <w:lang w:val="zh-CN"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164</w:t>
                  </w:r>
                </w:p>
              </w:tc>
              <w:tc>
                <w:tcPr>
                  <w:tcW w:w="478" w:type="pct"/>
                  <w:tcBorders>
                    <w:tl2br w:val="nil"/>
                    <w:tr2bl w:val="nil"/>
                  </w:tcBorders>
                  <w:noWrap w:val="0"/>
                  <w:vAlign w:val="center"/>
                </w:tcPr>
                <w:p>
                  <w:pPr>
                    <w:jc w:val="center"/>
                    <w:rPr>
                      <w:rFonts w:hint="default" w:ascii="Times New Roman" w:hAnsi="Times New Roman" w:eastAsia="宋体" w:cs="Times New Roman"/>
                      <w:i w:val="0"/>
                      <w:iCs w:val="0"/>
                      <w:color w:val="auto"/>
                      <w:highlight w:val="none"/>
                      <w:shd w:val="clear" w:color="auto" w:fill="auto"/>
                      <w:lang w:val="en-US" w:eastAsia="zh-CN"/>
                    </w:rPr>
                  </w:pPr>
                  <w:r>
                    <w:rPr>
                      <w:rFonts w:hint="eastAsia" w:ascii="Times New Roman" w:hAnsi="Times New Roman" w:eastAsia="宋体" w:cs="Times New Roman"/>
                      <w:i w:val="0"/>
                      <w:iCs w:val="0"/>
                      <w:color w:val="auto"/>
                      <w:highlight w:val="none"/>
                      <w:shd w:val="clear" w:color="auto" w:fill="auto"/>
                      <w:lang w:val="en-US" w:eastAsia="zh-CN"/>
                    </w:rPr>
                    <w:t>/</w:t>
                  </w:r>
                </w:p>
              </w:tc>
              <w:tc>
                <w:tcPr>
                  <w:tcW w:w="547" w:type="pct"/>
                  <w:tcBorders>
                    <w:tl2br w:val="nil"/>
                    <w:tr2bl w:val="nil"/>
                  </w:tcBorders>
                  <w:noWrap w:val="0"/>
                  <w:vAlign w:val="center"/>
                </w:tcPr>
                <w:p>
                  <w:pPr>
                    <w:jc w:val="center"/>
                    <w:rPr>
                      <w:rFonts w:hint="default" w:ascii="Times New Roman" w:hAnsi="Times New Roman" w:eastAsia="宋体" w:cs="Times New Roman"/>
                      <w:i w:val="0"/>
                      <w:iCs w:val="0"/>
                      <w:color w:val="auto"/>
                      <w:highlight w:val="none"/>
                      <w:shd w:val="clear" w:color="auto" w:fill="auto"/>
                      <w:lang w:val="en-US" w:eastAsia="zh-CN"/>
                    </w:rPr>
                  </w:pPr>
                  <w:r>
                    <w:rPr>
                      <w:rFonts w:hint="eastAsia" w:ascii="Times New Roman" w:hAnsi="Times New Roman" w:eastAsia="宋体" w:cs="Times New Roman"/>
                      <w:i w:val="0"/>
                      <w:iCs w:val="0"/>
                      <w:color w:val="auto"/>
                      <w:highlight w:val="none"/>
                      <w:shd w:val="clear" w:color="auto" w:fill="auto"/>
                      <w:lang w:val="en-US" w:eastAsia="zh-CN"/>
                    </w:rPr>
                    <w:t>/</w:t>
                  </w:r>
                </w:p>
              </w:tc>
              <w:tc>
                <w:tcPr>
                  <w:tcW w:w="447" w:type="pct"/>
                  <w:tcBorders>
                    <w:tl2br w:val="nil"/>
                    <w:tr2bl w:val="nil"/>
                  </w:tcBorders>
                  <w:noWrap w:val="0"/>
                  <w:vAlign w:val="center"/>
                </w:tcPr>
                <w:p>
                  <w:pPr>
                    <w:jc w:val="center"/>
                    <w:rPr>
                      <w:rFonts w:hint="default" w:ascii="Times New Roman" w:hAnsi="Times New Roman" w:eastAsia="宋体" w:cs="Times New Roman"/>
                      <w:i w:val="0"/>
                      <w:iCs w:val="0"/>
                      <w:color w:val="auto"/>
                      <w:highlight w:val="none"/>
                      <w:shd w:val="clear" w:color="auto" w:fill="auto"/>
                      <w:lang w:val="en-US" w:eastAsia="zh-CN"/>
                    </w:rPr>
                  </w:pPr>
                  <w:r>
                    <w:rPr>
                      <w:rFonts w:hint="eastAsia" w:ascii="Times New Roman" w:hAnsi="Times New Roman" w:eastAsia="宋体" w:cs="Times New Roman"/>
                      <w:i w:val="0"/>
                      <w:iCs w:val="0"/>
                      <w:color w:val="auto"/>
                      <w:highlight w:val="none"/>
                      <w:shd w:val="clear" w:color="auto" w:fill="auto"/>
                      <w:lang w:val="en-US" w:eastAsia="zh-CN"/>
                    </w:rPr>
                    <w:t>20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cantSplit/>
                <w:trHeight w:val="259" w:hRule="atLeast"/>
                <w:jc w:val="center"/>
              </w:trPr>
              <w:tc>
                <w:tcPr>
                  <w:tcW w:w="2229" w:type="pct"/>
                  <w:tcBorders>
                    <w:tl2br w:val="nil"/>
                    <w:tr2bl w:val="nil"/>
                  </w:tcBorders>
                  <w:noWrap w:val="0"/>
                  <w:vAlign w:val="center"/>
                </w:tcPr>
                <w:p>
                  <w:pPr>
                    <w:jc w:val="center"/>
                    <w:rPr>
                      <w:rFonts w:hint="default" w:ascii="Times New Roman" w:hAnsi="Times New Roman" w:eastAsia="宋体" w:cs="Times New Roman"/>
                      <w:i w:val="0"/>
                      <w:iCs w:val="0"/>
                      <w:color w:val="auto"/>
                      <w:highlight w:val="none"/>
                      <w:shd w:val="clear" w:color="auto" w:fill="auto"/>
                      <w:lang w:val="zh-CN"/>
                    </w:rPr>
                  </w:pPr>
                  <w:r>
                    <w:rPr>
                      <w:rFonts w:hint="eastAsia" w:ascii="Times New Roman" w:hAnsi="Times New Roman" w:eastAsia="宋体" w:cs="Times New Roman"/>
                      <w:i w:val="0"/>
                      <w:iCs w:val="0"/>
                      <w:color w:val="auto"/>
                      <w:highlight w:val="none"/>
                      <w:shd w:val="clear" w:color="auto" w:fill="auto"/>
                      <w:lang w:val="zh-CN" w:eastAsia="zh-CN"/>
                    </w:rPr>
                    <w:t>长春水务集团城市排水有限责任公司长春市北郊污水处理厂</w:t>
                  </w:r>
                  <w:r>
                    <w:rPr>
                      <w:rFonts w:hint="default" w:ascii="Times New Roman" w:hAnsi="Times New Roman" w:eastAsia="宋体" w:cs="Times New Roman"/>
                      <w:i w:val="0"/>
                      <w:iCs w:val="0"/>
                      <w:color w:val="auto"/>
                      <w:highlight w:val="none"/>
                      <w:shd w:val="clear" w:color="auto" w:fill="auto"/>
                      <w:lang w:val="zh-CN" w:eastAsia="zh-CN"/>
                    </w:rPr>
                    <w:t>进水水质标准</w:t>
                  </w:r>
                </w:p>
              </w:tc>
              <w:tc>
                <w:tcPr>
                  <w:tcW w:w="474" w:type="pct"/>
                  <w:tcBorders>
                    <w:tl2br w:val="nil"/>
                    <w:tr2bl w:val="nil"/>
                  </w:tcBorders>
                  <w:noWrap w:val="0"/>
                  <w:vAlign w:val="center"/>
                </w:tcPr>
                <w:p>
                  <w:pPr>
                    <w:jc w:val="center"/>
                    <w:rPr>
                      <w:rFonts w:hint="default" w:ascii="Times New Roman" w:hAnsi="Times New Roman" w:eastAsia="宋体" w:cs="Times New Roman"/>
                      <w:i w:val="0"/>
                      <w:iCs w:val="0"/>
                      <w:color w:val="auto"/>
                      <w:highlight w:val="none"/>
                      <w:shd w:val="clear" w:color="auto" w:fill="auto"/>
                      <w:lang w:val="en-US"/>
                    </w:rPr>
                  </w:pPr>
                  <w:r>
                    <w:rPr>
                      <w:rFonts w:hint="eastAsia" w:ascii="Times New Roman" w:hAnsi="Times New Roman" w:eastAsia="宋体" w:cs="Times New Roman"/>
                      <w:i w:val="0"/>
                      <w:iCs w:val="0"/>
                      <w:color w:val="auto"/>
                      <w:highlight w:val="none"/>
                      <w:shd w:val="clear" w:color="auto" w:fill="auto"/>
                      <w:lang w:val="en-US" w:eastAsia="zh-CN"/>
                    </w:rPr>
                    <w:t>430</w:t>
                  </w:r>
                </w:p>
              </w:tc>
              <w:tc>
                <w:tcPr>
                  <w:tcW w:w="456" w:type="pct"/>
                  <w:tcBorders>
                    <w:tl2br w:val="nil"/>
                    <w:tr2bl w:val="nil"/>
                  </w:tcBorders>
                  <w:noWrap w:val="0"/>
                  <w:vAlign w:val="center"/>
                </w:tcPr>
                <w:p>
                  <w:pPr>
                    <w:jc w:val="center"/>
                    <w:rPr>
                      <w:rFonts w:hint="default" w:ascii="Times New Roman" w:hAnsi="Times New Roman" w:eastAsia="宋体" w:cs="Times New Roman"/>
                      <w:i w:val="0"/>
                      <w:iCs w:val="0"/>
                      <w:color w:val="auto"/>
                      <w:highlight w:val="none"/>
                      <w:shd w:val="clear" w:color="auto" w:fill="auto"/>
                      <w:lang w:val="en-US"/>
                    </w:rPr>
                  </w:pPr>
                  <w:r>
                    <w:rPr>
                      <w:rFonts w:hint="eastAsia" w:ascii="Times New Roman" w:hAnsi="Times New Roman" w:eastAsia="宋体" w:cs="Times New Roman"/>
                      <w:i w:val="0"/>
                      <w:iCs w:val="0"/>
                      <w:color w:val="auto"/>
                      <w:highlight w:val="none"/>
                      <w:shd w:val="clear" w:color="auto" w:fill="auto"/>
                      <w:lang w:val="en-US" w:eastAsia="zh-CN"/>
                    </w:rPr>
                    <w:t>150</w:t>
                  </w:r>
                </w:p>
              </w:tc>
              <w:tc>
                <w:tcPr>
                  <w:tcW w:w="365" w:type="pct"/>
                  <w:tcBorders>
                    <w:tl2br w:val="nil"/>
                    <w:tr2bl w:val="nil"/>
                  </w:tcBorders>
                  <w:noWrap w:val="0"/>
                  <w:vAlign w:val="center"/>
                </w:tcPr>
                <w:p>
                  <w:pPr>
                    <w:jc w:val="center"/>
                    <w:rPr>
                      <w:rFonts w:hint="default" w:ascii="Times New Roman" w:hAnsi="Times New Roman" w:eastAsia="宋体" w:cs="Times New Roman"/>
                      <w:i w:val="0"/>
                      <w:iCs w:val="0"/>
                      <w:color w:val="auto"/>
                      <w:highlight w:val="none"/>
                      <w:shd w:val="clear" w:color="auto" w:fill="auto"/>
                      <w:lang w:val="en-US"/>
                    </w:rPr>
                  </w:pPr>
                  <w:r>
                    <w:rPr>
                      <w:rFonts w:hint="eastAsia" w:ascii="Times New Roman" w:hAnsi="Times New Roman" w:eastAsia="宋体" w:cs="Times New Roman"/>
                      <w:i w:val="0"/>
                      <w:iCs w:val="0"/>
                      <w:color w:val="auto"/>
                      <w:highlight w:val="none"/>
                      <w:shd w:val="clear" w:color="auto" w:fill="auto"/>
                      <w:lang w:val="en-US" w:eastAsia="zh-CN"/>
                    </w:rPr>
                    <w:t>242</w:t>
                  </w:r>
                </w:p>
              </w:tc>
              <w:tc>
                <w:tcPr>
                  <w:tcW w:w="478" w:type="pct"/>
                  <w:tcBorders>
                    <w:tl2br w:val="nil"/>
                    <w:tr2bl w:val="nil"/>
                  </w:tcBorders>
                  <w:noWrap w:val="0"/>
                  <w:vAlign w:val="center"/>
                </w:tcPr>
                <w:p>
                  <w:pPr>
                    <w:jc w:val="center"/>
                    <w:rPr>
                      <w:rFonts w:hint="default" w:ascii="Times New Roman" w:hAnsi="Times New Roman" w:eastAsia="宋体" w:cs="Times New Roman"/>
                      <w:i w:val="0"/>
                      <w:iCs w:val="0"/>
                      <w:color w:val="auto"/>
                      <w:highlight w:val="none"/>
                      <w:shd w:val="clear" w:color="auto" w:fill="auto"/>
                      <w:lang w:val="en-US" w:eastAsia="zh-CN"/>
                    </w:rPr>
                  </w:pPr>
                  <w:r>
                    <w:rPr>
                      <w:rFonts w:hint="eastAsia" w:ascii="Times New Roman" w:hAnsi="Times New Roman" w:eastAsia="宋体" w:cs="Times New Roman"/>
                      <w:i w:val="0"/>
                      <w:iCs w:val="0"/>
                      <w:color w:val="auto"/>
                      <w:highlight w:val="none"/>
                      <w:shd w:val="clear" w:color="auto" w:fill="auto"/>
                      <w:lang w:val="en-US" w:eastAsia="zh-CN"/>
                    </w:rPr>
                    <w:t>32</w:t>
                  </w:r>
                </w:p>
              </w:tc>
              <w:tc>
                <w:tcPr>
                  <w:tcW w:w="547" w:type="pct"/>
                  <w:tcBorders>
                    <w:tl2br w:val="nil"/>
                    <w:tr2bl w:val="nil"/>
                  </w:tcBorders>
                  <w:noWrap w:val="0"/>
                  <w:vAlign w:val="center"/>
                </w:tcPr>
                <w:p>
                  <w:pPr>
                    <w:jc w:val="center"/>
                    <w:rPr>
                      <w:rFonts w:hint="eastAsia" w:ascii="Times New Roman" w:hAnsi="Times New Roman" w:eastAsia="宋体" w:cs="Times New Roman"/>
                      <w:i w:val="0"/>
                      <w:iCs w:val="0"/>
                      <w:color w:val="auto"/>
                      <w:highlight w:val="none"/>
                      <w:shd w:val="clear" w:color="auto" w:fill="auto"/>
                      <w:lang w:val="en-US" w:eastAsia="zh-CN"/>
                    </w:rPr>
                  </w:pPr>
                  <w:r>
                    <w:rPr>
                      <w:rFonts w:hint="eastAsia" w:ascii="Times New Roman" w:hAnsi="Times New Roman" w:eastAsia="宋体" w:cs="Times New Roman"/>
                      <w:i w:val="0"/>
                      <w:iCs w:val="0"/>
                      <w:color w:val="auto"/>
                      <w:highlight w:val="none"/>
                      <w:shd w:val="clear" w:color="auto" w:fill="auto"/>
                      <w:lang w:val="en-US" w:eastAsia="zh-CN"/>
                    </w:rPr>
                    <w:t>5</w:t>
                  </w:r>
                </w:p>
              </w:tc>
              <w:tc>
                <w:tcPr>
                  <w:tcW w:w="447" w:type="pct"/>
                  <w:tcBorders>
                    <w:tl2br w:val="nil"/>
                    <w:tr2bl w:val="nil"/>
                  </w:tcBorders>
                  <w:noWrap w:val="0"/>
                  <w:vAlign w:val="center"/>
                </w:tcPr>
                <w:p>
                  <w:pPr>
                    <w:jc w:val="center"/>
                    <w:rPr>
                      <w:rFonts w:hint="eastAsia" w:ascii="Times New Roman" w:hAnsi="Times New Roman" w:eastAsia="宋体" w:cs="Times New Roman"/>
                      <w:i w:val="0"/>
                      <w:iCs w:val="0"/>
                      <w:color w:val="auto"/>
                      <w:highlight w:val="none"/>
                      <w:shd w:val="clear" w:color="auto" w:fill="auto"/>
                      <w:lang w:val="en-US" w:eastAsia="zh-CN"/>
                    </w:rPr>
                  </w:pPr>
                  <w:r>
                    <w:rPr>
                      <w:rFonts w:hint="eastAsia" w:ascii="Times New Roman" w:hAnsi="Times New Roman" w:eastAsia="宋体" w:cs="Times New Roman"/>
                      <w:i w:val="0"/>
                      <w:iCs w:val="0"/>
                      <w:color w:val="auto"/>
                      <w:highlight w:val="none"/>
                      <w:shd w:val="clear" w:color="auto" w:fill="auto"/>
                      <w:lang w:val="en-US" w:eastAsia="zh-CN"/>
                    </w:rPr>
                    <w:t>24</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Cs/>
                <w:color w:val="auto"/>
                <w:sz w:val="24"/>
                <w:szCs w:val="24"/>
                <w:highlight w:val="none"/>
              </w:rPr>
            </w:pPr>
            <w:r>
              <w:rPr>
                <w:color w:val="auto"/>
                <w:highlight w:val="none"/>
              </w:rPr>
              <w:drawing>
                <wp:inline distT="0" distB="0" distL="114300" distR="114300">
                  <wp:extent cx="4906645" cy="3110865"/>
                  <wp:effectExtent l="0" t="0" r="8255" b="13335"/>
                  <wp:docPr id="9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4"/>
                          <pic:cNvPicPr>
                            <a:picLocks noChangeAspect="1"/>
                          </pic:cNvPicPr>
                        </pic:nvPicPr>
                        <pic:blipFill>
                          <a:blip r:embed="rId8"/>
                          <a:stretch>
                            <a:fillRect/>
                          </a:stretch>
                        </pic:blipFill>
                        <pic:spPr>
                          <a:xfrm>
                            <a:off x="0" y="0"/>
                            <a:ext cx="4906645" cy="311086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color w:val="auto"/>
                <w:sz w:val="24"/>
                <w:highlight w:val="none"/>
              </w:rPr>
            </w:pPr>
            <w:r>
              <w:rPr>
                <w:rFonts w:hint="default" w:ascii="Times New Roman" w:hAnsi="Times New Roman" w:cs="Times New Roman"/>
                <w:b/>
                <w:bCs/>
                <w:color w:val="auto"/>
                <w:kern w:val="0"/>
                <w:sz w:val="24"/>
                <w:szCs w:val="24"/>
                <w:highlight w:val="none"/>
              </w:rPr>
              <w:t>图</w:t>
            </w:r>
            <w:r>
              <w:rPr>
                <w:rFonts w:hint="eastAsia" w:cs="Times New Roman"/>
                <w:b/>
                <w:bCs/>
                <w:color w:val="auto"/>
                <w:kern w:val="0"/>
                <w:sz w:val="24"/>
                <w:szCs w:val="24"/>
                <w:highlight w:val="none"/>
                <w:lang w:val="en-US" w:eastAsia="zh-CN"/>
              </w:rPr>
              <w:t>4-1</w:t>
            </w:r>
            <w:r>
              <w:rPr>
                <w:rFonts w:hint="eastAsia" w:ascii="Times New Roman" w:hAnsi="Times New Roman" w:cs="Times New Roman"/>
                <w:b/>
                <w:bCs/>
                <w:color w:val="auto"/>
                <w:kern w:val="0"/>
                <w:sz w:val="24"/>
                <w:szCs w:val="24"/>
                <w:highlight w:val="none"/>
                <w:lang w:val="en-US" w:eastAsia="zh-CN"/>
              </w:rPr>
              <w:t xml:space="preserve"> </w:t>
            </w:r>
            <w:r>
              <w:rPr>
                <w:rFonts w:hint="default" w:ascii="Times New Roman" w:hAnsi="Times New Roman" w:cs="Times New Roman"/>
                <w:b/>
                <w:bCs/>
                <w:color w:val="auto"/>
                <w:kern w:val="0"/>
                <w:sz w:val="24"/>
                <w:szCs w:val="24"/>
                <w:highlight w:val="none"/>
              </w:rPr>
              <w:t xml:space="preserve">  </w:t>
            </w:r>
            <w:r>
              <w:rPr>
                <w:rFonts w:hint="eastAsia" w:ascii="Times New Roman" w:hAnsi="Times New Roman" w:cs="Times New Roman"/>
                <w:b/>
                <w:bCs/>
                <w:color w:val="auto"/>
                <w:kern w:val="0"/>
                <w:sz w:val="24"/>
                <w:szCs w:val="24"/>
                <w:highlight w:val="none"/>
                <w:lang w:eastAsia="zh-CN"/>
              </w:rPr>
              <w:t>北郊</w:t>
            </w:r>
            <w:r>
              <w:rPr>
                <w:rFonts w:hint="default" w:ascii="Times New Roman" w:hAnsi="Times New Roman" w:cs="Times New Roman"/>
                <w:b/>
                <w:bCs/>
                <w:color w:val="auto"/>
                <w:kern w:val="0"/>
                <w:sz w:val="24"/>
                <w:szCs w:val="24"/>
                <w:highlight w:val="none"/>
              </w:rPr>
              <w:t>污水处理厂工艺流程示意图</w:t>
            </w:r>
          </w:p>
          <w:p>
            <w:pPr>
              <w:widowControl/>
              <w:spacing w:line="360" w:lineRule="auto"/>
              <w:ind w:firstLine="482" w:firstLineChars="200"/>
              <w:rPr>
                <w:b/>
                <w:bCs/>
                <w:color w:val="auto"/>
                <w:sz w:val="24"/>
                <w:highlight w:val="none"/>
              </w:rPr>
            </w:pPr>
            <w:r>
              <w:rPr>
                <w:b/>
                <w:bCs/>
                <w:color w:val="auto"/>
                <w:sz w:val="24"/>
                <w:highlight w:val="none"/>
              </w:rPr>
              <w:t>2.3达标排放及环境影响分析</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本项目运营处产生废水为职工生活污水、循环冷却水排水，混合废水水质为：COD≤</w:t>
            </w:r>
            <w:r>
              <w:rPr>
                <w:rFonts w:hint="default" w:ascii="Times New Roman" w:hAnsi="Times New Roman" w:cs="Times New Roman"/>
                <w:color w:val="auto"/>
                <w:sz w:val="24"/>
                <w:highlight w:val="none"/>
                <w:lang w:val="en-US" w:eastAsia="zh-CN"/>
              </w:rPr>
              <w:t>250</w:t>
            </w:r>
            <w:r>
              <w:rPr>
                <w:rFonts w:hint="default" w:ascii="Times New Roman" w:hAnsi="Times New Roman" w:cs="Times New Roman"/>
                <w:color w:val="auto"/>
                <w:sz w:val="24"/>
                <w:highlight w:val="none"/>
              </w:rPr>
              <w:t>mg/l，SS≤</w:t>
            </w:r>
            <w:r>
              <w:rPr>
                <w:rFonts w:hint="default" w:ascii="Times New Roman" w:hAnsi="Times New Roman" w:cs="Times New Roman"/>
                <w:color w:val="auto"/>
                <w:sz w:val="24"/>
                <w:highlight w:val="none"/>
                <w:lang w:val="en-US" w:eastAsia="zh-CN"/>
              </w:rPr>
              <w:t>164</w:t>
            </w:r>
            <w:r>
              <w:rPr>
                <w:rFonts w:hint="default" w:ascii="Times New Roman" w:hAnsi="Times New Roman" w:cs="Times New Roman"/>
                <w:color w:val="auto"/>
                <w:sz w:val="24"/>
                <w:highlight w:val="none"/>
              </w:rPr>
              <w:t>mg/l，BOD</w:t>
            </w:r>
            <w:r>
              <w:rPr>
                <w:rFonts w:hint="default" w:ascii="Times New Roman" w:hAnsi="Times New Roman" w:cs="Times New Roman"/>
                <w:color w:val="auto"/>
                <w:sz w:val="24"/>
                <w:highlight w:val="none"/>
                <w:vertAlign w:val="subscript"/>
              </w:rPr>
              <w:t>5</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120</w:t>
            </w:r>
            <w:r>
              <w:rPr>
                <w:rFonts w:hint="default" w:ascii="Times New Roman" w:hAnsi="Times New Roman" w:cs="Times New Roman"/>
                <w:color w:val="auto"/>
                <w:sz w:val="24"/>
                <w:highlight w:val="none"/>
              </w:rPr>
              <w:t>mg/l，氨氮≤</w:t>
            </w:r>
            <w:r>
              <w:rPr>
                <w:rFonts w:hint="default" w:ascii="Times New Roman" w:hAnsi="Times New Roman" w:cs="Times New Roman"/>
                <w:color w:val="auto"/>
                <w:sz w:val="24"/>
                <w:highlight w:val="none"/>
                <w:lang w:val="en-US" w:eastAsia="zh-CN"/>
              </w:rPr>
              <w:t>20</w:t>
            </w:r>
            <w:r>
              <w:rPr>
                <w:rFonts w:hint="default" w:ascii="Times New Roman" w:hAnsi="Times New Roman" w:cs="Times New Roman"/>
                <w:color w:val="auto"/>
                <w:sz w:val="24"/>
                <w:highlight w:val="none"/>
              </w:rPr>
              <w:t>mg/l，可满足《污水综合排放标准》（GB8978-1996）中的三级排放标准要求。废水经市政污水管网排至长春市北郊污水处理厂，处理达标后排入伊通河。长春市北郊污水处理厂出水水质执行《城镇污水处理厂污染物排放标准》（GB18918--2002）一级A标准排放。</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总上所述，项目运营期废水均达标排放，故对地表水环境影响较小。</w:t>
            </w:r>
          </w:p>
          <w:p>
            <w:pPr>
              <w:widowControl/>
              <w:spacing w:line="360" w:lineRule="auto"/>
              <w:ind w:firstLine="482" w:firstLineChars="200"/>
              <w:rPr>
                <w:b/>
                <w:bCs/>
                <w:color w:val="auto"/>
                <w:sz w:val="24"/>
                <w:highlight w:val="none"/>
              </w:rPr>
            </w:pPr>
            <w:r>
              <w:rPr>
                <w:b/>
                <w:bCs/>
                <w:color w:val="auto"/>
                <w:sz w:val="24"/>
                <w:highlight w:val="none"/>
              </w:rPr>
              <w:t>2.4排放口设置及监测要求</w:t>
            </w:r>
          </w:p>
          <w:p>
            <w:pPr>
              <w:spacing w:line="360" w:lineRule="auto"/>
              <w:ind w:firstLine="480" w:firstLineChars="200"/>
              <w:rPr>
                <w:b/>
                <w:bCs/>
                <w:color w:val="auto"/>
                <w:sz w:val="24"/>
                <w:highlight w:val="none"/>
              </w:rPr>
            </w:pPr>
            <w:r>
              <w:rPr>
                <w:color w:val="auto"/>
                <w:sz w:val="24"/>
                <w:highlight w:val="none"/>
              </w:rPr>
              <w:t>本项目废水排放口基本情况见下表。</w:t>
            </w:r>
          </w:p>
          <w:p>
            <w:pPr>
              <w:jc w:val="center"/>
              <w:rPr>
                <w:b/>
                <w:bCs/>
                <w:color w:val="auto"/>
                <w:sz w:val="24"/>
                <w:highlight w:val="none"/>
              </w:rPr>
            </w:pPr>
            <w:r>
              <w:rPr>
                <w:b/>
                <w:bCs/>
                <w:color w:val="auto"/>
                <w:sz w:val="24"/>
                <w:highlight w:val="none"/>
              </w:rPr>
              <w:t>表4-</w:t>
            </w:r>
            <w:r>
              <w:rPr>
                <w:rFonts w:hint="eastAsia"/>
                <w:b/>
                <w:bCs/>
                <w:color w:val="auto"/>
                <w:sz w:val="24"/>
                <w:highlight w:val="none"/>
                <w:lang w:val="en-US" w:eastAsia="zh-CN"/>
              </w:rPr>
              <w:t>6</w:t>
            </w:r>
            <w:r>
              <w:rPr>
                <w:b/>
                <w:bCs/>
                <w:color w:val="auto"/>
                <w:sz w:val="24"/>
                <w:highlight w:val="none"/>
              </w:rPr>
              <w:t xml:space="preserve">    排放口基本情况</w:t>
            </w:r>
          </w:p>
          <w:tbl>
            <w:tblPr>
              <w:tblStyle w:val="30"/>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39"/>
              <w:gridCol w:w="956"/>
              <w:gridCol w:w="1669"/>
              <w:gridCol w:w="2432"/>
              <w:gridCol w:w="1101"/>
              <w:gridCol w:w="15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380" w:type="pct"/>
                  <w:vAlign w:val="center"/>
                </w:tcPr>
                <w:p>
                  <w:pPr>
                    <w:jc w:val="center"/>
                    <w:rPr>
                      <w:color w:val="auto"/>
                      <w:szCs w:val="21"/>
                      <w:highlight w:val="none"/>
                    </w:rPr>
                  </w:pPr>
                  <w:r>
                    <w:rPr>
                      <w:color w:val="auto"/>
                      <w:szCs w:val="21"/>
                      <w:highlight w:val="none"/>
                    </w:rPr>
                    <w:t>编号</w:t>
                  </w:r>
                </w:p>
              </w:tc>
              <w:tc>
                <w:tcPr>
                  <w:tcW w:w="569" w:type="pct"/>
                  <w:vAlign w:val="center"/>
                </w:tcPr>
                <w:p>
                  <w:pPr>
                    <w:jc w:val="center"/>
                    <w:rPr>
                      <w:color w:val="auto"/>
                      <w:szCs w:val="21"/>
                      <w:highlight w:val="none"/>
                    </w:rPr>
                  </w:pPr>
                  <w:r>
                    <w:rPr>
                      <w:color w:val="auto"/>
                      <w:szCs w:val="21"/>
                      <w:highlight w:val="none"/>
                    </w:rPr>
                    <w:t>名称</w:t>
                  </w:r>
                </w:p>
              </w:tc>
              <w:tc>
                <w:tcPr>
                  <w:tcW w:w="994" w:type="pct"/>
                  <w:vAlign w:val="center"/>
                </w:tcPr>
                <w:p>
                  <w:pPr>
                    <w:jc w:val="center"/>
                    <w:rPr>
                      <w:color w:val="auto"/>
                      <w:szCs w:val="21"/>
                      <w:highlight w:val="none"/>
                    </w:rPr>
                  </w:pPr>
                  <w:r>
                    <w:rPr>
                      <w:color w:val="auto"/>
                      <w:szCs w:val="21"/>
                      <w:highlight w:val="none"/>
                    </w:rPr>
                    <w:t>排放规律</w:t>
                  </w:r>
                </w:p>
              </w:tc>
              <w:tc>
                <w:tcPr>
                  <w:tcW w:w="1449" w:type="pct"/>
                  <w:vAlign w:val="center"/>
                </w:tcPr>
                <w:p>
                  <w:pPr>
                    <w:jc w:val="center"/>
                    <w:rPr>
                      <w:color w:val="auto"/>
                      <w:szCs w:val="21"/>
                      <w:highlight w:val="none"/>
                    </w:rPr>
                  </w:pPr>
                  <w:r>
                    <w:rPr>
                      <w:color w:val="auto"/>
                      <w:szCs w:val="21"/>
                      <w:highlight w:val="none"/>
                    </w:rPr>
                    <w:t>排放去向</w:t>
                  </w:r>
                </w:p>
              </w:tc>
              <w:tc>
                <w:tcPr>
                  <w:tcW w:w="656" w:type="pct"/>
                  <w:vAlign w:val="center"/>
                </w:tcPr>
                <w:p>
                  <w:pPr>
                    <w:jc w:val="center"/>
                    <w:rPr>
                      <w:color w:val="auto"/>
                      <w:szCs w:val="21"/>
                      <w:highlight w:val="none"/>
                    </w:rPr>
                  </w:pPr>
                  <w:r>
                    <w:rPr>
                      <w:color w:val="auto"/>
                      <w:szCs w:val="21"/>
                      <w:highlight w:val="none"/>
                    </w:rPr>
                    <w:t>类型</w:t>
                  </w:r>
                </w:p>
              </w:tc>
              <w:tc>
                <w:tcPr>
                  <w:tcW w:w="947" w:type="pct"/>
                  <w:vAlign w:val="center"/>
                </w:tcPr>
                <w:p>
                  <w:pPr>
                    <w:jc w:val="center"/>
                    <w:rPr>
                      <w:color w:val="auto"/>
                      <w:szCs w:val="21"/>
                      <w:highlight w:val="none"/>
                    </w:rPr>
                  </w:pPr>
                  <w:r>
                    <w:rPr>
                      <w:color w:val="auto"/>
                      <w:szCs w:val="21"/>
                      <w:highlight w:val="none"/>
                    </w:rPr>
                    <w:t>地理坐标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80" w:type="pct"/>
                  <w:vAlign w:val="center"/>
                </w:tcPr>
                <w:p>
                  <w:pPr>
                    <w:adjustRightInd w:val="0"/>
                    <w:snapToGrid w:val="0"/>
                    <w:jc w:val="center"/>
                    <w:rPr>
                      <w:color w:val="auto"/>
                      <w:szCs w:val="21"/>
                      <w:highlight w:val="none"/>
                    </w:rPr>
                  </w:pPr>
                  <w:r>
                    <w:rPr>
                      <w:bCs/>
                      <w:color w:val="auto"/>
                      <w:szCs w:val="21"/>
                      <w:highlight w:val="none"/>
                    </w:rPr>
                    <w:t>DW001</w:t>
                  </w:r>
                </w:p>
              </w:tc>
              <w:tc>
                <w:tcPr>
                  <w:tcW w:w="569" w:type="pct"/>
                  <w:vAlign w:val="center"/>
                </w:tcPr>
                <w:p>
                  <w:pPr>
                    <w:jc w:val="center"/>
                    <w:rPr>
                      <w:color w:val="auto"/>
                      <w:szCs w:val="21"/>
                      <w:highlight w:val="none"/>
                    </w:rPr>
                  </w:pPr>
                  <w:r>
                    <w:rPr>
                      <w:bCs/>
                      <w:color w:val="auto"/>
                      <w:szCs w:val="21"/>
                      <w:highlight w:val="none"/>
                    </w:rPr>
                    <w:t>废水总排放口</w:t>
                  </w:r>
                </w:p>
              </w:tc>
              <w:tc>
                <w:tcPr>
                  <w:tcW w:w="994" w:type="pct"/>
                  <w:vAlign w:val="center"/>
                </w:tcPr>
                <w:p>
                  <w:pPr>
                    <w:jc w:val="center"/>
                    <w:rPr>
                      <w:color w:val="auto"/>
                      <w:szCs w:val="21"/>
                      <w:highlight w:val="none"/>
                    </w:rPr>
                  </w:pPr>
                  <w:r>
                    <w:rPr>
                      <w:color w:val="auto"/>
                      <w:szCs w:val="21"/>
                      <w:highlight w:val="none"/>
                    </w:rPr>
                    <w:t>间断排放，排放期间流量稳定</w:t>
                  </w:r>
                </w:p>
              </w:tc>
              <w:tc>
                <w:tcPr>
                  <w:tcW w:w="1449" w:type="pct"/>
                  <w:vAlign w:val="center"/>
                </w:tcPr>
                <w:p>
                  <w:pPr>
                    <w:jc w:val="center"/>
                    <w:rPr>
                      <w:color w:val="auto"/>
                      <w:szCs w:val="21"/>
                      <w:highlight w:val="none"/>
                    </w:rPr>
                  </w:pPr>
                  <w:r>
                    <w:rPr>
                      <w:color w:val="auto"/>
                      <w:szCs w:val="21"/>
                      <w:highlight w:val="none"/>
                    </w:rPr>
                    <w:t>经市政污水管网排入长春市北郊污水处理厂</w:t>
                  </w:r>
                </w:p>
              </w:tc>
              <w:tc>
                <w:tcPr>
                  <w:tcW w:w="656" w:type="pct"/>
                  <w:vAlign w:val="center"/>
                </w:tcPr>
                <w:p>
                  <w:pPr>
                    <w:jc w:val="center"/>
                    <w:rPr>
                      <w:color w:val="auto"/>
                      <w:szCs w:val="21"/>
                      <w:highlight w:val="none"/>
                    </w:rPr>
                  </w:pPr>
                  <w:r>
                    <w:rPr>
                      <w:color w:val="auto"/>
                      <w:szCs w:val="21"/>
                      <w:highlight w:val="none"/>
                    </w:rPr>
                    <w:t>一般排放口</w:t>
                  </w:r>
                </w:p>
              </w:tc>
              <w:tc>
                <w:tcPr>
                  <w:tcW w:w="947" w:type="pct"/>
                  <w:vAlign w:val="center"/>
                </w:tcPr>
                <w:p>
                  <w:pPr>
                    <w:jc w:val="center"/>
                    <w:rPr>
                      <w:color w:val="auto"/>
                      <w:szCs w:val="21"/>
                      <w:highlight w:val="none"/>
                    </w:rPr>
                  </w:pPr>
                  <w:r>
                    <w:rPr>
                      <w:color w:val="auto"/>
                      <w:szCs w:val="21"/>
                      <w:highlight w:val="none"/>
                    </w:rPr>
                    <w:t>E</w:t>
                  </w:r>
                  <w:r>
                    <w:rPr>
                      <w:rFonts w:hint="eastAsia"/>
                      <w:color w:val="auto"/>
                      <w:szCs w:val="21"/>
                      <w:highlight w:val="none"/>
                    </w:rPr>
                    <w:t>125.442906474</w:t>
                  </w:r>
                </w:p>
                <w:p>
                  <w:pPr>
                    <w:jc w:val="center"/>
                    <w:rPr>
                      <w:color w:val="auto"/>
                      <w:szCs w:val="21"/>
                      <w:highlight w:val="none"/>
                    </w:rPr>
                  </w:pPr>
                  <w:r>
                    <w:rPr>
                      <w:color w:val="auto"/>
                      <w:szCs w:val="21"/>
                      <w:highlight w:val="none"/>
                    </w:rPr>
                    <w:t>N</w:t>
                  </w:r>
                  <w:r>
                    <w:rPr>
                      <w:rFonts w:hint="eastAsia"/>
                      <w:color w:val="auto"/>
                      <w:szCs w:val="21"/>
                      <w:highlight w:val="none"/>
                    </w:rPr>
                    <w:t>43.905116536</w:t>
                  </w:r>
                </w:p>
              </w:tc>
            </w:tr>
          </w:tbl>
          <w:p>
            <w:pPr>
              <w:spacing w:line="240" w:lineRule="auto"/>
              <w:ind w:firstLine="480" w:firstLineChars="200"/>
              <w:rPr>
                <w:color w:val="auto"/>
                <w:sz w:val="24"/>
                <w:highlight w:val="none"/>
              </w:rPr>
            </w:pPr>
          </w:p>
          <w:p>
            <w:pPr>
              <w:spacing w:line="360" w:lineRule="auto"/>
              <w:ind w:firstLine="480" w:firstLineChars="200"/>
              <w:rPr>
                <w:color w:val="auto"/>
                <w:highlight w:val="none"/>
              </w:rPr>
            </w:pPr>
            <w:r>
              <w:rPr>
                <w:color w:val="auto"/>
                <w:sz w:val="24"/>
                <w:highlight w:val="none"/>
              </w:rPr>
              <w:t>本项目废水污染源监测计划情况，详见下表。</w:t>
            </w:r>
          </w:p>
          <w:p>
            <w:pPr>
              <w:jc w:val="center"/>
              <w:rPr>
                <w:b/>
                <w:bCs/>
                <w:color w:val="auto"/>
                <w:sz w:val="24"/>
                <w:highlight w:val="none"/>
              </w:rPr>
            </w:pPr>
            <w:r>
              <w:rPr>
                <w:b/>
                <w:bCs/>
                <w:color w:val="auto"/>
                <w:sz w:val="24"/>
                <w:highlight w:val="none"/>
              </w:rPr>
              <w:t>表4-</w:t>
            </w:r>
            <w:r>
              <w:rPr>
                <w:rFonts w:hint="eastAsia"/>
                <w:b/>
                <w:bCs/>
                <w:color w:val="auto"/>
                <w:sz w:val="24"/>
                <w:highlight w:val="none"/>
                <w:lang w:val="en-US" w:eastAsia="zh-CN"/>
              </w:rPr>
              <w:t>7</w:t>
            </w:r>
            <w:r>
              <w:rPr>
                <w:b/>
                <w:bCs/>
                <w:color w:val="auto"/>
                <w:sz w:val="24"/>
                <w:highlight w:val="none"/>
              </w:rPr>
              <w:t xml:space="preserve">    废水污染源监测计划表</w:t>
            </w:r>
          </w:p>
          <w:tbl>
            <w:tblPr>
              <w:tblStyle w:val="30"/>
              <w:tblW w:w="841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510"/>
              <w:gridCol w:w="1318"/>
              <w:gridCol w:w="33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13" w:type="pct"/>
                  <w:vAlign w:val="center"/>
                </w:tcPr>
                <w:p>
                  <w:pPr>
                    <w:jc w:val="center"/>
                    <w:rPr>
                      <w:color w:val="auto"/>
                      <w:szCs w:val="22"/>
                      <w:highlight w:val="none"/>
                    </w:rPr>
                  </w:pPr>
                  <w:r>
                    <w:rPr>
                      <w:color w:val="auto"/>
                      <w:szCs w:val="22"/>
                      <w:highlight w:val="none"/>
                    </w:rPr>
                    <w:t>监测点位</w:t>
                  </w:r>
                </w:p>
              </w:tc>
              <w:tc>
                <w:tcPr>
                  <w:tcW w:w="1490" w:type="pct"/>
                  <w:vAlign w:val="center"/>
                </w:tcPr>
                <w:p>
                  <w:pPr>
                    <w:jc w:val="center"/>
                    <w:rPr>
                      <w:color w:val="auto"/>
                      <w:szCs w:val="22"/>
                      <w:highlight w:val="none"/>
                    </w:rPr>
                  </w:pPr>
                  <w:r>
                    <w:rPr>
                      <w:color w:val="auto"/>
                      <w:szCs w:val="22"/>
                      <w:highlight w:val="none"/>
                    </w:rPr>
                    <w:t>监测因子</w:t>
                  </w:r>
                </w:p>
              </w:tc>
              <w:tc>
                <w:tcPr>
                  <w:tcW w:w="782" w:type="pct"/>
                  <w:vAlign w:val="center"/>
                </w:tcPr>
                <w:p>
                  <w:pPr>
                    <w:jc w:val="center"/>
                    <w:rPr>
                      <w:color w:val="auto"/>
                      <w:szCs w:val="22"/>
                      <w:highlight w:val="none"/>
                    </w:rPr>
                  </w:pPr>
                  <w:r>
                    <w:rPr>
                      <w:color w:val="auto"/>
                      <w:szCs w:val="22"/>
                      <w:highlight w:val="none"/>
                    </w:rPr>
                    <w:t>监测频次</w:t>
                  </w:r>
                </w:p>
              </w:tc>
              <w:tc>
                <w:tcPr>
                  <w:tcW w:w="2012" w:type="pct"/>
                  <w:vAlign w:val="center"/>
                </w:tcPr>
                <w:p>
                  <w:pPr>
                    <w:jc w:val="center"/>
                    <w:rPr>
                      <w:bCs/>
                      <w:color w:val="auto"/>
                      <w:szCs w:val="21"/>
                      <w:highlight w:val="none"/>
                    </w:rPr>
                  </w:pPr>
                  <w:r>
                    <w:rPr>
                      <w:bCs/>
                      <w:color w:val="auto"/>
                      <w:szCs w:val="21"/>
                      <w:highlight w:val="none"/>
                    </w:rPr>
                    <w:t>监测依据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13" w:type="pct"/>
                  <w:vAlign w:val="center"/>
                </w:tcPr>
                <w:p>
                  <w:pPr>
                    <w:jc w:val="center"/>
                    <w:rPr>
                      <w:color w:val="auto"/>
                      <w:szCs w:val="22"/>
                      <w:highlight w:val="none"/>
                    </w:rPr>
                  </w:pPr>
                  <w:r>
                    <w:rPr>
                      <w:bCs/>
                      <w:color w:val="auto"/>
                      <w:szCs w:val="21"/>
                      <w:highlight w:val="none"/>
                    </w:rPr>
                    <w:t>DW001</w:t>
                  </w:r>
                </w:p>
              </w:tc>
              <w:tc>
                <w:tcPr>
                  <w:tcW w:w="1490" w:type="pct"/>
                  <w:vAlign w:val="center"/>
                </w:tcPr>
                <w:p>
                  <w:pPr>
                    <w:jc w:val="center"/>
                    <w:rPr>
                      <w:bCs/>
                      <w:color w:val="auto"/>
                      <w:szCs w:val="21"/>
                      <w:highlight w:val="none"/>
                    </w:rPr>
                  </w:pPr>
                  <w:r>
                    <w:rPr>
                      <w:color w:val="auto"/>
                      <w:szCs w:val="22"/>
                      <w:highlight w:val="none"/>
                    </w:rPr>
                    <w:t>流量</w:t>
                  </w:r>
                  <w:r>
                    <w:rPr>
                      <w:rFonts w:hint="eastAsia"/>
                      <w:color w:val="auto"/>
                      <w:szCs w:val="22"/>
                      <w:highlight w:val="none"/>
                      <w:lang w:eastAsia="zh-CN"/>
                    </w:rPr>
                    <w:t>、</w:t>
                  </w:r>
                  <w:r>
                    <w:rPr>
                      <w:bCs/>
                      <w:color w:val="auto"/>
                      <w:szCs w:val="21"/>
                      <w:highlight w:val="none"/>
                    </w:rPr>
                    <w:t>pH、氨氮、COD</w:t>
                  </w:r>
                </w:p>
                <w:p>
                  <w:pPr>
                    <w:jc w:val="center"/>
                    <w:rPr>
                      <w:bCs/>
                      <w:color w:val="auto"/>
                      <w:szCs w:val="21"/>
                      <w:highlight w:val="none"/>
                    </w:rPr>
                  </w:pPr>
                  <w:r>
                    <w:rPr>
                      <w:bCs/>
                      <w:color w:val="auto"/>
                      <w:szCs w:val="21"/>
                      <w:highlight w:val="none"/>
                    </w:rPr>
                    <w:t>石油类、SS、BOD</w:t>
                  </w:r>
                  <w:r>
                    <w:rPr>
                      <w:bCs/>
                      <w:color w:val="auto"/>
                      <w:szCs w:val="21"/>
                      <w:highlight w:val="none"/>
                      <w:vertAlign w:val="subscript"/>
                    </w:rPr>
                    <w:t>5</w:t>
                  </w:r>
                </w:p>
              </w:tc>
              <w:tc>
                <w:tcPr>
                  <w:tcW w:w="782" w:type="pct"/>
                  <w:vAlign w:val="center"/>
                </w:tcPr>
                <w:p>
                  <w:pPr>
                    <w:jc w:val="center"/>
                    <w:rPr>
                      <w:bCs/>
                      <w:color w:val="auto"/>
                      <w:szCs w:val="21"/>
                      <w:highlight w:val="none"/>
                    </w:rPr>
                  </w:pPr>
                  <w:r>
                    <w:rPr>
                      <w:bCs/>
                      <w:color w:val="auto"/>
                      <w:szCs w:val="21"/>
                      <w:highlight w:val="none"/>
                    </w:rPr>
                    <w:t>每年一次</w:t>
                  </w:r>
                </w:p>
              </w:tc>
              <w:tc>
                <w:tcPr>
                  <w:tcW w:w="2012" w:type="pct"/>
                  <w:vAlign w:val="center"/>
                </w:tcPr>
                <w:p>
                  <w:pPr>
                    <w:jc w:val="center"/>
                    <w:rPr>
                      <w:bCs/>
                      <w:color w:val="auto"/>
                      <w:szCs w:val="21"/>
                      <w:highlight w:val="none"/>
                    </w:rPr>
                  </w:pPr>
                  <w:r>
                    <w:rPr>
                      <w:rFonts w:hint="eastAsia"/>
                      <w:bCs/>
                      <w:color w:val="auto"/>
                      <w:szCs w:val="21"/>
                      <w:highlight w:val="none"/>
                      <w:lang w:val="en-US" w:eastAsia="zh-CN"/>
                    </w:rPr>
                    <w:t>《排污单位自行监测技术指南  橡胶和塑料制品》（HJ 1207-2021）</w:t>
                  </w:r>
                </w:p>
              </w:tc>
            </w:tr>
          </w:tbl>
          <w:p>
            <w:pPr>
              <w:pStyle w:val="2"/>
              <w:spacing w:line="240" w:lineRule="auto"/>
              <w:rPr>
                <w:color w:val="auto"/>
                <w:highlight w:val="none"/>
              </w:rPr>
            </w:pPr>
          </w:p>
          <w:p>
            <w:pPr>
              <w:widowControl/>
              <w:spacing w:line="360" w:lineRule="auto"/>
              <w:ind w:firstLine="482" w:firstLineChars="200"/>
              <w:rPr>
                <w:b/>
                <w:bCs/>
                <w:color w:val="auto"/>
                <w:sz w:val="24"/>
                <w:highlight w:val="none"/>
              </w:rPr>
            </w:pPr>
            <w:r>
              <w:rPr>
                <w:b/>
                <w:bCs/>
                <w:color w:val="auto"/>
                <w:sz w:val="24"/>
                <w:highlight w:val="none"/>
              </w:rPr>
              <w:t>3.噪声影响分析及防治措施</w:t>
            </w:r>
          </w:p>
          <w:p>
            <w:pPr>
              <w:widowControl/>
              <w:spacing w:line="360" w:lineRule="auto"/>
              <w:ind w:firstLine="482" w:firstLineChars="200"/>
              <w:rPr>
                <w:b/>
                <w:bCs/>
                <w:color w:val="auto"/>
                <w:sz w:val="24"/>
                <w:highlight w:val="none"/>
              </w:rPr>
            </w:pPr>
            <w:r>
              <w:rPr>
                <w:b/>
                <w:bCs/>
                <w:color w:val="auto"/>
                <w:sz w:val="24"/>
                <w:highlight w:val="none"/>
              </w:rPr>
              <w:t>3.1噪声源强</w:t>
            </w:r>
          </w:p>
          <w:p>
            <w:pPr>
              <w:spacing w:line="360" w:lineRule="auto"/>
              <w:ind w:firstLine="480" w:firstLineChars="200"/>
              <w:rPr>
                <w:color w:val="auto"/>
                <w:highlight w:val="none"/>
              </w:rPr>
            </w:pPr>
            <w:r>
              <w:rPr>
                <w:color w:val="auto"/>
                <w:sz w:val="24"/>
                <w:highlight w:val="none"/>
              </w:rPr>
              <w:t>本项目噪声源主要为生产设备产生的噪声，其噪声值约为65~95dB(A)，项目运营期主要设备噪声源强具体见下表。</w:t>
            </w:r>
          </w:p>
          <w:p>
            <w:pPr>
              <w:pStyle w:val="23"/>
              <w:ind w:left="0" w:leftChars="0"/>
              <w:jc w:val="center"/>
              <w:rPr>
                <w:b/>
                <w:color w:val="auto"/>
                <w:kern w:val="0"/>
                <w:sz w:val="24"/>
                <w:highlight w:val="none"/>
              </w:rPr>
            </w:pPr>
            <w:r>
              <w:rPr>
                <w:b/>
                <w:color w:val="auto"/>
                <w:kern w:val="0"/>
                <w:sz w:val="24"/>
                <w:highlight w:val="none"/>
              </w:rPr>
              <w:t>表4-</w:t>
            </w:r>
            <w:r>
              <w:rPr>
                <w:rFonts w:hint="eastAsia"/>
                <w:b/>
                <w:color w:val="auto"/>
                <w:kern w:val="0"/>
                <w:sz w:val="24"/>
                <w:highlight w:val="none"/>
                <w:lang w:val="en-US" w:eastAsia="zh-CN"/>
              </w:rPr>
              <w:t>8</w:t>
            </w:r>
            <w:r>
              <w:rPr>
                <w:b/>
                <w:bCs/>
                <w:color w:val="auto"/>
                <w:sz w:val="24"/>
                <w:highlight w:val="none"/>
              </w:rPr>
              <w:t xml:space="preserve">  </w:t>
            </w:r>
            <w:r>
              <w:rPr>
                <w:b/>
                <w:color w:val="auto"/>
                <w:kern w:val="0"/>
                <w:sz w:val="24"/>
                <w:highlight w:val="none"/>
              </w:rPr>
              <w:t>运营期主要噪声源统计</w:t>
            </w:r>
          </w:p>
          <w:tbl>
            <w:tblPr>
              <w:tblStyle w:val="30"/>
              <w:tblW w:w="504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315"/>
              <w:gridCol w:w="939"/>
              <w:gridCol w:w="864"/>
              <w:gridCol w:w="939"/>
              <w:gridCol w:w="1016"/>
              <w:gridCol w:w="898"/>
              <w:gridCol w:w="910"/>
              <w:gridCol w:w="7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509" w:type="pct"/>
                  <w:vMerge w:val="restar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建筑物名称</w:t>
                  </w:r>
                </w:p>
              </w:tc>
              <w:tc>
                <w:tcPr>
                  <w:tcW w:w="777" w:type="pct"/>
                  <w:vMerge w:val="restar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声源名称</w:t>
                  </w:r>
                </w:p>
              </w:tc>
              <w:tc>
                <w:tcPr>
                  <w:tcW w:w="555" w:type="pct"/>
                  <w:vMerge w:val="restar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源强/dB(A)</w:t>
                  </w:r>
                </w:p>
              </w:tc>
              <w:tc>
                <w:tcPr>
                  <w:tcW w:w="510" w:type="pct"/>
                  <w:vMerge w:val="restar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数量（台）</w:t>
                  </w:r>
                </w:p>
              </w:tc>
              <w:tc>
                <w:tcPr>
                  <w:tcW w:w="1687" w:type="pct"/>
                  <w:gridSpan w:val="3"/>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空间位置</w:t>
                  </w:r>
                </w:p>
              </w:tc>
              <w:tc>
                <w:tcPr>
                  <w:tcW w:w="538" w:type="pct"/>
                  <w:vMerge w:val="restart"/>
                  <w:tcBorders>
                    <w:tl2br w:val="nil"/>
                    <w:tr2bl w:val="nil"/>
                  </w:tcBorders>
                  <w:vAlign w:val="center"/>
                </w:tcPr>
                <w:p>
                  <w:pPr>
                    <w:jc w:val="center"/>
                    <w:rPr>
                      <w:rFonts w:hint="default" w:ascii="Times New Roman" w:hAnsi="Times New Roman" w:eastAsia="宋体" w:cs="Times New Roman"/>
                      <w:color w:val="auto"/>
                      <w:kern w:val="2"/>
                      <w:sz w:val="21"/>
                      <w:szCs w:val="24"/>
                      <w:highlight w:val="none"/>
                      <w:lang w:val="en-US" w:eastAsia="zh-CN" w:bidi="ar-SA"/>
                    </w:rPr>
                  </w:pPr>
                  <w:r>
                    <w:rPr>
                      <w:rFonts w:hint="eastAsia"/>
                      <w:color w:val="auto"/>
                      <w:highlight w:val="none"/>
                    </w:rPr>
                    <w:t>声源控制措施</w:t>
                  </w:r>
                </w:p>
              </w:tc>
              <w:tc>
                <w:tcPr>
                  <w:tcW w:w="421" w:type="pct"/>
                  <w:vMerge w:val="restart"/>
                  <w:tcBorders>
                    <w:tl2br w:val="nil"/>
                    <w:tr2bl w:val="nil"/>
                  </w:tcBorders>
                  <w:vAlign w:val="center"/>
                </w:tcPr>
                <w:p>
                  <w:pPr>
                    <w:jc w:val="center"/>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运行时段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509"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777"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555"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510"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555"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X</w:t>
                  </w:r>
                </w:p>
              </w:tc>
              <w:tc>
                <w:tcPr>
                  <w:tcW w:w="600"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Y</w:t>
                  </w:r>
                </w:p>
              </w:tc>
              <w:tc>
                <w:tcPr>
                  <w:tcW w:w="531"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Z</w:t>
                  </w:r>
                </w:p>
              </w:tc>
              <w:tc>
                <w:tcPr>
                  <w:tcW w:w="538" w:type="pct"/>
                  <w:vMerge w:val="continue"/>
                  <w:tcBorders>
                    <w:tl2br w:val="nil"/>
                    <w:tr2bl w:val="nil"/>
                  </w:tcBorders>
                  <w:vAlign w:val="center"/>
                </w:tcPr>
                <w:p>
                  <w:pPr>
                    <w:jc w:val="center"/>
                    <w:rPr>
                      <w:color w:val="auto"/>
                      <w:highlight w:val="none"/>
                    </w:rPr>
                  </w:pPr>
                </w:p>
              </w:tc>
              <w:tc>
                <w:tcPr>
                  <w:tcW w:w="421" w:type="pct"/>
                  <w:vMerge w:val="continue"/>
                  <w:tcBorders>
                    <w:tl2br w:val="nil"/>
                    <w:tr2bl w:val="nil"/>
                  </w:tcBorders>
                  <w:vAlign w:val="center"/>
                </w:tcPr>
                <w:p>
                  <w:pPr>
                    <w:jc w:val="center"/>
                    <w:rPr>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509" w:type="pct"/>
                  <w:vMerge w:val="restar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生产区</w:t>
                  </w:r>
                </w:p>
              </w:tc>
              <w:tc>
                <w:tcPr>
                  <w:tcW w:w="777" w:type="pct"/>
                  <w:vMerge w:val="restart"/>
                  <w:tcBorders>
                    <w:tl2br w:val="nil"/>
                    <w:tr2bl w:val="nil"/>
                  </w:tcBorders>
                  <w:vAlign w:val="center"/>
                </w:tcPr>
                <w:p>
                  <w:pPr>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注塑机</w:t>
                  </w:r>
                </w:p>
              </w:tc>
              <w:tc>
                <w:tcPr>
                  <w:tcW w:w="555" w:type="pct"/>
                  <w:tcBorders>
                    <w:tl2br w:val="nil"/>
                    <w:tr2bl w:val="nil"/>
                  </w:tcBorders>
                  <w:vAlign w:val="center"/>
                </w:tcPr>
                <w:p>
                  <w:pPr>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75</w:t>
                  </w:r>
                </w:p>
              </w:tc>
              <w:tc>
                <w:tcPr>
                  <w:tcW w:w="510" w:type="pct"/>
                  <w:vMerge w:val="restart"/>
                  <w:tcBorders>
                    <w:tl2br w:val="nil"/>
                    <w:tr2bl w:val="nil"/>
                  </w:tcBorders>
                  <w:vAlign w:val="center"/>
                </w:tcPr>
                <w:p>
                  <w:pPr>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10</w:t>
                  </w:r>
                </w:p>
              </w:tc>
              <w:tc>
                <w:tcPr>
                  <w:tcW w:w="555"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19.97</w:t>
                  </w:r>
                </w:p>
              </w:tc>
              <w:tc>
                <w:tcPr>
                  <w:tcW w:w="600"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-11.51</w:t>
                  </w:r>
                </w:p>
              </w:tc>
              <w:tc>
                <w:tcPr>
                  <w:tcW w:w="531"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1.0</w:t>
                  </w:r>
                </w:p>
              </w:tc>
              <w:tc>
                <w:tcPr>
                  <w:tcW w:w="538" w:type="pct"/>
                  <w:vMerge w:val="restart"/>
                  <w:tcBorders>
                    <w:tl2br w:val="nil"/>
                    <w:tr2bl w:val="nil"/>
                  </w:tcBorders>
                  <w:vAlign w:val="center"/>
                </w:tcPr>
                <w:p>
                  <w:pPr>
                    <w:jc w:val="center"/>
                    <w:rPr>
                      <w:rFonts w:hint="default" w:ascii="Times New Roman" w:hAnsi="Times New Roman" w:eastAsia="宋体" w:cs="Times New Roman"/>
                      <w:color w:val="auto"/>
                      <w:kern w:val="2"/>
                      <w:sz w:val="21"/>
                      <w:szCs w:val="24"/>
                      <w:highlight w:val="none"/>
                      <w:lang w:val="en-US" w:eastAsia="zh-CN" w:bidi="ar-SA"/>
                    </w:rPr>
                  </w:pPr>
                  <w:r>
                    <w:rPr>
                      <w:color w:val="auto"/>
                      <w:highlight w:val="none"/>
                    </w:rPr>
                    <w:t>基础减振、隔声墙隔声</w:t>
                  </w:r>
                  <w:r>
                    <w:rPr>
                      <w:rFonts w:hint="eastAsia"/>
                      <w:color w:val="auto"/>
                      <w:highlight w:val="none"/>
                      <w:lang w:eastAsia="zh-CN"/>
                    </w:rPr>
                    <w:t>、</w:t>
                  </w:r>
                  <w:r>
                    <w:rPr>
                      <w:rFonts w:hint="eastAsia"/>
                      <w:color w:val="auto"/>
                      <w:highlight w:val="none"/>
                      <w:lang w:val="en-US" w:eastAsia="zh-CN"/>
                    </w:rPr>
                    <w:t>厂房隔声</w:t>
                  </w:r>
                </w:p>
              </w:tc>
              <w:tc>
                <w:tcPr>
                  <w:tcW w:w="421" w:type="pct"/>
                  <w:vMerge w:val="restart"/>
                  <w:tcBorders>
                    <w:tl2br w:val="nil"/>
                    <w:tr2bl w:val="nil"/>
                  </w:tcBorders>
                  <w:vAlign w:val="center"/>
                </w:tcPr>
                <w:p>
                  <w:pPr>
                    <w:jc w:val="center"/>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昼间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509"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777"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555"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75</w:t>
                  </w:r>
                </w:p>
              </w:tc>
              <w:tc>
                <w:tcPr>
                  <w:tcW w:w="510"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555"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26.63</w:t>
                  </w:r>
                </w:p>
              </w:tc>
              <w:tc>
                <w:tcPr>
                  <w:tcW w:w="600"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-11.74</w:t>
                  </w:r>
                </w:p>
              </w:tc>
              <w:tc>
                <w:tcPr>
                  <w:tcW w:w="531"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1.0</w:t>
                  </w:r>
                </w:p>
              </w:tc>
              <w:tc>
                <w:tcPr>
                  <w:tcW w:w="538" w:type="pct"/>
                  <w:vMerge w:val="continue"/>
                  <w:tcBorders>
                    <w:tl2br w:val="nil"/>
                    <w:tr2bl w:val="nil"/>
                  </w:tcBorders>
                  <w:vAlign w:val="center"/>
                </w:tcPr>
                <w:p>
                  <w:pPr>
                    <w:jc w:val="center"/>
                    <w:rPr>
                      <w:color w:val="auto"/>
                      <w:highlight w:val="none"/>
                    </w:rPr>
                  </w:pPr>
                </w:p>
              </w:tc>
              <w:tc>
                <w:tcPr>
                  <w:tcW w:w="421" w:type="pct"/>
                  <w:vMerge w:val="continue"/>
                  <w:tcBorders>
                    <w:tl2br w:val="nil"/>
                    <w:tr2bl w:val="nil"/>
                  </w:tcBorders>
                  <w:vAlign w:val="center"/>
                </w:tcPr>
                <w:p>
                  <w:pPr>
                    <w:jc w:val="center"/>
                    <w:rPr>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509"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777"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555"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75</w:t>
                  </w:r>
                </w:p>
              </w:tc>
              <w:tc>
                <w:tcPr>
                  <w:tcW w:w="510"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555"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34.87</w:t>
                  </w:r>
                </w:p>
              </w:tc>
              <w:tc>
                <w:tcPr>
                  <w:tcW w:w="600"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-11.85</w:t>
                  </w:r>
                </w:p>
              </w:tc>
              <w:tc>
                <w:tcPr>
                  <w:tcW w:w="531"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1.0</w:t>
                  </w:r>
                </w:p>
              </w:tc>
              <w:tc>
                <w:tcPr>
                  <w:tcW w:w="538" w:type="pct"/>
                  <w:vMerge w:val="continue"/>
                  <w:tcBorders>
                    <w:tl2br w:val="nil"/>
                    <w:tr2bl w:val="nil"/>
                  </w:tcBorders>
                  <w:vAlign w:val="center"/>
                </w:tcPr>
                <w:p>
                  <w:pPr>
                    <w:jc w:val="center"/>
                    <w:rPr>
                      <w:color w:val="auto"/>
                      <w:highlight w:val="none"/>
                    </w:rPr>
                  </w:pPr>
                </w:p>
              </w:tc>
              <w:tc>
                <w:tcPr>
                  <w:tcW w:w="421" w:type="pct"/>
                  <w:vMerge w:val="continue"/>
                  <w:tcBorders>
                    <w:tl2br w:val="nil"/>
                    <w:tr2bl w:val="nil"/>
                  </w:tcBorders>
                  <w:vAlign w:val="center"/>
                </w:tcPr>
                <w:p>
                  <w:pPr>
                    <w:jc w:val="center"/>
                    <w:rPr>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509"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777"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555"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75</w:t>
                  </w:r>
                </w:p>
              </w:tc>
              <w:tc>
                <w:tcPr>
                  <w:tcW w:w="510"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555"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20.08</w:t>
                  </w:r>
                </w:p>
              </w:tc>
              <w:tc>
                <w:tcPr>
                  <w:tcW w:w="600"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-17.04</w:t>
                  </w:r>
                </w:p>
              </w:tc>
              <w:tc>
                <w:tcPr>
                  <w:tcW w:w="531"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1.0</w:t>
                  </w:r>
                </w:p>
              </w:tc>
              <w:tc>
                <w:tcPr>
                  <w:tcW w:w="538" w:type="pct"/>
                  <w:vMerge w:val="continue"/>
                  <w:tcBorders>
                    <w:tl2br w:val="nil"/>
                    <w:tr2bl w:val="nil"/>
                  </w:tcBorders>
                  <w:vAlign w:val="center"/>
                </w:tcPr>
                <w:p>
                  <w:pPr>
                    <w:jc w:val="center"/>
                    <w:rPr>
                      <w:color w:val="auto"/>
                      <w:highlight w:val="none"/>
                    </w:rPr>
                  </w:pPr>
                </w:p>
              </w:tc>
              <w:tc>
                <w:tcPr>
                  <w:tcW w:w="421" w:type="pct"/>
                  <w:vMerge w:val="continue"/>
                  <w:tcBorders>
                    <w:tl2br w:val="nil"/>
                    <w:tr2bl w:val="nil"/>
                  </w:tcBorders>
                  <w:vAlign w:val="center"/>
                </w:tcPr>
                <w:p>
                  <w:pPr>
                    <w:jc w:val="center"/>
                    <w:rPr>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509"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777"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555"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75</w:t>
                  </w:r>
                </w:p>
              </w:tc>
              <w:tc>
                <w:tcPr>
                  <w:tcW w:w="510"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555"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26.97</w:t>
                  </w:r>
                </w:p>
              </w:tc>
              <w:tc>
                <w:tcPr>
                  <w:tcW w:w="600"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-17.04</w:t>
                  </w:r>
                </w:p>
              </w:tc>
              <w:tc>
                <w:tcPr>
                  <w:tcW w:w="531"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1.0</w:t>
                  </w:r>
                </w:p>
              </w:tc>
              <w:tc>
                <w:tcPr>
                  <w:tcW w:w="538" w:type="pct"/>
                  <w:vMerge w:val="continue"/>
                  <w:tcBorders>
                    <w:tl2br w:val="nil"/>
                    <w:tr2bl w:val="nil"/>
                  </w:tcBorders>
                  <w:vAlign w:val="center"/>
                </w:tcPr>
                <w:p>
                  <w:pPr>
                    <w:jc w:val="center"/>
                    <w:rPr>
                      <w:color w:val="auto"/>
                      <w:highlight w:val="none"/>
                    </w:rPr>
                  </w:pPr>
                </w:p>
              </w:tc>
              <w:tc>
                <w:tcPr>
                  <w:tcW w:w="421" w:type="pct"/>
                  <w:vMerge w:val="continue"/>
                  <w:tcBorders>
                    <w:tl2br w:val="nil"/>
                    <w:tr2bl w:val="nil"/>
                  </w:tcBorders>
                  <w:vAlign w:val="center"/>
                </w:tcPr>
                <w:p>
                  <w:pPr>
                    <w:jc w:val="center"/>
                    <w:rPr>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509"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777"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555"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75</w:t>
                  </w:r>
                </w:p>
              </w:tc>
              <w:tc>
                <w:tcPr>
                  <w:tcW w:w="510"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555"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34.76</w:t>
                  </w:r>
                </w:p>
              </w:tc>
              <w:tc>
                <w:tcPr>
                  <w:tcW w:w="600"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-17.83</w:t>
                  </w:r>
                </w:p>
              </w:tc>
              <w:tc>
                <w:tcPr>
                  <w:tcW w:w="531"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1.0</w:t>
                  </w:r>
                </w:p>
              </w:tc>
              <w:tc>
                <w:tcPr>
                  <w:tcW w:w="538" w:type="pct"/>
                  <w:vMerge w:val="continue"/>
                  <w:tcBorders>
                    <w:tl2br w:val="nil"/>
                    <w:tr2bl w:val="nil"/>
                  </w:tcBorders>
                  <w:vAlign w:val="center"/>
                </w:tcPr>
                <w:p>
                  <w:pPr>
                    <w:jc w:val="center"/>
                    <w:rPr>
                      <w:color w:val="auto"/>
                      <w:highlight w:val="none"/>
                    </w:rPr>
                  </w:pPr>
                </w:p>
              </w:tc>
              <w:tc>
                <w:tcPr>
                  <w:tcW w:w="421" w:type="pct"/>
                  <w:vMerge w:val="continue"/>
                  <w:tcBorders>
                    <w:tl2br w:val="nil"/>
                    <w:tr2bl w:val="nil"/>
                  </w:tcBorders>
                  <w:vAlign w:val="center"/>
                </w:tcPr>
                <w:p>
                  <w:pPr>
                    <w:jc w:val="center"/>
                    <w:rPr>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509"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777"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555"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75</w:t>
                  </w:r>
                </w:p>
              </w:tc>
              <w:tc>
                <w:tcPr>
                  <w:tcW w:w="510"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555"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19.85</w:t>
                  </w:r>
                </w:p>
              </w:tc>
              <w:tc>
                <w:tcPr>
                  <w:tcW w:w="600"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21.45</w:t>
                  </w:r>
                </w:p>
              </w:tc>
              <w:tc>
                <w:tcPr>
                  <w:tcW w:w="531"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1.0</w:t>
                  </w:r>
                </w:p>
              </w:tc>
              <w:tc>
                <w:tcPr>
                  <w:tcW w:w="538" w:type="pct"/>
                  <w:vMerge w:val="continue"/>
                  <w:tcBorders>
                    <w:tl2br w:val="nil"/>
                    <w:tr2bl w:val="nil"/>
                  </w:tcBorders>
                  <w:vAlign w:val="center"/>
                </w:tcPr>
                <w:p>
                  <w:pPr>
                    <w:jc w:val="center"/>
                    <w:rPr>
                      <w:color w:val="auto"/>
                      <w:highlight w:val="none"/>
                    </w:rPr>
                  </w:pPr>
                </w:p>
              </w:tc>
              <w:tc>
                <w:tcPr>
                  <w:tcW w:w="421" w:type="pct"/>
                  <w:vMerge w:val="continue"/>
                  <w:tcBorders>
                    <w:tl2br w:val="nil"/>
                    <w:tr2bl w:val="nil"/>
                  </w:tcBorders>
                  <w:vAlign w:val="center"/>
                </w:tcPr>
                <w:p>
                  <w:pPr>
                    <w:jc w:val="center"/>
                    <w:rPr>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509"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777"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555" w:type="pct"/>
                  <w:tcBorders>
                    <w:tl2br w:val="nil"/>
                    <w:tr2bl w:val="nil"/>
                  </w:tcBorders>
                  <w:vAlign w:val="center"/>
                </w:tcPr>
                <w:p>
                  <w:pPr>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75</w:t>
                  </w:r>
                </w:p>
              </w:tc>
              <w:tc>
                <w:tcPr>
                  <w:tcW w:w="510"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555" w:type="pct"/>
                  <w:tcBorders>
                    <w:tl2br w:val="nil"/>
                    <w:tr2bl w:val="nil"/>
                  </w:tcBorders>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27.42</w:t>
                  </w:r>
                </w:p>
              </w:tc>
              <w:tc>
                <w:tcPr>
                  <w:tcW w:w="600" w:type="pct"/>
                  <w:tcBorders>
                    <w:tl2br w:val="nil"/>
                    <w:tr2bl w:val="nil"/>
                  </w:tcBorders>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-22.35</w:t>
                  </w:r>
                </w:p>
              </w:tc>
              <w:tc>
                <w:tcPr>
                  <w:tcW w:w="531" w:type="pct"/>
                  <w:tcBorders>
                    <w:tl2br w:val="nil"/>
                    <w:tr2bl w:val="nil"/>
                  </w:tcBorders>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1.0</w:t>
                  </w:r>
                </w:p>
              </w:tc>
              <w:tc>
                <w:tcPr>
                  <w:tcW w:w="538" w:type="pct"/>
                  <w:vMerge w:val="continue"/>
                  <w:tcBorders>
                    <w:tl2br w:val="nil"/>
                    <w:tr2bl w:val="nil"/>
                  </w:tcBorders>
                  <w:vAlign w:val="center"/>
                </w:tcPr>
                <w:p>
                  <w:pPr>
                    <w:jc w:val="center"/>
                    <w:rPr>
                      <w:color w:val="auto"/>
                      <w:highlight w:val="none"/>
                    </w:rPr>
                  </w:pPr>
                </w:p>
              </w:tc>
              <w:tc>
                <w:tcPr>
                  <w:tcW w:w="421" w:type="pct"/>
                  <w:vMerge w:val="continue"/>
                  <w:tcBorders>
                    <w:tl2br w:val="nil"/>
                    <w:tr2bl w:val="nil"/>
                  </w:tcBorders>
                  <w:vAlign w:val="center"/>
                </w:tcPr>
                <w:p>
                  <w:pPr>
                    <w:jc w:val="center"/>
                    <w:rPr>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509"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777"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555"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75</w:t>
                  </w:r>
                </w:p>
              </w:tc>
              <w:tc>
                <w:tcPr>
                  <w:tcW w:w="510"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555" w:type="pct"/>
                  <w:tcBorders>
                    <w:tl2br w:val="nil"/>
                    <w:tr2bl w:val="nil"/>
                  </w:tcBorders>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35.21</w:t>
                  </w:r>
                </w:p>
              </w:tc>
              <w:tc>
                <w:tcPr>
                  <w:tcW w:w="600" w:type="pct"/>
                  <w:tcBorders>
                    <w:tl2br w:val="nil"/>
                    <w:tr2bl w:val="nil"/>
                  </w:tcBorders>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-22.01</w:t>
                  </w:r>
                </w:p>
              </w:tc>
              <w:tc>
                <w:tcPr>
                  <w:tcW w:w="531" w:type="pct"/>
                  <w:tcBorders>
                    <w:tl2br w:val="nil"/>
                    <w:tr2bl w:val="nil"/>
                  </w:tcBorders>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1.0</w:t>
                  </w:r>
                </w:p>
              </w:tc>
              <w:tc>
                <w:tcPr>
                  <w:tcW w:w="538" w:type="pct"/>
                  <w:vMerge w:val="continue"/>
                  <w:tcBorders>
                    <w:tl2br w:val="nil"/>
                    <w:tr2bl w:val="nil"/>
                  </w:tcBorders>
                  <w:vAlign w:val="center"/>
                </w:tcPr>
                <w:p>
                  <w:pPr>
                    <w:jc w:val="center"/>
                    <w:rPr>
                      <w:color w:val="auto"/>
                      <w:highlight w:val="none"/>
                    </w:rPr>
                  </w:pPr>
                </w:p>
              </w:tc>
              <w:tc>
                <w:tcPr>
                  <w:tcW w:w="421" w:type="pct"/>
                  <w:vMerge w:val="continue"/>
                  <w:tcBorders>
                    <w:tl2br w:val="nil"/>
                    <w:tr2bl w:val="nil"/>
                  </w:tcBorders>
                  <w:vAlign w:val="center"/>
                </w:tcPr>
                <w:p>
                  <w:pPr>
                    <w:jc w:val="center"/>
                    <w:rPr>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509"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777"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555"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75</w:t>
                  </w:r>
                </w:p>
              </w:tc>
              <w:tc>
                <w:tcPr>
                  <w:tcW w:w="510"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555" w:type="pct"/>
                  <w:tcBorders>
                    <w:tl2br w:val="nil"/>
                    <w:tr2bl w:val="nil"/>
                  </w:tcBorders>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4</w:t>
                  </w:r>
                  <w:r>
                    <w:rPr>
                      <w:rFonts w:hint="eastAsia" w:ascii="Times New Roman" w:hAnsi="Times New Roman" w:cs="Times New Roman"/>
                      <w:color w:val="auto"/>
                      <w:sz w:val="21"/>
                      <w:szCs w:val="21"/>
                      <w:highlight w:val="none"/>
                      <w:lang w:val="en-US" w:eastAsia="zh-CN"/>
                    </w:rPr>
                    <w:t>0</w:t>
                  </w:r>
                  <w:r>
                    <w:rPr>
                      <w:rFonts w:hint="eastAsia" w:ascii="Times New Roman" w:hAnsi="Times New Roman" w:eastAsia="宋体" w:cs="Times New Roman"/>
                      <w:color w:val="auto"/>
                      <w:sz w:val="21"/>
                      <w:szCs w:val="21"/>
                      <w:highlight w:val="none"/>
                      <w:lang w:val="en-US" w:eastAsia="zh-CN"/>
                    </w:rPr>
                    <w:t>.3</w:t>
                  </w:r>
                  <w:r>
                    <w:rPr>
                      <w:rFonts w:hint="eastAsia" w:ascii="Times New Roman" w:hAnsi="Times New Roman" w:cs="Times New Roman"/>
                      <w:color w:val="auto"/>
                      <w:sz w:val="21"/>
                      <w:szCs w:val="21"/>
                      <w:highlight w:val="none"/>
                      <w:lang w:val="en-US" w:eastAsia="zh-CN"/>
                    </w:rPr>
                    <w:t>1</w:t>
                  </w:r>
                </w:p>
              </w:tc>
              <w:tc>
                <w:tcPr>
                  <w:tcW w:w="600" w:type="pct"/>
                  <w:tcBorders>
                    <w:tl2br w:val="nil"/>
                    <w:tr2bl w:val="nil"/>
                  </w:tcBorders>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-20.</w:t>
                  </w:r>
                  <w:r>
                    <w:rPr>
                      <w:rFonts w:hint="eastAsia" w:ascii="Times New Roman" w:hAnsi="Times New Roman"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val="en-US" w:eastAsia="zh-CN"/>
                    </w:rPr>
                    <w:t>4</w:t>
                  </w:r>
                </w:p>
              </w:tc>
              <w:tc>
                <w:tcPr>
                  <w:tcW w:w="531"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1.0</w:t>
                  </w:r>
                </w:p>
              </w:tc>
              <w:tc>
                <w:tcPr>
                  <w:tcW w:w="538" w:type="pct"/>
                  <w:vMerge w:val="continue"/>
                  <w:tcBorders>
                    <w:tl2br w:val="nil"/>
                    <w:tr2bl w:val="nil"/>
                  </w:tcBorders>
                  <w:vAlign w:val="center"/>
                </w:tcPr>
                <w:p>
                  <w:pPr>
                    <w:jc w:val="center"/>
                    <w:rPr>
                      <w:color w:val="auto"/>
                      <w:highlight w:val="none"/>
                    </w:rPr>
                  </w:pPr>
                </w:p>
              </w:tc>
              <w:tc>
                <w:tcPr>
                  <w:tcW w:w="421" w:type="pct"/>
                  <w:vMerge w:val="continue"/>
                  <w:tcBorders>
                    <w:tl2br w:val="nil"/>
                    <w:tr2bl w:val="nil"/>
                  </w:tcBorders>
                  <w:vAlign w:val="center"/>
                </w:tcPr>
                <w:p>
                  <w:pPr>
                    <w:jc w:val="center"/>
                    <w:rPr>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509"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777" w:type="pct"/>
                  <w:vMerge w:val="restar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空压机</w:t>
                  </w:r>
                </w:p>
              </w:tc>
              <w:tc>
                <w:tcPr>
                  <w:tcW w:w="555" w:type="pct"/>
                  <w:vMerge w:val="restar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80</w:t>
                  </w:r>
                </w:p>
              </w:tc>
              <w:tc>
                <w:tcPr>
                  <w:tcW w:w="510" w:type="pct"/>
                  <w:vMerge w:val="restar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w:t>
                  </w:r>
                </w:p>
              </w:tc>
              <w:tc>
                <w:tcPr>
                  <w:tcW w:w="555"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41.34</w:t>
                  </w:r>
                </w:p>
              </w:tc>
              <w:tc>
                <w:tcPr>
                  <w:tcW w:w="600"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-20.84</w:t>
                  </w:r>
                </w:p>
              </w:tc>
              <w:tc>
                <w:tcPr>
                  <w:tcW w:w="531"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1.0</w:t>
                  </w:r>
                </w:p>
              </w:tc>
              <w:tc>
                <w:tcPr>
                  <w:tcW w:w="538" w:type="pct"/>
                  <w:vMerge w:val="continue"/>
                  <w:tcBorders>
                    <w:tl2br w:val="nil"/>
                    <w:tr2bl w:val="nil"/>
                  </w:tcBorders>
                  <w:vAlign w:val="center"/>
                </w:tcPr>
                <w:p>
                  <w:pPr>
                    <w:jc w:val="center"/>
                    <w:rPr>
                      <w:color w:val="auto"/>
                      <w:highlight w:val="none"/>
                    </w:rPr>
                  </w:pPr>
                </w:p>
              </w:tc>
              <w:tc>
                <w:tcPr>
                  <w:tcW w:w="421" w:type="pct"/>
                  <w:vMerge w:val="continue"/>
                  <w:tcBorders>
                    <w:tl2br w:val="nil"/>
                    <w:tr2bl w:val="nil"/>
                  </w:tcBorders>
                  <w:vAlign w:val="center"/>
                </w:tcPr>
                <w:p>
                  <w:pPr>
                    <w:jc w:val="center"/>
                    <w:rPr>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509"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777" w:type="pct"/>
                  <w:vMerge w:val="continue"/>
                  <w:tcBorders>
                    <w:tl2br w:val="nil"/>
                    <w:tr2bl w:val="nil"/>
                  </w:tcBorders>
                  <w:vAlign w:val="center"/>
                </w:tcPr>
                <w:p>
                  <w:pPr>
                    <w:jc w:val="center"/>
                    <w:rPr>
                      <w:rFonts w:hint="default" w:ascii="Times New Roman" w:hAnsi="Times New Roman" w:eastAsia="宋体" w:cs="Times New Roman"/>
                      <w:color w:val="auto"/>
                      <w:sz w:val="21"/>
                      <w:szCs w:val="21"/>
                      <w:highlight w:val="none"/>
                      <w:lang w:val="en-US" w:eastAsia="zh-CN"/>
                    </w:rPr>
                  </w:pPr>
                </w:p>
              </w:tc>
              <w:tc>
                <w:tcPr>
                  <w:tcW w:w="555"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510"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555"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44.73</w:t>
                  </w:r>
                </w:p>
              </w:tc>
              <w:tc>
                <w:tcPr>
                  <w:tcW w:w="600"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-21.29</w:t>
                  </w:r>
                </w:p>
              </w:tc>
              <w:tc>
                <w:tcPr>
                  <w:tcW w:w="531"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1.0</w:t>
                  </w:r>
                </w:p>
              </w:tc>
              <w:tc>
                <w:tcPr>
                  <w:tcW w:w="538" w:type="pct"/>
                  <w:vMerge w:val="continue"/>
                  <w:tcBorders>
                    <w:tl2br w:val="nil"/>
                    <w:tr2bl w:val="nil"/>
                  </w:tcBorders>
                  <w:vAlign w:val="center"/>
                </w:tcPr>
                <w:p>
                  <w:pPr>
                    <w:jc w:val="center"/>
                    <w:rPr>
                      <w:color w:val="auto"/>
                      <w:highlight w:val="none"/>
                    </w:rPr>
                  </w:pPr>
                </w:p>
              </w:tc>
              <w:tc>
                <w:tcPr>
                  <w:tcW w:w="421" w:type="pct"/>
                  <w:vMerge w:val="continue"/>
                  <w:tcBorders>
                    <w:tl2br w:val="nil"/>
                    <w:tr2bl w:val="nil"/>
                  </w:tcBorders>
                  <w:vAlign w:val="center"/>
                </w:tcPr>
                <w:p>
                  <w:pPr>
                    <w:jc w:val="center"/>
                    <w:rPr>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509"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777" w:type="pct"/>
                  <w:vMerge w:val="restart"/>
                  <w:tcBorders>
                    <w:tl2br w:val="nil"/>
                    <w:tr2bl w:val="nil"/>
                  </w:tcBorders>
                  <w:vAlign w:val="center"/>
                </w:tcPr>
                <w:p>
                  <w:pPr>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破碎机</w:t>
                  </w:r>
                </w:p>
              </w:tc>
              <w:tc>
                <w:tcPr>
                  <w:tcW w:w="555" w:type="pct"/>
                  <w:vMerge w:val="restar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85</w:t>
                  </w:r>
                </w:p>
              </w:tc>
              <w:tc>
                <w:tcPr>
                  <w:tcW w:w="510" w:type="pct"/>
                  <w:vMerge w:val="restar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w:t>
                  </w:r>
                </w:p>
              </w:tc>
              <w:tc>
                <w:tcPr>
                  <w:tcW w:w="555"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42.47</w:t>
                  </w:r>
                </w:p>
              </w:tc>
              <w:tc>
                <w:tcPr>
                  <w:tcW w:w="600"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-13.5</w:t>
                  </w:r>
                </w:p>
              </w:tc>
              <w:tc>
                <w:tcPr>
                  <w:tcW w:w="531"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1.0</w:t>
                  </w:r>
                </w:p>
              </w:tc>
              <w:tc>
                <w:tcPr>
                  <w:tcW w:w="538" w:type="pct"/>
                  <w:vMerge w:val="continue"/>
                  <w:tcBorders>
                    <w:tl2br w:val="nil"/>
                    <w:tr2bl w:val="nil"/>
                  </w:tcBorders>
                  <w:vAlign w:val="center"/>
                </w:tcPr>
                <w:p>
                  <w:pPr>
                    <w:jc w:val="center"/>
                    <w:rPr>
                      <w:color w:val="auto"/>
                      <w:highlight w:val="none"/>
                    </w:rPr>
                  </w:pPr>
                </w:p>
              </w:tc>
              <w:tc>
                <w:tcPr>
                  <w:tcW w:w="421" w:type="pct"/>
                  <w:vMerge w:val="continue"/>
                  <w:tcBorders>
                    <w:tl2br w:val="nil"/>
                    <w:tr2bl w:val="nil"/>
                  </w:tcBorders>
                  <w:vAlign w:val="center"/>
                </w:tcPr>
                <w:p>
                  <w:pPr>
                    <w:jc w:val="center"/>
                    <w:rPr>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509"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777"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555"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510"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555"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45.63</w:t>
                  </w:r>
                </w:p>
              </w:tc>
              <w:tc>
                <w:tcPr>
                  <w:tcW w:w="600"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-13.5</w:t>
                  </w:r>
                </w:p>
              </w:tc>
              <w:tc>
                <w:tcPr>
                  <w:tcW w:w="531"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1.0</w:t>
                  </w:r>
                </w:p>
              </w:tc>
              <w:tc>
                <w:tcPr>
                  <w:tcW w:w="538" w:type="pct"/>
                  <w:vMerge w:val="continue"/>
                  <w:tcBorders>
                    <w:tl2br w:val="nil"/>
                    <w:tr2bl w:val="nil"/>
                  </w:tcBorders>
                  <w:vAlign w:val="center"/>
                </w:tcPr>
                <w:p>
                  <w:pPr>
                    <w:jc w:val="center"/>
                    <w:rPr>
                      <w:color w:val="auto"/>
                      <w:highlight w:val="none"/>
                    </w:rPr>
                  </w:pPr>
                </w:p>
              </w:tc>
              <w:tc>
                <w:tcPr>
                  <w:tcW w:w="421" w:type="pct"/>
                  <w:vMerge w:val="continue"/>
                  <w:tcBorders>
                    <w:tl2br w:val="nil"/>
                    <w:tr2bl w:val="nil"/>
                  </w:tcBorders>
                  <w:vAlign w:val="center"/>
                </w:tcPr>
                <w:p>
                  <w:pPr>
                    <w:jc w:val="center"/>
                    <w:rPr>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509"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777" w:type="pct"/>
                  <w:tcBorders>
                    <w:tl2br w:val="nil"/>
                    <w:tr2bl w:val="nil"/>
                  </w:tcBorders>
                  <w:vAlign w:val="center"/>
                </w:tcPr>
                <w:p>
                  <w:pPr>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冷却塔</w:t>
                  </w:r>
                </w:p>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风机</w:t>
                  </w:r>
                </w:p>
              </w:tc>
              <w:tc>
                <w:tcPr>
                  <w:tcW w:w="555"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80</w:t>
                  </w:r>
                </w:p>
              </w:tc>
              <w:tc>
                <w:tcPr>
                  <w:tcW w:w="510"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w:t>
                  </w:r>
                </w:p>
              </w:tc>
              <w:tc>
                <w:tcPr>
                  <w:tcW w:w="555"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54.44</w:t>
                  </w:r>
                </w:p>
              </w:tc>
              <w:tc>
                <w:tcPr>
                  <w:tcW w:w="600"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-2.55</w:t>
                  </w:r>
                </w:p>
              </w:tc>
              <w:tc>
                <w:tcPr>
                  <w:tcW w:w="531"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1.0</w:t>
                  </w:r>
                </w:p>
              </w:tc>
              <w:tc>
                <w:tcPr>
                  <w:tcW w:w="538" w:type="pct"/>
                  <w:vMerge w:val="continue"/>
                  <w:tcBorders>
                    <w:tl2br w:val="nil"/>
                    <w:tr2bl w:val="nil"/>
                  </w:tcBorders>
                  <w:vAlign w:val="center"/>
                </w:tcPr>
                <w:p>
                  <w:pPr>
                    <w:jc w:val="center"/>
                    <w:rPr>
                      <w:color w:val="auto"/>
                      <w:highlight w:val="none"/>
                    </w:rPr>
                  </w:pPr>
                </w:p>
              </w:tc>
              <w:tc>
                <w:tcPr>
                  <w:tcW w:w="421" w:type="pct"/>
                  <w:vMerge w:val="continue"/>
                  <w:tcBorders>
                    <w:tl2br w:val="nil"/>
                    <w:tr2bl w:val="nil"/>
                  </w:tcBorders>
                  <w:vAlign w:val="center"/>
                </w:tcPr>
                <w:p>
                  <w:pPr>
                    <w:jc w:val="center"/>
                    <w:rPr>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509"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777" w:type="pct"/>
                  <w:vMerge w:val="restar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风机</w:t>
                  </w:r>
                </w:p>
              </w:tc>
              <w:tc>
                <w:tcPr>
                  <w:tcW w:w="555" w:type="pct"/>
                  <w:vMerge w:val="restart"/>
                  <w:tcBorders>
                    <w:tl2br w:val="nil"/>
                    <w:tr2bl w:val="nil"/>
                  </w:tcBorders>
                  <w:vAlign w:val="center"/>
                </w:tcPr>
                <w:p>
                  <w:pPr>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80</w:t>
                  </w:r>
                </w:p>
              </w:tc>
              <w:tc>
                <w:tcPr>
                  <w:tcW w:w="510" w:type="pct"/>
                  <w:vMerge w:val="restar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w:t>
                  </w:r>
                </w:p>
              </w:tc>
              <w:tc>
                <w:tcPr>
                  <w:tcW w:w="555"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14.52</w:t>
                  </w:r>
                </w:p>
              </w:tc>
              <w:tc>
                <w:tcPr>
                  <w:tcW w:w="600"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-14.34</w:t>
                  </w:r>
                </w:p>
              </w:tc>
              <w:tc>
                <w:tcPr>
                  <w:tcW w:w="531"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1.0</w:t>
                  </w:r>
                </w:p>
              </w:tc>
              <w:tc>
                <w:tcPr>
                  <w:tcW w:w="538" w:type="pct"/>
                  <w:vMerge w:val="continue"/>
                  <w:tcBorders>
                    <w:tl2br w:val="nil"/>
                    <w:tr2bl w:val="nil"/>
                  </w:tcBorders>
                  <w:vAlign w:val="center"/>
                </w:tcPr>
                <w:p>
                  <w:pPr>
                    <w:jc w:val="center"/>
                    <w:rPr>
                      <w:color w:val="auto"/>
                      <w:highlight w:val="none"/>
                    </w:rPr>
                  </w:pPr>
                </w:p>
              </w:tc>
              <w:tc>
                <w:tcPr>
                  <w:tcW w:w="421" w:type="pct"/>
                  <w:vMerge w:val="continue"/>
                  <w:tcBorders>
                    <w:tl2br w:val="nil"/>
                    <w:tr2bl w:val="nil"/>
                  </w:tcBorders>
                  <w:vAlign w:val="center"/>
                </w:tcPr>
                <w:p>
                  <w:pPr>
                    <w:jc w:val="center"/>
                    <w:rPr>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509"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777"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555"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510" w:type="pct"/>
                  <w:vMerge w:val="continue"/>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p>
              </w:tc>
              <w:tc>
                <w:tcPr>
                  <w:tcW w:w="555"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14.61</w:t>
                  </w:r>
                </w:p>
              </w:tc>
              <w:tc>
                <w:tcPr>
                  <w:tcW w:w="600"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-17.79</w:t>
                  </w:r>
                </w:p>
              </w:tc>
              <w:tc>
                <w:tcPr>
                  <w:tcW w:w="531"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1.0</w:t>
                  </w:r>
                </w:p>
              </w:tc>
              <w:tc>
                <w:tcPr>
                  <w:tcW w:w="538" w:type="pct"/>
                  <w:vMerge w:val="continue"/>
                  <w:tcBorders>
                    <w:tl2br w:val="nil"/>
                    <w:tr2bl w:val="nil"/>
                  </w:tcBorders>
                  <w:vAlign w:val="center"/>
                </w:tcPr>
                <w:p>
                  <w:pPr>
                    <w:jc w:val="center"/>
                    <w:rPr>
                      <w:color w:val="auto"/>
                      <w:highlight w:val="none"/>
                    </w:rPr>
                  </w:pPr>
                </w:p>
              </w:tc>
              <w:tc>
                <w:tcPr>
                  <w:tcW w:w="421" w:type="pct"/>
                  <w:vMerge w:val="continue"/>
                  <w:tcBorders>
                    <w:tl2br w:val="nil"/>
                    <w:tr2bl w:val="nil"/>
                  </w:tcBorders>
                  <w:vAlign w:val="center"/>
                </w:tcPr>
                <w:p>
                  <w:pPr>
                    <w:jc w:val="center"/>
                    <w:rPr>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509" w:type="pct"/>
                  <w:vMerge w:val="continue"/>
                  <w:tcBorders>
                    <w:tl2br w:val="nil"/>
                    <w:tr2bl w:val="nil"/>
                  </w:tcBorders>
                  <w:vAlign w:val="center"/>
                </w:tcPr>
                <w:p>
                  <w:pPr>
                    <w:jc w:val="center"/>
                    <w:rPr>
                      <w:color w:val="auto"/>
                      <w:highlight w:val="none"/>
                    </w:rPr>
                  </w:pPr>
                </w:p>
              </w:tc>
              <w:tc>
                <w:tcPr>
                  <w:tcW w:w="777" w:type="pct"/>
                  <w:vMerge w:val="continue"/>
                  <w:tcBorders>
                    <w:tl2br w:val="nil"/>
                    <w:tr2bl w:val="nil"/>
                  </w:tcBorders>
                  <w:vAlign w:val="center"/>
                </w:tcPr>
                <w:p>
                  <w:pPr>
                    <w:jc w:val="center"/>
                    <w:rPr>
                      <w:color w:val="auto"/>
                      <w:highlight w:val="none"/>
                    </w:rPr>
                  </w:pPr>
                </w:p>
              </w:tc>
              <w:tc>
                <w:tcPr>
                  <w:tcW w:w="555" w:type="pct"/>
                  <w:vMerge w:val="continue"/>
                  <w:tcBorders>
                    <w:tl2br w:val="nil"/>
                    <w:tr2bl w:val="nil"/>
                  </w:tcBorders>
                  <w:vAlign w:val="center"/>
                </w:tcPr>
                <w:p>
                  <w:pPr>
                    <w:jc w:val="center"/>
                    <w:rPr>
                      <w:color w:val="auto"/>
                      <w:highlight w:val="none"/>
                    </w:rPr>
                  </w:pPr>
                </w:p>
              </w:tc>
              <w:tc>
                <w:tcPr>
                  <w:tcW w:w="510" w:type="pct"/>
                  <w:vMerge w:val="continue"/>
                  <w:tcBorders>
                    <w:tl2br w:val="nil"/>
                    <w:tr2bl w:val="nil"/>
                  </w:tcBorders>
                  <w:vAlign w:val="center"/>
                </w:tcPr>
                <w:p>
                  <w:pPr>
                    <w:jc w:val="center"/>
                    <w:rPr>
                      <w:color w:val="auto"/>
                      <w:highlight w:val="none"/>
                    </w:rPr>
                  </w:pPr>
                </w:p>
              </w:tc>
              <w:tc>
                <w:tcPr>
                  <w:tcW w:w="555"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41.97</w:t>
                  </w:r>
                </w:p>
              </w:tc>
              <w:tc>
                <w:tcPr>
                  <w:tcW w:w="600"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w:t>
                  </w:r>
                </w:p>
              </w:tc>
              <w:tc>
                <w:tcPr>
                  <w:tcW w:w="531" w:type="pct"/>
                  <w:tcBorders>
                    <w:tl2br w:val="nil"/>
                    <w:tr2bl w:val="nil"/>
                  </w:tcBorders>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1.0</w:t>
                  </w:r>
                </w:p>
              </w:tc>
              <w:tc>
                <w:tcPr>
                  <w:tcW w:w="538" w:type="pct"/>
                  <w:vMerge w:val="continue"/>
                  <w:tcBorders>
                    <w:tl2br w:val="nil"/>
                    <w:tr2bl w:val="nil"/>
                  </w:tcBorders>
                  <w:vAlign w:val="center"/>
                </w:tcPr>
                <w:p>
                  <w:pPr>
                    <w:jc w:val="center"/>
                    <w:rPr>
                      <w:color w:val="auto"/>
                      <w:highlight w:val="none"/>
                    </w:rPr>
                  </w:pPr>
                </w:p>
              </w:tc>
              <w:tc>
                <w:tcPr>
                  <w:tcW w:w="421" w:type="pct"/>
                  <w:vMerge w:val="continue"/>
                  <w:tcBorders>
                    <w:tl2br w:val="nil"/>
                    <w:tr2bl w:val="nil"/>
                  </w:tcBorders>
                  <w:vAlign w:val="center"/>
                </w:tcPr>
                <w:p>
                  <w:pPr>
                    <w:jc w:val="center"/>
                    <w:rPr>
                      <w:color w:val="auto"/>
                      <w:highlight w:val="none"/>
                    </w:rPr>
                  </w:pPr>
                </w:p>
              </w:tc>
            </w:tr>
          </w:tbl>
          <w:p>
            <w:pPr>
              <w:widowControl/>
              <w:rPr>
                <w:b/>
                <w:bCs/>
                <w:color w:val="auto"/>
                <w:highlight w:val="none"/>
              </w:rPr>
            </w:pPr>
            <w:r>
              <w:rPr>
                <w:b/>
                <w:bCs/>
                <w:color w:val="auto"/>
                <w:highlight w:val="none"/>
              </w:rPr>
              <w:t>注：项目坐标原点位于本项目厂区</w:t>
            </w:r>
            <w:r>
              <w:rPr>
                <w:rFonts w:hint="eastAsia"/>
                <w:b/>
                <w:bCs/>
                <w:color w:val="auto"/>
                <w:highlight w:val="none"/>
                <w:lang w:val="en-US" w:eastAsia="zh-CN"/>
              </w:rPr>
              <w:t>西北</w:t>
            </w:r>
            <w:r>
              <w:rPr>
                <w:b/>
                <w:bCs/>
                <w:color w:val="auto"/>
                <w:highlight w:val="none"/>
              </w:rPr>
              <w:t>角处。</w:t>
            </w:r>
          </w:p>
          <w:p>
            <w:pPr>
              <w:widowControl/>
              <w:spacing w:line="240" w:lineRule="auto"/>
              <w:ind w:firstLine="482" w:firstLineChars="200"/>
              <w:rPr>
                <w:b/>
                <w:bCs/>
                <w:i w:val="0"/>
                <w:iCs w:val="0"/>
                <w:color w:val="auto"/>
                <w:sz w:val="24"/>
                <w:highlight w:val="none"/>
                <w:u w:val="none"/>
              </w:rPr>
            </w:pPr>
          </w:p>
          <w:p>
            <w:pPr>
              <w:widowControl/>
              <w:spacing w:line="360" w:lineRule="auto"/>
              <w:ind w:firstLine="482" w:firstLineChars="200"/>
              <w:rPr>
                <w:b/>
                <w:bCs/>
                <w:i w:val="0"/>
                <w:iCs w:val="0"/>
                <w:color w:val="auto"/>
                <w:sz w:val="24"/>
                <w:highlight w:val="none"/>
                <w:u w:val="none"/>
              </w:rPr>
            </w:pPr>
            <w:r>
              <w:rPr>
                <w:b/>
                <w:bCs/>
                <w:i w:val="0"/>
                <w:iCs w:val="0"/>
                <w:color w:val="auto"/>
                <w:sz w:val="24"/>
                <w:highlight w:val="none"/>
                <w:u w:val="none"/>
              </w:rPr>
              <w:t>3.2主要噪声控制措施</w:t>
            </w:r>
          </w:p>
          <w:p>
            <w:pPr>
              <w:spacing w:line="360" w:lineRule="auto"/>
              <w:ind w:firstLine="480" w:firstLineChars="200"/>
              <w:rPr>
                <w:i w:val="0"/>
                <w:iCs w:val="0"/>
                <w:color w:val="auto"/>
                <w:sz w:val="24"/>
                <w:highlight w:val="none"/>
                <w:u w:val="none"/>
              </w:rPr>
            </w:pPr>
            <w:r>
              <w:rPr>
                <w:i w:val="0"/>
                <w:iCs w:val="0"/>
                <w:color w:val="auto"/>
                <w:sz w:val="24"/>
                <w:highlight w:val="none"/>
                <w:u w:val="none"/>
              </w:rPr>
              <w:t>本项目昼间（6:00-22:00）生产，同时项目厂界周边50m范围内无声环境敏感点，为了确保噪声排放稳定达标，本次环评提出以下噪声污染防治措施：</w:t>
            </w:r>
          </w:p>
          <w:p>
            <w:pPr>
              <w:spacing w:line="360" w:lineRule="auto"/>
              <w:ind w:firstLine="480" w:firstLineChars="200"/>
              <w:rPr>
                <w:b w:val="0"/>
                <w:bCs w:val="0"/>
                <w:i w:val="0"/>
                <w:iCs w:val="0"/>
                <w:color w:val="auto"/>
                <w:sz w:val="24"/>
                <w:highlight w:val="none"/>
                <w:u w:val="none"/>
              </w:rPr>
            </w:pPr>
            <w:r>
              <w:rPr>
                <w:b w:val="0"/>
                <w:bCs w:val="0"/>
                <w:i w:val="0"/>
                <w:iCs w:val="0"/>
                <w:color w:val="auto"/>
                <w:sz w:val="24"/>
                <w:highlight w:val="none"/>
                <w:u w:val="none"/>
              </w:rPr>
              <w:t>①规范设备操作，避免操作不当，产生强声源噪声。</w:t>
            </w:r>
          </w:p>
          <w:p>
            <w:pPr>
              <w:spacing w:line="360" w:lineRule="auto"/>
              <w:ind w:firstLine="480" w:firstLineChars="200"/>
              <w:rPr>
                <w:b w:val="0"/>
                <w:bCs w:val="0"/>
                <w:i w:val="0"/>
                <w:iCs w:val="0"/>
                <w:color w:val="auto"/>
                <w:sz w:val="24"/>
                <w:highlight w:val="none"/>
                <w:u w:val="none"/>
              </w:rPr>
            </w:pPr>
            <w:r>
              <w:rPr>
                <w:b w:val="0"/>
                <w:bCs w:val="0"/>
                <w:i w:val="0"/>
                <w:iCs w:val="0"/>
                <w:color w:val="auto"/>
                <w:sz w:val="24"/>
                <w:highlight w:val="none"/>
                <w:u w:val="none"/>
              </w:rPr>
              <w:t>②加强设备维护使之处于良好运转状况</w:t>
            </w:r>
            <w:r>
              <w:rPr>
                <w:rFonts w:hint="eastAsia"/>
                <w:b w:val="0"/>
                <w:bCs w:val="0"/>
                <w:i w:val="0"/>
                <w:iCs w:val="0"/>
                <w:color w:val="auto"/>
                <w:sz w:val="24"/>
                <w:highlight w:val="none"/>
                <w:u w:val="none"/>
                <w:lang w:eastAsia="zh-CN"/>
              </w:rPr>
              <w:t>，风机安装消声器，设备安装减震垫</w:t>
            </w:r>
            <w:r>
              <w:rPr>
                <w:b w:val="0"/>
                <w:bCs w:val="0"/>
                <w:i w:val="0"/>
                <w:iCs w:val="0"/>
                <w:color w:val="auto"/>
                <w:sz w:val="24"/>
                <w:highlight w:val="none"/>
                <w:u w:val="none"/>
              </w:rPr>
              <w:t>。</w:t>
            </w:r>
          </w:p>
          <w:p>
            <w:pPr>
              <w:spacing w:line="360" w:lineRule="auto"/>
              <w:ind w:firstLine="480" w:firstLineChars="200"/>
              <w:rPr>
                <w:b/>
                <w:bCs/>
                <w:i w:val="0"/>
                <w:iCs w:val="0"/>
                <w:color w:val="auto"/>
                <w:sz w:val="24"/>
                <w:highlight w:val="none"/>
                <w:u w:val="none"/>
              </w:rPr>
            </w:pPr>
            <w:r>
              <w:rPr>
                <w:b w:val="0"/>
                <w:bCs w:val="0"/>
                <w:i w:val="0"/>
                <w:iCs w:val="0"/>
                <w:color w:val="auto"/>
                <w:sz w:val="24"/>
                <w:highlight w:val="none"/>
                <w:u w:val="none"/>
              </w:rPr>
              <w:t>③合理布局生产设备，经厂房隔声处理后，可确保厂界噪声达标，同时加强设备保养，对设备定期检修、维护保养，及时更换易损件，紧固各个零部件，减少噪声产生。</w:t>
            </w:r>
          </w:p>
          <w:p>
            <w:pPr>
              <w:widowControl/>
              <w:spacing w:line="360" w:lineRule="auto"/>
              <w:ind w:firstLine="482" w:firstLineChars="200"/>
              <w:rPr>
                <w:b/>
                <w:bCs/>
                <w:color w:val="auto"/>
                <w:sz w:val="24"/>
                <w:highlight w:val="none"/>
              </w:rPr>
            </w:pPr>
            <w:r>
              <w:rPr>
                <w:b/>
                <w:bCs/>
                <w:color w:val="auto"/>
                <w:sz w:val="24"/>
                <w:highlight w:val="none"/>
              </w:rPr>
              <w:t>3.3厂界达标情况分析</w:t>
            </w:r>
          </w:p>
          <w:p>
            <w:pPr>
              <w:widowControl/>
              <w:spacing w:line="360" w:lineRule="auto"/>
              <w:ind w:firstLine="482" w:firstLineChars="200"/>
              <w:rPr>
                <w:b/>
                <w:bCs/>
                <w:color w:val="auto"/>
                <w:sz w:val="24"/>
                <w:highlight w:val="none"/>
              </w:rPr>
            </w:pPr>
            <w:r>
              <w:rPr>
                <w:b/>
                <w:bCs/>
                <w:color w:val="auto"/>
                <w:sz w:val="24"/>
                <w:highlight w:val="none"/>
              </w:rPr>
              <w:t>（1）预测模式</w:t>
            </w:r>
          </w:p>
          <w:p>
            <w:pPr>
              <w:spacing w:line="360" w:lineRule="auto"/>
              <w:ind w:firstLine="480" w:firstLineChars="200"/>
              <w:rPr>
                <w:color w:val="auto"/>
                <w:sz w:val="24"/>
                <w:highlight w:val="none"/>
              </w:rPr>
            </w:pPr>
            <w:r>
              <w:rPr>
                <w:color w:val="auto"/>
                <w:sz w:val="24"/>
                <w:highlight w:val="none"/>
              </w:rPr>
              <w:t>根据项目建设内容及《环境影响评价技术导则 声环境》（HJ2.4-2021）的要求，项目环评采用石家庄环安科技有限公司研发的环安噪声环境影响评价系统。该系统计算工业噪声时采用的模型为《环境影响评价技术导则 声环境》（HJ2.4-2021）附录B（规范性附录）中</w:t>
            </w:r>
            <w:r>
              <w:rPr>
                <w:rFonts w:hint="eastAsia"/>
                <w:color w:val="auto"/>
                <w:sz w:val="24"/>
                <w:highlight w:val="none"/>
                <w:lang w:eastAsia="zh-CN"/>
              </w:rPr>
              <w:t>“</w:t>
            </w:r>
            <w:r>
              <w:rPr>
                <w:color w:val="auto"/>
                <w:sz w:val="24"/>
                <w:highlight w:val="none"/>
              </w:rPr>
              <w:t>B.1工业噪声预测计算模型</w:t>
            </w:r>
            <w:r>
              <w:rPr>
                <w:rFonts w:hint="eastAsia"/>
                <w:color w:val="auto"/>
                <w:sz w:val="24"/>
                <w:highlight w:val="none"/>
                <w:lang w:eastAsia="zh-CN"/>
              </w:rPr>
              <w:t>”</w:t>
            </w:r>
            <w:r>
              <w:rPr>
                <w:color w:val="auto"/>
                <w:sz w:val="24"/>
                <w:highlight w:val="none"/>
              </w:rPr>
              <w:t>。预测项目运营期厂界噪声贡献值，评价其超标和达标情况。</w:t>
            </w:r>
          </w:p>
          <w:p>
            <w:pPr>
              <w:widowControl/>
              <w:spacing w:line="360" w:lineRule="auto"/>
              <w:ind w:firstLine="482" w:firstLineChars="200"/>
              <w:rPr>
                <w:b/>
                <w:bCs/>
                <w:color w:val="auto"/>
                <w:sz w:val="24"/>
                <w:highlight w:val="none"/>
              </w:rPr>
            </w:pPr>
            <w:r>
              <w:rPr>
                <w:b/>
                <w:bCs/>
                <w:color w:val="auto"/>
                <w:sz w:val="24"/>
                <w:highlight w:val="none"/>
              </w:rPr>
              <w:t>（2）预测结果及评价</w:t>
            </w:r>
          </w:p>
          <w:p>
            <w:pPr>
              <w:spacing w:line="360" w:lineRule="auto"/>
              <w:ind w:firstLine="480" w:firstLineChars="200"/>
              <w:rPr>
                <w:color w:val="auto"/>
                <w:sz w:val="24"/>
                <w:highlight w:val="none"/>
              </w:rPr>
            </w:pPr>
            <w:r>
              <w:rPr>
                <w:color w:val="auto"/>
                <w:sz w:val="24"/>
                <w:highlight w:val="none"/>
              </w:rPr>
              <w:t>根据《环境影响评价技术导则 声环境》（HJ2.4-2021），采用导则中推荐的预测模型，使用环安噪声环境影响评价系统进行预测，预测结果详见下表。</w:t>
            </w:r>
          </w:p>
          <w:p>
            <w:pPr>
              <w:pStyle w:val="16"/>
              <w:spacing w:line="240" w:lineRule="auto"/>
              <w:ind w:firstLine="0" w:firstLineChars="0"/>
              <w:jc w:val="center"/>
              <w:rPr>
                <w:b/>
                <w:bCs/>
                <w:color w:val="auto"/>
                <w:highlight w:val="none"/>
              </w:rPr>
            </w:pPr>
            <w:r>
              <w:rPr>
                <w:b/>
                <w:bCs/>
                <w:color w:val="auto"/>
                <w:highlight w:val="none"/>
              </w:rPr>
              <w:t>表4-</w:t>
            </w:r>
            <w:r>
              <w:rPr>
                <w:rFonts w:hint="eastAsia"/>
                <w:b/>
                <w:bCs/>
                <w:color w:val="auto"/>
                <w:highlight w:val="none"/>
                <w:lang w:val="en-US" w:eastAsia="zh-CN"/>
              </w:rPr>
              <w:t>9</w:t>
            </w:r>
            <w:r>
              <w:rPr>
                <w:b/>
                <w:bCs/>
                <w:color w:val="auto"/>
                <w:highlight w:val="none"/>
              </w:rPr>
              <w:t xml:space="preserve">  厂界噪声预测结果</w:t>
            </w:r>
          </w:p>
          <w:tbl>
            <w:tblPr>
              <w:tblStyle w:val="30"/>
              <w:tblW w:w="4994"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3348"/>
              <w:gridCol w:w="1993"/>
              <w:gridCol w:w="155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886" w:type="pct"/>
                  <w:vMerge w:val="restart"/>
                  <w:tcBorders>
                    <w:tl2br w:val="nil"/>
                    <w:tr2bl w:val="nil"/>
                  </w:tcBorders>
                  <w:vAlign w:val="center"/>
                </w:tcPr>
                <w:p>
                  <w:pPr>
                    <w:pStyle w:val="69"/>
                    <w:rPr>
                      <w:color w:val="auto"/>
                      <w:highlight w:val="none"/>
                    </w:rPr>
                  </w:pPr>
                  <w:r>
                    <w:rPr>
                      <w:color w:val="auto"/>
                      <w:highlight w:val="none"/>
                    </w:rPr>
                    <w:t>方位</w:t>
                  </w:r>
                </w:p>
              </w:tc>
              <w:tc>
                <w:tcPr>
                  <w:tcW w:w="1998" w:type="pct"/>
                  <w:vMerge w:val="restart"/>
                  <w:tcBorders>
                    <w:tl2br w:val="nil"/>
                    <w:tr2bl w:val="nil"/>
                  </w:tcBorders>
                  <w:vAlign w:val="center"/>
                </w:tcPr>
                <w:p>
                  <w:pPr>
                    <w:pStyle w:val="69"/>
                    <w:rPr>
                      <w:color w:val="auto"/>
                      <w:highlight w:val="none"/>
                    </w:rPr>
                  </w:pPr>
                  <w:r>
                    <w:rPr>
                      <w:color w:val="auto"/>
                      <w:highlight w:val="none"/>
                    </w:rPr>
                    <w:t>贡献值范围dB（A）</w:t>
                  </w:r>
                </w:p>
              </w:tc>
              <w:tc>
                <w:tcPr>
                  <w:tcW w:w="1189" w:type="pct"/>
                  <w:tcBorders>
                    <w:tl2br w:val="nil"/>
                    <w:tr2bl w:val="nil"/>
                  </w:tcBorders>
                  <w:vAlign w:val="center"/>
                </w:tcPr>
                <w:p>
                  <w:pPr>
                    <w:pStyle w:val="69"/>
                    <w:rPr>
                      <w:color w:val="auto"/>
                      <w:highlight w:val="none"/>
                    </w:rPr>
                  </w:pPr>
                  <w:r>
                    <w:rPr>
                      <w:color w:val="auto"/>
                      <w:highlight w:val="none"/>
                    </w:rPr>
                    <w:t>标准dB（A）</w:t>
                  </w:r>
                </w:p>
              </w:tc>
              <w:tc>
                <w:tcPr>
                  <w:tcW w:w="925" w:type="pct"/>
                  <w:vMerge w:val="restart"/>
                  <w:tcBorders>
                    <w:tl2br w:val="nil"/>
                    <w:tr2bl w:val="nil"/>
                  </w:tcBorders>
                  <w:vAlign w:val="center"/>
                </w:tcPr>
                <w:p>
                  <w:pPr>
                    <w:pStyle w:val="69"/>
                    <w:rPr>
                      <w:color w:val="auto"/>
                      <w:highlight w:val="none"/>
                    </w:rPr>
                  </w:pPr>
                  <w:r>
                    <w:rPr>
                      <w:color w:val="auto"/>
                      <w:highlight w:val="none"/>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886" w:type="pct"/>
                  <w:vMerge w:val="continue"/>
                  <w:tcBorders>
                    <w:tl2br w:val="nil"/>
                    <w:tr2bl w:val="nil"/>
                  </w:tcBorders>
                  <w:vAlign w:val="center"/>
                </w:tcPr>
                <w:p>
                  <w:pPr>
                    <w:pStyle w:val="69"/>
                    <w:rPr>
                      <w:color w:val="auto"/>
                      <w:highlight w:val="none"/>
                    </w:rPr>
                  </w:pPr>
                </w:p>
              </w:tc>
              <w:tc>
                <w:tcPr>
                  <w:tcW w:w="1998" w:type="pct"/>
                  <w:vMerge w:val="continue"/>
                  <w:tcBorders>
                    <w:tl2br w:val="nil"/>
                    <w:tr2bl w:val="nil"/>
                  </w:tcBorders>
                  <w:vAlign w:val="center"/>
                </w:tcPr>
                <w:p>
                  <w:pPr>
                    <w:pStyle w:val="69"/>
                    <w:rPr>
                      <w:color w:val="auto"/>
                      <w:highlight w:val="none"/>
                    </w:rPr>
                  </w:pPr>
                </w:p>
              </w:tc>
              <w:tc>
                <w:tcPr>
                  <w:tcW w:w="1189" w:type="pct"/>
                  <w:tcBorders>
                    <w:tl2br w:val="nil"/>
                    <w:tr2bl w:val="nil"/>
                  </w:tcBorders>
                  <w:vAlign w:val="center"/>
                </w:tcPr>
                <w:p>
                  <w:pPr>
                    <w:pStyle w:val="69"/>
                    <w:rPr>
                      <w:color w:val="auto"/>
                      <w:highlight w:val="none"/>
                    </w:rPr>
                  </w:pPr>
                  <w:r>
                    <w:rPr>
                      <w:color w:val="auto"/>
                      <w:highlight w:val="none"/>
                    </w:rPr>
                    <w:t>昼间</w:t>
                  </w:r>
                </w:p>
              </w:tc>
              <w:tc>
                <w:tcPr>
                  <w:tcW w:w="925" w:type="pct"/>
                  <w:vMerge w:val="continue"/>
                  <w:tcBorders>
                    <w:tl2br w:val="nil"/>
                    <w:tr2bl w:val="nil"/>
                  </w:tcBorders>
                  <w:vAlign w:val="center"/>
                </w:tcPr>
                <w:p>
                  <w:pPr>
                    <w:pStyle w:val="69"/>
                    <w:rPr>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886" w:type="pct"/>
                  <w:tcBorders>
                    <w:tl2br w:val="nil"/>
                    <w:tr2bl w:val="nil"/>
                  </w:tcBorders>
                  <w:vAlign w:val="center"/>
                </w:tcPr>
                <w:p>
                  <w:pPr>
                    <w:pStyle w:val="69"/>
                    <w:rPr>
                      <w:color w:val="auto"/>
                      <w:highlight w:val="none"/>
                    </w:rPr>
                  </w:pPr>
                  <w:r>
                    <w:rPr>
                      <w:color w:val="auto"/>
                      <w:highlight w:val="none"/>
                    </w:rPr>
                    <w:t>东侧</w:t>
                  </w:r>
                </w:p>
              </w:tc>
              <w:tc>
                <w:tcPr>
                  <w:tcW w:w="1998" w:type="pct"/>
                  <w:tcBorders>
                    <w:tl2br w:val="nil"/>
                    <w:tr2bl w:val="nil"/>
                  </w:tcBorders>
                  <w:vAlign w:val="center"/>
                </w:tcPr>
                <w:p>
                  <w:pPr>
                    <w:pStyle w:val="69"/>
                    <w:rPr>
                      <w:rFonts w:hint="default" w:eastAsia="宋体"/>
                      <w:b w:val="0"/>
                      <w:bCs w:val="0"/>
                      <w:i w:val="0"/>
                      <w:iCs w:val="0"/>
                      <w:color w:val="auto"/>
                      <w:highlight w:val="none"/>
                      <w:u w:val="none"/>
                      <w:lang w:val="en-US" w:eastAsia="zh-CN"/>
                    </w:rPr>
                  </w:pPr>
                  <w:r>
                    <w:rPr>
                      <w:rFonts w:hint="eastAsia"/>
                      <w:b w:val="0"/>
                      <w:bCs w:val="0"/>
                      <w:i w:val="0"/>
                      <w:iCs w:val="0"/>
                      <w:color w:val="auto"/>
                      <w:highlight w:val="none"/>
                      <w:u w:val="none"/>
                      <w:lang w:val="en-US" w:eastAsia="zh-CN"/>
                    </w:rPr>
                    <w:t>38.63</w:t>
                  </w:r>
                  <w:r>
                    <w:rPr>
                      <w:b w:val="0"/>
                      <w:bCs w:val="0"/>
                      <w:i w:val="0"/>
                      <w:iCs w:val="0"/>
                      <w:color w:val="auto"/>
                      <w:highlight w:val="none"/>
                      <w:u w:val="none"/>
                    </w:rPr>
                    <w:t>-</w:t>
                  </w:r>
                  <w:r>
                    <w:rPr>
                      <w:rFonts w:hint="eastAsia"/>
                      <w:b w:val="0"/>
                      <w:bCs w:val="0"/>
                      <w:i w:val="0"/>
                      <w:iCs w:val="0"/>
                      <w:color w:val="auto"/>
                      <w:highlight w:val="none"/>
                      <w:u w:val="none"/>
                      <w:lang w:val="en-US" w:eastAsia="zh-CN"/>
                    </w:rPr>
                    <w:t>46.60</w:t>
                  </w:r>
                </w:p>
              </w:tc>
              <w:tc>
                <w:tcPr>
                  <w:tcW w:w="1189" w:type="pct"/>
                  <w:vMerge w:val="restart"/>
                  <w:tcBorders>
                    <w:tl2br w:val="nil"/>
                    <w:tr2bl w:val="nil"/>
                  </w:tcBorders>
                  <w:vAlign w:val="center"/>
                </w:tcPr>
                <w:p>
                  <w:pPr>
                    <w:pStyle w:val="69"/>
                    <w:rPr>
                      <w:color w:val="auto"/>
                      <w:highlight w:val="none"/>
                    </w:rPr>
                  </w:pPr>
                  <w:r>
                    <w:rPr>
                      <w:color w:val="auto"/>
                      <w:highlight w:val="none"/>
                    </w:rPr>
                    <w:t>65</w:t>
                  </w:r>
                </w:p>
              </w:tc>
              <w:tc>
                <w:tcPr>
                  <w:tcW w:w="925" w:type="pct"/>
                  <w:tcBorders>
                    <w:tl2br w:val="nil"/>
                    <w:tr2bl w:val="nil"/>
                  </w:tcBorders>
                  <w:vAlign w:val="center"/>
                </w:tcPr>
                <w:p>
                  <w:pPr>
                    <w:pStyle w:val="69"/>
                    <w:rPr>
                      <w:color w:val="auto"/>
                      <w:highlight w:val="none"/>
                    </w:rPr>
                  </w:pPr>
                  <w:r>
                    <w:rPr>
                      <w:color w:val="auto"/>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886" w:type="pct"/>
                  <w:tcBorders>
                    <w:tl2br w:val="nil"/>
                    <w:tr2bl w:val="nil"/>
                  </w:tcBorders>
                  <w:vAlign w:val="center"/>
                </w:tcPr>
                <w:p>
                  <w:pPr>
                    <w:pStyle w:val="69"/>
                    <w:rPr>
                      <w:color w:val="auto"/>
                      <w:highlight w:val="none"/>
                    </w:rPr>
                  </w:pPr>
                  <w:r>
                    <w:rPr>
                      <w:color w:val="auto"/>
                      <w:highlight w:val="none"/>
                    </w:rPr>
                    <w:t>南侧</w:t>
                  </w:r>
                </w:p>
              </w:tc>
              <w:tc>
                <w:tcPr>
                  <w:tcW w:w="1998" w:type="pct"/>
                  <w:tcBorders>
                    <w:tl2br w:val="nil"/>
                    <w:tr2bl w:val="nil"/>
                  </w:tcBorders>
                  <w:vAlign w:val="center"/>
                </w:tcPr>
                <w:p>
                  <w:pPr>
                    <w:pStyle w:val="69"/>
                    <w:rPr>
                      <w:rFonts w:hint="default" w:eastAsia="宋体"/>
                      <w:b w:val="0"/>
                      <w:bCs w:val="0"/>
                      <w:i w:val="0"/>
                      <w:iCs w:val="0"/>
                      <w:color w:val="auto"/>
                      <w:highlight w:val="none"/>
                      <w:u w:val="none"/>
                      <w:lang w:val="en-US" w:eastAsia="zh-CN"/>
                    </w:rPr>
                  </w:pPr>
                  <w:r>
                    <w:rPr>
                      <w:rFonts w:hint="eastAsia"/>
                      <w:b w:val="0"/>
                      <w:bCs w:val="0"/>
                      <w:i w:val="0"/>
                      <w:iCs w:val="0"/>
                      <w:color w:val="auto"/>
                      <w:highlight w:val="none"/>
                      <w:u w:val="none"/>
                      <w:lang w:val="en-US" w:eastAsia="zh-CN"/>
                    </w:rPr>
                    <w:t>37.53</w:t>
                  </w:r>
                  <w:r>
                    <w:rPr>
                      <w:b w:val="0"/>
                      <w:bCs w:val="0"/>
                      <w:i w:val="0"/>
                      <w:iCs w:val="0"/>
                      <w:color w:val="auto"/>
                      <w:highlight w:val="none"/>
                      <w:u w:val="none"/>
                    </w:rPr>
                    <w:t>-</w:t>
                  </w:r>
                  <w:r>
                    <w:rPr>
                      <w:rFonts w:hint="eastAsia"/>
                      <w:b w:val="0"/>
                      <w:bCs w:val="0"/>
                      <w:i w:val="0"/>
                      <w:iCs w:val="0"/>
                      <w:color w:val="auto"/>
                      <w:highlight w:val="none"/>
                      <w:u w:val="none"/>
                      <w:lang w:val="en-US" w:eastAsia="zh-CN"/>
                    </w:rPr>
                    <w:t>39.45</w:t>
                  </w:r>
                </w:p>
              </w:tc>
              <w:tc>
                <w:tcPr>
                  <w:tcW w:w="1189" w:type="pct"/>
                  <w:vMerge w:val="continue"/>
                  <w:tcBorders>
                    <w:tl2br w:val="nil"/>
                    <w:tr2bl w:val="nil"/>
                  </w:tcBorders>
                  <w:vAlign w:val="center"/>
                </w:tcPr>
                <w:p>
                  <w:pPr>
                    <w:pStyle w:val="69"/>
                    <w:rPr>
                      <w:color w:val="auto"/>
                      <w:highlight w:val="none"/>
                    </w:rPr>
                  </w:pPr>
                </w:p>
              </w:tc>
              <w:tc>
                <w:tcPr>
                  <w:tcW w:w="925" w:type="pct"/>
                  <w:tcBorders>
                    <w:tl2br w:val="nil"/>
                    <w:tr2bl w:val="nil"/>
                  </w:tcBorders>
                  <w:vAlign w:val="center"/>
                </w:tcPr>
                <w:p>
                  <w:pPr>
                    <w:pStyle w:val="69"/>
                    <w:rPr>
                      <w:color w:val="auto"/>
                      <w:highlight w:val="none"/>
                    </w:rPr>
                  </w:pPr>
                  <w:r>
                    <w:rPr>
                      <w:color w:val="auto"/>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886" w:type="pct"/>
                  <w:tcBorders>
                    <w:tl2br w:val="nil"/>
                    <w:tr2bl w:val="nil"/>
                  </w:tcBorders>
                  <w:vAlign w:val="center"/>
                </w:tcPr>
                <w:p>
                  <w:pPr>
                    <w:pStyle w:val="69"/>
                    <w:rPr>
                      <w:color w:val="auto"/>
                      <w:highlight w:val="none"/>
                    </w:rPr>
                  </w:pPr>
                  <w:r>
                    <w:rPr>
                      <w:color w:val="auto"/>
                      <w:highlight w:val="none"/>
                    </w:rPr>
                    <w:t>西侧</w:t>
                  </w:r>
                </w:p>
              </w:tc>
              <w:tc>
                <w:tcPr>
                  <w:tcW w:w="1998" w:type="pct"/>
                  <w:tcBorders>
                    <w:tl2br w:val="nil"/>
                    <w:tr2bl w:val="nil"/>
                  </w:tcBorders>
                  <w:vAlign w:val="center"/>
                </w:tcPr>
                <w:p>
                  <w:pPr>
                    <w:pStyle w:val="69"/>
                    <w:rPr>
                      <w:rFonts w:hint="default" w:eastAsia="宋体"/>
                      <w:b w:val="0"/>
                      <w:bCs w:val="0"/>
                      <w:i w:val="0"/>
                      <w:iCs w:val="0"/>
                      <w:color w:val="auto"/>
                      <w:highlight w:val="none"/>
                      <w:u w:val="none"/>
                      <w:lang w:val="en-US" w:eastAsia="zh-CN"/>
                    </w:rPr>
                  </w:pPr>
                  <w:r>
                    <w:rPr>
                      <w:rFonts w:hint="eastAsia"/>
                      <w:b w:val="0"/>
                      <w:bCs w:val="0"/>
                      <w:i w:val="0"/>
                      <w:iCs w:val="0"/>
                      <w:color w:val="auto"/>
                      <w:highlight w:val="none"/>
                      <w:u w:val="none"/>
                      <w:lang w:val="en-US" w:eastAsia="zh-CN"/>
                    </w:rPr>
                    <w:t>37.64</w:t>
                  </w:r>
                  <w:r>
                    <w:rPr>
                      <w:b w:val="0"/>
                      <w:bCs w:val="0"/>
                      <w:i w:val="0"/>
                      <w:iCs w:val="0"/>
                      <w:color w:val="auto"/>
                      <w:highlight w:val="none"/>
                      <w:u w:val="none"/>
                    </w:rPr>
                    <w:t>-</w:t>
                  </w:r>
                  <w:r>
                    <w:rPr>
                      <w:rFonts w:hint="eastAsia"/>
                      <w:b w:val="0"/>
                      <w:bCs w:val="0"/>
                      <w:i w:val="0"/>
                      <w:iCs w:val="0"/>
                      <w:color w:val="auto"/>
                      <w:highlight w:val="none"/>
                      <w:u w:val="none"/>
                      <w:lang w:val="en-US" w:eastAsia="zh-CN"/>
                    </w:rPr>
                    <w:t>43.05</w:t>
                  </w:r>
                </w:p>
              </w:tc>
              <w:tc>
                <w:tcPr>
                  <w:tcW w:w="1189" w:type="pct"/>
                  <w:vMerge w:val="continue"/>
                  <w:tcBorders>
                    <w:tl2br w:val="nil"/>
                    <w:tr2bl w:val="nil"/>
                  </w:tcBorders>
                  <w:vAlign w:val="center"/>
                </w:tcPr>
                <w:p>
                  <w:pPr>
                    <w:pStyle w:val="69"/>
                    <w:rPr>
                      <w:color w:val="auto"/>
                      <w:highlight w:val="none"/>
                    </w:rPr>
                  </w:pPr>
                </w:p>
              </w:tc>
              <w:tc>
                <w:tcPr>
                  <w:tcW w:w="925" w:type="pct"/>
                  <w:tcBorders>
                    <w:tl2br w:val="nil"/>
                    <w:tr2bl w:val="nil"/>
                  </w:tcBorders>
                  <w:vAlign w:val="center"/>
                </w:tcPr>
                <w:p>
                  <w:pPr>
                    <w:pStyle w:val="69"/>
                    <w:rPr>
                      <w:color w:val="auto"/>
                      <w:highlight w:val="none"/>
                    </w:rPr>
                  </w:pPr>
                  <w:r>
                    <w:rPr>
                      <w:color w:val="auto"/>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886" w:type="pct"/>
                  <w:tcBorders>
                    <w:tl2br w:val="nil"/>
                    <w:tr2bl w:val="nil"/>
                  </w:tcBorders>
                  <w:vAlign w:val="center"/>
                </w:tcPr>
                <w:p>
                  <w:pPr>
                    <w:pStyle w:val="69"/>
                    <w:rPr>
                      <w:color w:val="auto"/>
                      <w:highlight w:val="none"/>
                    </w:rPr>
                  </w:pPr>
                  <w:r>
                    <w:rPr>
                      <w:color w:val="auto"/>
                      <w:highlight w:val="none"/>
                    </w:rPr>
                    <w:t>北侧</w:t>
                  </w:r>
                </w:p>
              </w:tc>
              <w:tc>
                <w:tcPr>
                  <w:tcW w:w="1998" w:type="pct"/>
                  <w:tcBorders>
                    <w:tl2br w:val="nil"/>
                    <w:tr2bl w:val="nil"/>
                  </w:tcBorders>
                  <w:vAlign w:val="center"/>
                </w:tcPr>
                <w:p>
                  <w:pPr>
                    <w:pStyle w:val="69"/>
                    <w:rPr>
                      <w:rFonts w:hint="default" w:eastAsia="宋体"/>
                      <w:b w:val="0"/>
                      <w:bCs w:val="0"/>
                      <w:i w:val="0"/>
                      <w:iCs w:val="0"/>
                      <w:color w:val="auto"/>
                      <w:highlight w:val="none"/>
                      <w:u w:val="none"/>
                      <w:lang w:val="en-US" w:eastAsia="zh-CN"/>
                    </w:rPr>
                  </w:pPr>
                  <w:r>
                    <w:rPr>
                      <w:rFonts w:hint="eastAsia"/>
                      <w:b w:val="0"/>
                      <w:bCs w:val="0"/>
                      <w:i w:val="0"/>
                      <w:iCs w:val="0"/>
                      <w:color w:val="auto"/>
                      <w:highlight w:val="none"/>
                      <w:u w:val="none"/>
                      <w:lang w:val="en-US" w:eastAsia="zh-CN"/>
                    </w:rPr>
                    <w:t>40.05</w:t>
                  </w:r>
                  <w:r>
                    <w:rPr>
                      <w:b w:val="0"/>
                      <w:bCs w:val="0"/>
                      <w:i w:val="0"/>
                      <w:iCs w:val="0"/>
                      <w:color w:val="auto"/>
                      <w:highlight w:val="none"/>
                      <w:u w:val="none"/>
                    </w:rPr>
                    <w:t>-</w:t>
                  </w:r>
                  <w:r>
                    <w:rPr>
                      <w:rFonts w:hint="eastAsia"/>
                      <w:b w:val="0"/>
                      <w:bCs w:val="0"/>
                      <w:i w:val="0"/>
                      <w:iCs w:val="0"/>
                      <w:color w:val="auto"/>
                      <w:highlight w:val="none"/>
                      <w:u w:val="none"/>
                      <w:lang w:val="en-US" w:eastAsia="zh-CN"/>
                    </w:rPr>
                    <w:t>42.63</w:t>
                  </w:r>
                </w:p>
              </w:tc>
              <w:tc>
                <w:tcPr>
                  <w:tcW w:w="1189" w:type="pct"/>
                  <w:vMerge w:val="continue"/>
                  <w:tcBorders>
                    <w:tl2br w:val="nil"/>
                    <w:tr2bl w:val="nil"/>
                  </w:tcBorders>
                  <w:vAlign w:val="center"/>
                </w:tcPr>
                <w:p>
                  <w:pPr>
                    <w:pStyle w:val="69"/>
                    <w:rPr>
                      <w:color w:val="auto"/>
                      <w:highlight w:val="none"/>
                    </w:rPr>
                  </w:pPr>
                </w:p>
              </w:tc>
              <w:tc>
                <w:tcPr>
                  <w:tcW w:w="925" w:type="pct"/>
                  <w:tcBorders>
                    <w:tl2br w:val="nil"/>
                    <w:tr2bl w:val="nil"/>
                  </w:tcBorders>
                  <w:vAlign w:val="center"/>
                </w:tcPr>
                <w:p>
                  <w:pPr>
                    <w:pStyle w:val="69"/>
                    <w:rPr>
                      <w:color w:val="auto"/>
                      <w:highlight w:val="none"/>
                    </w:rPr>
                  </w:pPr>
                  <w:r>
                    <w:rPr>
                      <w:color w:val="auto"/>
                      <w:highlight w:val="none"/>
                    </w:rPr>
                    <w:t>达标</w:t>
                  </w:r>
                </w:p>
              </w:tc>
            </w:tr>
          </w:tbl>
          <w:p>
            <w:pPr>
              <w:widowControl/>
              <w:spacing w:line="240" w:lineRule="auto"/>
              <w:ind w:firstLine="480" w:firstLineChars="200"/>
              <w:rPr>
                <w:color w:val="auto"/>
                <w:sz w:val="24"/>
                <w:highlight w:val="none"/>
              </w:rPr>
            </w:pPr>
          </w:p>
          <w:p>
            <w:pPr>
              <w:widowControl/>
              <w:spacing w:line="360" w:lineRule="auto"/>
              <w:ind w:firstLine="480" w:firstLineChars="200"/>
              <w:rPr>
                <w:color w:val="auto"/>
                <w:highlight w:val="none"/>
              </w:rPr>
            </w:pPr>
            <w:r>
              <w:rPr>
                <w:color w:val="auto"/>
                <w:sz w:val="24"/>
                <w:highlight w:val="none"/>
              </w:rPr>
              <w:t>由上表可知，本项目四周厂界贡献值均满足《工业企业厂界环境噪声排放标准》（GB12348-2008）中3类标准要求。本项目噪声等声级线图详见下图：</w:t>
            </w:r>
          </w:p>
          <w:tbl>
            <w:tblPr>
              <w:tblStyle w:val="30"/>
              <w:tblW w:w="4955"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237"/>
              <w:gridCol w:w="207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35" w:hRule="atLeast"/>
              </w:trPr>
              <w:tc>
                <w:tcPr>
                  <w:tcW w:w="3751" w:type="pct"/>
                  <w:noWrap w:val="0"/>
                  <w:vAlign w:val="center"/>
                </w:tcPr>
                <w:p>
                  <w:pPr>
                    <w:spacing w:line="240" w:lineRule="atLeast"/>
                    <w:ind w:left="-105" w:leftChars="-50" w:right="-105" w:rightChars="-50"/>
                    <w:jc w:val="center"/>
                    <w:rPr>
                      <w:color w:val="auto"/>
                      <w:highlight w:val="none"/>
                    </w:rPr>
                  </w:pPr>
                  <w:r>
                    <w:rPr>
                      <w:color w:val="auto"/>
                      <w:highlight w:val="none"/>
                    </w:rPr>
                    <w:drawing>
                      <wp:inline distT="0" distB="0" distL="114300" distR="114300">
                        <wp:extent cx="2589530" cy="2232660"/>
                        <wp:effectExtent l="0" t="0" r="127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2589530" cy="2232660"/>
                                </a:xfrm>
                                <a:prstGeom prst="rect">
                                  <a:avLst/>
                                </a:prstGeom>
                                <a:noFill/>
                                <a:ln>
                                  <a:noFill/>
                                </a:ln>
                              </pic:spPr>
                            </pic:pic>
                          </a:graphicData>
                        </a:graphic>
                      </wp:inline>
                    </w:drawing>
                  </w:r>
                </w:p>
              </w:tc>
              <w:tc>
                <w:tcPr>
                  <w:tcW w:w="1248" w:type="pct"/>
                  <w:noWrap w:val="0"/>
                  <w:vAlign w:val="center"/>
                </w:tcPr>
                <w:p>
                  <w:pPr>
                    <w:spacing w:line="240" w:lineRule="atLeast"/>
                    <w:ind w:left="-105" w:leftChars="-50" w:right="-105" w:rightChars="-50"/>
                    <w:rPr>
                      <w:rFonts w:hint="eastAsia"/>
                      <w:color w:val="auto"/>
                      <w:szCs w:val="21"/>
                      <w:highlight w:val="none"/>
                    </w:rPr>
                  </w:pPr>
                  <w:r>
                    <w:rPr>
                      <w:rFonts w:hint="eastAsia"/>
                      <w:b/>
                      <w:bCs/>
                      <w:color w:val="auto"/>
                      <w:sz w:val="24"/>
                      <w:highlight w:val="none"/>
                    </w:rPr>
                    <w:drawing>
                      <wp:anchor distT="0" distB="0" distL="114300" distR="114300" simplePos="0" relativeHeight="251664384" behindDoc="1" locked="0" layoutInCell="1" allowOverlap="1">
                        <wp:simplePos x="0" y="0"/>
                        <wp:positionH relativeFrom="column">
                          <wp:posOffset>105410</wp:posOffset>
                        </wp:positionH>
                        <wp:positionV relativeFrom="paragraph">
                          <wp:posOffset>1748790</wp:posOffset>
                        </wp:positionV>
                        <wp:extent cx="568325" cy="741045"/>
                        <wp:effectExtent l="0" t="0" r="3175" b="1905"/>
                        <wp:wrapNone/>
                        <wp:docPr id="22" name="图片 1062" descr="85fef87afbf02d0d88ab87b39df8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62" descr="85fef87afbf02d0d88ab87b39df8130"/>
                                <pic:cNvPicPr>
                                  <a:picLocks noChangeAspect="1"/>
                                </pic:cNvPicPr>
                              </pic:nvPicPr>
                              <pic:blipFill>
                                <a:blip r:embed="rId10"/>
                                <a:stretch>
                                  <a:fillRect/>
                                </a:stretch>
                              </pic:blipFill>
                              <pic:spPr>
                                <a:xfrm>
                                  <a:off x="0" y="0"/>
                                  <a:ext cx="568325" cy="741045"/>
                                </a:xfrm>
                                <a:prstGeom prst="rect">
                                  <a:avLst/>
                                </a:prstGeom>
                                <a:noFill/>
                                <a:ln>
                                  <a:noFill/>
                                </a:ln>
                              </pic:spPr>
                            </pic:pic>
                          </a:graphicData>
                        </a:graphic>
                      </wp:anchor>
                    </w:drawing>
                  </w:r>
                  <w:r>
                    <w:rPr>
                      <w:rFonts w:hint="eastAsia"/>
                      <w:b/>
                      <w:bCs/>
                      <w:color w:val="auto"/>
                      <w:sz w:val="24"/>
                      <w:highlight w:val="none"/>
                    </w:rPr>
                    <w:drawing>
                      <wp:anchor distT="0" distB="0" distL="114300" distR="114300" simplePos="0" relativeHeight="251667456" behindDoc="1" locked="0" layoutInCell="1" allowOverlap="1">
                        <wp:simplePos x="0" y="0"/>
                        <wp:positionH relativeFrom="column">
                          <wp:posOffset>241935</wp:posOffset>
                        </wp:positionH>
                        <wp:positionV relativeFrom="paragraph">
                          <wp:posOffset>650240</wp:posOffset>
                        </wp:positionV>
                        <wp:extent cx="364490" cy="1061085"/>
                        <wp:effectExtent l="0" t="0" r="16510" b="5715"/>
                        <wp:wrapNone/>
                        <wp:docPr id="23" name="图片 1070" descr="1663926463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070" descr="1663926463375"/>
                                <pic:cNvPicPr>
                                  <a:picLocks noChangeAspect="1"/>
                                </pic:cNvPicPr>
                              </pic:nvPicPr>
                              <pic:blipFill>
                                <a:blip r:embed="rId11"/>
                                <a:stretch>
                                  <a:fillRect/>
                                </a:stretch>
                              </pic:blipFill>
                              <pic:spPr>
                                <a:xfrm>
                                  <a:off x="0" y="0"/>
                                  <a:ext cx="364490" cy="1061085"/>
                                </a:xfrm>
                                <a:prstGeom prst="rect">
                                  <a:avLst/>
                                </a:prstGeom>
                                <a:noFill/>
                                <a:ln>
                                  <a:noFill/>
                                </a:ln>
                              </pic:spPr>
                            </pic:pic>
                          </a:graphicData>
                        </a:graphic>
                      </wp:anchor>
                    </w:drawing>
                  </w:r>
                  <w:r>
                    <w:rPr>
                      <w:rFonts w:hint="eastAsia"/>
                      <w:b/>
                      <w:bCs/>
                      <w:color w:val="auto"/>
                      <w:sz w:val="24"/>
                      <w:highlight w:val="none"/>
                    </w:rPr>
                    <w:drawing>
                      <wp:anchor distT="0" distB="0" distL="114300" distR="114300" simplePos="0" relativeHeight="251665408" behindDoc="1" locked="0" layoutInCell="1" allowOverlap="1">
                        <wp:simplePos x="0" y="0"/>
                        <wp:positionH relativeFrom="column">
                          <wp:posOffset>108585</wp:posOffset>
                        </wp:positionH>
                        <wp:positionV relativeFrom="paragraph">
                          <wp:posOffset>-22860</wp:posOffset>
                        </wp:positionV>
                        <wp:extent cx="475615" cy="648970"/>
                        <wp:effectExtent l="0" t="0" r="635" b="17780"/>
                        <wp:wrapNone/>
                        <wp:docPr id="14" name="图片 1065" descr="eacdfe00bd20851197e9185dd6565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65" descr="eacdfe00bd20851197e9185dd65651f"/>
                                <pic:cNvPicPr>
                                  <a:picLocks noChangeAspect="1"/>
                                </pic:cNvPicPr>
                              </pic:nvPicPr>
                              <pic:blipFill>
                                <a:blip r:embed="rId12"/>
                                <a:stretch>
                                  <a:fillRect/>
                                </a:stretch>
                              </pic:blipFill>
                              <pic:spPr>
                                <a:xfrm>
                                  <a:off x="0" y="0"/>
                                  <a:ext cx="475615" cy="648970"/>
                                </a:xfrm>
                                <a:prstGeom prst="rect">
                                  <a:avLst/>
                                </a:prstGeom>
                                <a:noFill/>
                                <a:ln>
                                  <a:noFill/>
                                </a:ln>
                              </pic:spPr>
                            </pic:pic>
                          </a:graphicData>
                        </a:graphic>
                      </wp:anchor>
                    </w:drawing>
                  </w:r>
                  <w:r>
                    <w:rPr>
                      <w:rFonts w:hint="eastAsia"/>
                      <w:b/>
                      <w:bCs/>
                      <w:color w:val="auto"/>
                      <w:sz w:val="24"/>
                      <w:highlight w:val="none"/>
                    </w:rPr>
                    <w:drawing>
                      <wp:anchor distT="0" distB="0" distL="114300" distR="114300" simplePos="0" relativeHeight="251666432" behindDoc="1" locked="0" layoutInCell="1" allowOverlap="1">
                        <wp:simplePos x="0" y="0"/>
                        <wp:positionH relativeFrom="column">
                          <wp:posOffset>4574540</wp:posOffset>
                        </wp:positionH>
                        <wp:positionV relativeFrom="paragraph">
                          <wp:posOffset>2660650</wp:posOffset>
                        </wp:positionV>
                        <wp:extent cx="703580" cy="915670"/>
                        <wp:effectExtent l="0" t="0" r="1270" b="17780"/>
                        <wp:wrapNone/>
                        <wp:docPr id="30" name="图片 1066" descr="85fef87afbf02d0d88ab87b39df8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066" descr="85fef87afbf02d0d88ab87b39df8130"/>
                                <pic:cNvPicPr>
                                  <a:picLocks noChangeAspect="1"/>
                                </pic:cNvPicPr>
                              </pic:nvPicPr>
                              <pic:blipFill>
                                <a:blip r:embed="rId10"/>
                                <a:stretch>
                                  <a:fillRect/>
                                </a:stretch>
                              </pic:blipFill>
                              <pic:spPr>
                                <a:xfrm>
                                  <a:off x="0" y="0"/>
                                  <a:ext cx="703580" cy="915670"/>
                                </a:xfrm>
                                <a:prstGeom prst="rect">
                                  <a:avLst/>
                                </a:prstGeom>
                                <a:noFill/>
                                <a:ln>
                                  <a:noFill/>
                                </a:ln>
                              </pic:spPr>
                            </pic:pic>
                          </a:graphicData>
                        </a:graphic>
                      </wp:anchor>
                    </w:drawing>
                  </w:r>
                </w:p>
              </w:tc>
            </w:tr>
          </w:tbl>
          <w:p>
            <w:pPr>
              <w:adjustRightInd w:val="0"/>
              <w:snapToGrid w:val="0"/>
              <w:jc w:val="center"/>
              <w:rPr>
                <w:b/>
                <w:bCs/>
                <w:color w:val="auto"/>
                <w:sz w:val="24"/>
                <w:highlight w:val="none"/>
              </w:rPr>
            </w:pPr>
            <w:r>
              <w:rPr>
                <w:b/>
                <w:bCs/>
                <w:color w:val="auto"/>
                <w:sz w:val="24"/>
                <w:highlight w:val="none"/>
              </w:rPr>
              <w:t>图4-</w:t>
            </w:r>
            <w:r>
              <w:rPr>
                <w:rFonts w:hint="eastAsia"/>
                <w:b/>
                <w:bCs/>
                <w:color w:val="auto"/>
                <w:sz w:val="24"/>
                <w:highlight w:val="none"/>
                <w:lang w:val="en-US" w:eastAsia="zh-CN"/>
              </w:rPr>
              <w:t>2</w:t>
            </w:r>
            <w:r>
              <w:rPr>
                <w:b/>
                <w:bCs/>
                <w:color w:val="auto"/>
                <w:sz w:val="24"/>
                <w:highlight w:val="none"/>
              </w:rPr>
              <w:t xml:space="preserve">  噪声源分布及等声级线图</w:t>
            </w:r>
          </w:p>
          <w:p>
            <w:pPr>
              <w:widowControl/>
              <w:spacing w:line="240" w:lineRule="auto"/>
              <w:ind w:firstLine="482" w:firstLineChars="200"/>
              <w:rPr>
                <w:b/>
                <w:bCs/>
                <w:color w:val="auto"/>
                <w:sz w:val="24"/>
                <w:highlight w:val="none"/>
              </w:rPr>
            </w:pPr>
          </w:p>
          <w:p>
            <w:pPr>
              <w:widowControl/>
              <w:spacing w:line="360" w:lineRule="auto"/>
              <w:ind w:firstLine="482" w:firstLineChars="200"/>
              <w:rPr>
                <w:b/>
                <w:bCs/>
                <w:color w:val="auto"/>
                <w:sz w:val="24"/>
                <w:highlight w:val="none"/>
              </w:rPr>
            </w:pPr>
            <w:r>
              <w:rPr>
                <w:b/>
                <w:bCs/>
                <w:color w:val="auto"/>
                <w:sz w:val="24"/>
                <w:highlight w:val="none"/>
              </w:rPr>
              <w:t>3.4监测计划</w:t>
            </w:r>
          </w:p>
          <w:p>
            <w:pPr>
              <w:widowControl/>
              <w:spacing w:line="360" w:lineRule="auto"/>
              <w:ind w:firstLine="480" w:firstLineChars="200"/>
              <w:rPr>
                <w:color w:val="auto"/>
                <w:sz w:val="24"/>
                <w:highlight w:val="none"/>
              </w:rPr>
            </w:pPr>
            <w:r>
              <w:rPr>
                <w:color w:val="auto"/>
                <w:sz w:val="24"/>
                <w:highlight w:val="none"/>
              </w:rPr>
              <w:t>根据《排污单位自行监测技术指南 总则》（HJ819-2017）制定本项目噪声监测计划。本项目运营期噪声自行监测方案见下表。</w:t>
            </w:r>
          </w:p>
          <w:p>
            <w:pPr>
              <w:adjustRightInd w:val="0"/>
              <w:snapToGrid w:val="0"/>
              <w:jc w:val="center"/>
              <w:rPr>
                <w:b/>
                <w:bCs/>
                <w:color w:val="auto"/>
                <w:sz w:val="24"/>
                <w:highlight w:val="none"/>
              </w:rPr>
            </w:pPr>
            <w:r>
              <w:rPr>
                <w:b/>
                <w:bCs/>
                <w:color w:val="auto"/>
                <w:sz w:val="24"/>
                <w:highlight w:val="none"/>
              </w:rPr>
              <w:t>表4-1</w:t>
            </w:r>
            <w:r>
              <w:rPr>
                <w:rFonts w:hint="eastAsia"/>
                <w:b/>
                <w:bCs/>
                <w:color w:val="auto"/>
                <w:sz w:val="24"/>
                <w:highlight w:val="none"/>
                <w:lang w:val="en-US" w:eastAsia="zh-CN"/>
              </w:rPr>
              <w:t xml:space="preserve">0 </w:t>
            </w:r>
            <w:r>
              <w:rPr>
                <w:b/>
                <w:bCs/>
                <w:color w:val="auto"/>
                <w:sz w:val="24"/>
                <w:highlight w:val="none"/>
              </w:rPr>
              <w:t xml:space="preserve"> 噪声自行监测计划表</w:t>
            </w:r>
          </w:p>
          <w:tbl>
            <w:tblPr>
              <w:tblStyle w:val="30"/>
              <w:tblW w:w="851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596"/>
              <w:gridCol w:w="1246"/>
              <w:gridCol w:w="1186"/>
              <w:gridCol w:w="33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pct"/>
                  <w:tcBorders>
                    <w:tl2br w:val="nil"/>
                    <w:tr2bl w:val="nil"/>
                  </w:tcBorders>
                  <w:vAlign w:val="center"/>
                </w:tcPr>
                <w:p>
                  <w:pPr>
                    <w:adjustRightInd w:val="0"/>
                    <w:snapToGrid w:val="0"/>
                    <w:jc w:val="center"/>
                    <w:rPr>
                      <w:color w:val="auto"/>
                      <w:highlight w:val="none"/>
                    </w:rPr>
                  </w:pPr>
                  <w:r>
                    <w:rPr>
                      <w:color w:val="auto"/>
                      <w:highlight w:val="none"/>
                    </w:rPr>
                    <w:t>监测类别</w:t>
                  </w:r>
                </w:p>
              </w:tc>
              <w:tc>
                <w:tcPr>
                  <w:tcW w:w="936" w:type="pct"/>
                  <w:tcBorders>
                    <w:tl2br w:val="nil"/>
                    <w:tr2bl w:val="nil"/>
                  </w:tcBorders>
                  <w:vAlign w:val="center"/>
                </w:tcPr>
                <w:p>
                  <w:pPr>
                    <w:adjustRightInd w:val="0"/>
                    <w:snapToGrid w:val="0"/>
                    <w:jc w:val="center"/>
                    <w:rPr>
                      <w:color w:val="auto"/>
                      <w:highlight w:val="none"/>
                    </w:rPr>
                  </w:pPr>
                  <w:r>
                    <w:rPr>
                      <w:color w:val="auto"/>
                      <w:highlight w:val="none"/>
                    </w:rPr>
                    <w:t>监测点位</w:t>
                  </w:r>
                </w:p>
              </w:tc>
              <w:tc>
                <w:tcPr>
                  <w:tcW w:w="731" w:type="pct"/>
                  <w:tcBorders>
                    <w:tl2br w:val="nil"/>
                    <w:tr2bl w:val="nil"/>
                  </w:tcBorders>
                  <w:vAlign w:val="center"/>
                </w:tcPr>
                <w:p>
                  <w:pPr>
                    <w:adjustRightInd w:val="0"/>
                    <w:snapToGrid w:val="0"/>
                    <w:jc w:val="center"/>
                    <w:rPr>
                      <w:color w:val="auto"/>
                      <w:highlight w:val="none"/>
                    </w:rPr>
                  </w:pPr>
                  <w:r>
                    <w:rPr>
                      <w:color w:val="auto"/>
                      <w:highlight w:val="none"/>
                    </w:rPr>
                    <w:t>监测内容</w:t>
                  </w:r>
                </w:p>
              </w:tc>
              <w:tc>
                <w:tcPr>
                  <w:tcW w:w="696" w:type="pct"/>
                  <w:tcBorders>
                    <w:tl2br w:val="nil"/>
                    <w:tr2bl w:val="nil"/>
                  </w:tcBorders>
                  <w:vAlign w:val="center"/>
                </w:tcPr>
                <w:p>
                  <w:pPr>
                    <w:adjustRightInd w:val="0"/>
                    <w:snapToGrid w:val="0"/>
                    <w:jc w:val="center"/>
                    <w:rPr>
                      <w:color w:val="auto"/>
                      <w:highlight w:val="none"/>
                    </w:rPr>
                  </w:pPr>
                  <w:r>
                    <w:rPr>
                      <w:color w:val="auto"/>
                      <w:highlight w:val="none"/>
                    </w:rPr>
                    <w:t>监测频次</w:t>
                  </w:r>
                </w:p>
              </w:tc>
              <w:tc>
                <w:tcPr>
                  <w:tcW w:w="1987" w:type="pct"/>
                  <w:tcBorders>
                    <w:tl2br w:val="nil"/>
                    <w:tr2bl w:val="nil"/>
                  </w:tcBorders>
                  <w:vAlign w:val="center"/>
                </w:tcPr>
                <w:p>
                  <w:pPr>
                    <w:adjustRightInd w:val="0"/>
                    <w:snapToGrid w:val="0"/>
                    <w:jc w:val="center"/>
                    <w:rPr>
                      <w:color w:val="auto"/>
                      <w:highlight w:val="none"/>
                    </w:rPr>
                  </w:pPr>
                  <w:r>
                    <w:rPr>
                      <w:color w:val="auto"/>
                      <w:highlight w:val="none"/>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pct"/>
                  <w:tcBorders>
                    <w:tl2br w:val="nil"/>
                    <w:tr2bl w:val="nil"/>
                  </w:tcBorders>
                  <w:vAlign w:val="center"/>
                </w:tcPr>
                <w:p>
                  <w:pPr>
                    <w:adjustRightInd w:val="0"/>
                    <w:snapToGrid w:val="0"/>
                    <w:jc w:val="center"/>
                    <w:rPr>
                      <w:color w:val="auto"/>
                      <w:highlight w:val="none"/>
                    </w:rPr>
                  </w:pPr>
                  <w:r>
                    <w:rPr>
                      <w:color w:val="auto"/>
                      <w:highlight w:val="none"/>
                    </w:rPr>
                    <w:t>厂界噪声</w:t>
                  </w:r>
                </w:p>
              </w:tc>
              <w:tc>
                <w:tcPr>
                  <w:tcW w:w="936" w:type="pct"/>
                  <w:tcBorders>
                    <w:tl2br w:val="nil"/>
                    <w:tr2bl w:val="nil"/>
                  </w:tcBorders>
                  <w:vAlign w:val="center"/>
                </w:tcPr>
                <w:p>
                  <w:pPr>
                    <w:adjustRightInd w:val="0"/>
                    <w:snapToGrid w:val="0"/>
                    <w:jc w:val="center"/>
                    <w:rPr>
                      <w:color w:val="auto"/>
                      <w:highlight w:val="none"/>
                    </w:rPr>
                  </w:pPr>
                  <w:r>
                    <w:rPr>
                      <w:color w:val="auto"/>
                      <w:highlight w:val="none"/>
                    </w:rPr>
                    <w:t>本项目所在厂区厂界外四周</w:t>
                  </w:r>
                </w:p>
              </w:tc>
              <w:tc>
                <w:tcPr>
                  <w:tcW w:w="731" w:type="pct"/>
                  <w:tcBorders>
                    <w:tl2br w:val="nil"/>
                    <w:tr2bl w:val="nil"/>
                  </w:tcBorders>
                  <w:vAlign w:val="center"/>
                </w:tcPr>
                <w:p>
                  <w:pPr>
                    <w:adjustRightInd w:val="0"/>
                    <w:snapToGrid w:val="0"/>
                    <w:jc w:val="center"/>
                    <w:rPr>
                      <w:color w:val="auto"/>
                      <w:highlight w:val="none"/>
                    </w:rPr>
                  </w:pPr>
                  <w:r>
                    <w:rPr>
                      <w:color w:val="auto"/>
                      <w:highlight w:val="none"/>
                    </w:rPr>
                    <w:t>Leq（A）</w:t>
                  </w:r>
                </w:p>
              </w:tc>
              <w:tc>
                <w:tcPr>
                  <w:tcW w:w="696" w:type="pct"/>
                  <w:tcBorders>
                    <w:tl2br w:val="nil"/>
                    <w:tr2bl w:val="nil"/>
                  </w:tcBorders>
                  <w:vAlign w:val="center"/>
                </w:tcPr>
                <w:p>
                  <w:pPr>
                    <w:adjustRightInd w:val="0"/>
                    <w:snapToGrid w:val="0"/>
                    <w:jc w:val="center"/>
                    <w:rPr>
                      <w:color w:val="auto"/>
                      <w:highlight w:val="none"/>
                    </w:rPr>
                  </w:pPr>
                  <w:r>
                    <w:rPr>
                      <w:color w:val="auto"/>
                      <w:highlight w:val="none"/>
                    </w:rPr>
                    <w:t>1次/季，昼间监测</w:t>
                  </w:r>
                </w:p>
              </w:tc>
              <w:tc>
                <w:tcPr>
                  <w:tcW w:w="1987" w:type="pct"/>
                  <w:tcBorders>
                    <w:tl2br w:val="nil"/>
                    <w:tr2bl w:val="nil"/>
                  </w:tcBorders>
                  <w:vAlign w:val="center"/>
                </w:tcPr>
                <w:p>
                  <w:pPr>
                    <w:adjustRightInd w:val="0"/>
                    <w:snapToGrid w:val="0"/>
                    <w:jc w:val="center"/>
                    <w:rPr>
                      <w:color w:val="auto"/>
                      <w:highlight w:val="none"/>
                    </w:rPr>
                  </w:pPr>
                  <w:r>
                    <w:rPr>
                      <w:color w:val="auto"/>
                      <w:highlight w:val="none"/>
                    </w:rPr>
                    <w:t>《工业企业厂界环境噪声排放标准》（GB12348-2008）中3类标准</w:t>
                  </w:r>
                </w:p>
              </w:tc>
            </w:tr>
          </w:tbl>
          <w:p>
            <w:pPr>
              <w:widowControl/>
              <w:spacing w:line="240" w:lineRule="auto"/>
              <w:ind w:firstLine="480" w:firstLineChars="200"/>
              <w:rPr>
                <w:color w:val="auto"/>
                <w:sz w:val="24"/>
                <w:highlight w:val="none"/>
              </w:rPr>
            </w:pPr>
          </w:p>
          <w:p>
            <w:pPr>
              <w:widowControl/>
              <w:spacing w:line="360" w:lineRule="auto"/>
              <w:ind w:firstLine="482" w:firstLineChars="200"/>
              <w:rPr>
                <w:b/>
                <w:bCs/>
                <w:color w:val="auto"/>
                <w:sz w:val="24"/>
                <w:highlight w:val="none"/>
              </w:rPr>
            </w:pPr>
            <w:r>
              <w:rPr>
                <w:b/>
                <w:bCs/>
                <w:color w:val="auto"/>
                <w:sz w:val="24"/>
                <w:highlight w:val="none"/>
              </w:rPr>
              <w:t>4.固体废物</w:t>
            </w:r>
          </w:p>
          <w:p>
            <w:pPr>
              <w:widowControl/>
              <w:spacing w:line="360" w:lineRule="auto"/>
              <w:ind w:firstLine="482" w:firstLineChars="200"/>
              <w:rPr>
                <w:b/>
                <w:bCs/>
                <w:color w:val="auto"/>
                <w:sz w:val="24"/>
                <w:highlight w:val="none"/>
              </w:rPr>
            </w:pPr>
            <w:r>
              <w:rPr>
                <w:b/>
                <w:bCs/>
                <w:color w:val="auto"/>
                <w:sz w:val="24"/>
                <w:highlight w:val="none"/>
              </w:rPr>
              <w:t>4.1固体废物产生及处置情况</w:t>
            </w:r>
          </w:p>
          <w:p>
            <w:pPr>
              <w:widowControl/>
              <w:spacing w:line="360" w:lineRule="auto"/>
              <w:ind w:firstLine="480" w:firstLineChars="200"/>
              <w:rPr>
                <w:rFonts w:hint="eastAsia"/>
                <w:color w:val="auto"/>
                <w:sz w:val="24"/>
                <w:highlight w:val="none"/>
                <w:lang w:eastAsia="zh-CN"/>
              </w:rPr>
            </w:pPr>
            <w:r>
              <w:rPr>
                <w:color w:val="auto"/>
                <w:sz w:val="24"/>
                <w:highlight w:val="none"/>
              </w:rPr>
              <w:t>本项目固体废物主要为生活垃圾、一般工业固体废物及危险废物</w:t>
            </w:r>
            <w:r>
              <w:rPr>
                <w:rFonts w:hint="eastAsia"/>
                <w:color w:val="auto"/>
                <w:sz w:val="24"/>
                <w:highlight w:val="none"/>
                <w:lang w:eastAsia="zh-CN"/>
              </w:rPr>
              <w:t>。</w:t>
            </w:r>
          </w:p>
          <w:p>
            <w:pPr>
              <w:pStyle w:val="63"/>
              <w:keepNext w:val="0"/>
              <w:keepLines w:val="0"/>
              <w:pageBreakBefore w:val="0"/>
              <w:widowControl w:val="0"/>
              <w:numPr>
                <w:ilvl w:val="0"/>
                <w:numId w:val="5"/>
              </w:numPr>
              <w:kinsoku/>
              <w:wordWrap/>
              <w:overflowPunct/>
              <w:topLinePunct w:val="0"/>
              <w:autoSpaceDE w:val="0"/>
              <w:autoSpaceDN w:val="0"/>
              <w:bidi w:val="0"/>
              <w:adjustRightInd w:val="0"/>
              <w:snapToGrid/>
              <w:spacing w:line="360" w:lineRule="auto"/>
              <w:ind w:left="0" w:leftChars="0" w:firstLine="480" w:firstLineChars="200"/>
              <w:textAlignment w:val="auto"/>
              <w:rPr>
                <w:rFonts w:hint="default"/>
                <w:i w:val="0"/>
                <w:iCs w:val="0"/>
                <w:color w:val="auto"/>
                <w:highlight w:val="none"/>
                <w:u w:val="none"/>
                <w:lang w:val="en-US" w:eastAsia="zh-CN"/>
              </w:rPr>
            </w:pPr>
            <w:r>
              <w:rPr>
                <w:rFonts w:hint="eastAsia"/>
                <w:i w:val="0"/>
                <w:iCs w:val="0"/>
                <w:color w:val="auto"/>
                <w:highlight w:val="none"/>
                <w:u w:val="none"/>
                <w:lang w:val="en-US" w:eastAsia="zh-CN"/>
              </w:rPr>
              <w:t>一般工业固体废物</w:t>
            </w:r>
          </w:p>
          <w:p>
            <w:pPr>
              <w:pStyle w:val="78"/>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left"/>
              <w:textAlignment w:val="auto"/>
              <w:rPr>
                <w:rFonts w:hint="default" w:ascii="Times New Roman" w:hAnsi="Times New Roman" w:cs="Times New Roman"/>
                <w:i w:val="0"/>
                <w:iCs w:val="0"/>
                <w:color w:val="auto"/>
                <w:highlight w:val="none"/>
                <w:u w:val="none"/>
                <w:lang w:val="en-US" w:eastAsia="zh-CN"/>
              </w:rPr>
            </w:pPr>
            <w:r>
              <w:rPr>
                <w:rFonts w:hint="default" w:ascii="Times New Roman" w:hAnsi="Times New Roman" w:cs="Times New Roman"/>
                <w:i w:val="0"/>
                <w:iCs w:val="0"/>
                <w:color w:val="auto"/>
                <w:highlight w:val="none"/>
                <w:u w:val="none"/>
              </w:rPr>
              <w:t>本项目一般工业固体废物主要包含</w:t>
            </w:r>
            <w:r>
              <w:rPr>
                <w:rFonts w:hint="eastAsia" w:ascii="Times New Roman" w:hAnsi="Times New Roman" w:cs="Times New Roman"/>
                <w:i w:val="0"/>
                <w:iCs w:val="0"/>
                <w:color w:val="auto"/>
                <w:highlight w:val="none"/>
                <w:u w:val="none"/>
                <w:lang w:val="en-US" w:eastAsia="zh-CN"/>
              </w:rPr>
              <w:t>不合格品（S1）、袋式除尘器废弃布袋及集尘粉（S3）及</w:t>
            </w:r>
            <w:r>
              <w:rPr>
                <w:rFonts w:hint="eastAsia"/>
                <w:i w:val="0"/>
                <w:iCs w:val="0"/>
                <w:color w:val="auto"/>
                <w:highlight w:val="none"/>
                <w:u w:val="none"/>
                <w:lang w:val="en-US" w:eastAsia="zh-CN"/>
              </w:rPr>
              <w:t>原料废包装袋</w:t>
            </w:r>
            <w:r>
              <w:rPr>
                <w:rFonts w:hint="eastAsia" w:ascii="Times New Roman" w:hAnsi="Times New Roman" w:cs="Times New Roman"/>
                <w:i w:val="0"/>
                <w:iCs w:val="0"/>
                <w:color w:val="auto"/>
                <w:highlight w:val="none"/>
                <w:u w:val="none"/>
                <w:lang w:val="en-US" w:eastAsia="zh-CN"/>
              </w:rPr>
              <w:t>（S4）</w:t>
            </w:r>
            <w:r>
              <w:rPr>
                <w:rFonts w:hint="default" w:ascii="Times New Roman" w:hAnsi="Times New Roman" w:cs="Times New Roman"/>
                <w:i w:val="0"/>
                <w:iCs w:val="0"/>
                <w:color w:val="auto"/>
                <w:highlight w:val="none"/>
                <w:u w:val="none"/>
                <w:lang w:val="en-US" w:eastAsia="zh-CN"/>
              </w:rPr>
              <w:t>。</w:t>
            </w:r>
          </w:p>
          <w:p>
            <w:pPr>
              <w:pStyle w:val="78"/>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left"/>
              <w:textAlignment w:val="auto"/>
              <w:rPr>
                <w:rFonts w:hint="default" w:ascii="Times New Roman" w:hAnsi="Times New Roman" w:cs="Times New Roman"/>
                <w:i w:val="0"/>
                <w:iCs w:val="0"/>
                <w:color w:val="auto"/>
                <w:highlight w:val="none"/>
                <w:u w:val="none"/>
                <w:lang w:val="en-US" w:eastAsia="zh-CN"/>
              </w:rPr>
            </w:pPr>
            <w:r>
              <w:rPr>
                <w:rFonts w:hint="eastAsia" w:ascii="Times New Roman" w:hAnsi="Times New Roman" w:eastAsia="宋体" w:cs="Times New Roman"/>
                <w:i w:val="0"/>
                <w:iCs w:val="0"/>
                <w:color w:val="auto"/>
                <w:sz w:val="24"/>
                <w:szCs w:val="24"/>
                <w:highlight w:val="none"/>
                <w:u w:val="none"/>
                <w:lang w:val="en-US" w:eastAsia="zh-CN"/>
              </w:rPr>
              <w:t>不合格产品(S1)：</w:t>
            </w:r>
            <w:r>
              <w:rPr>
                <w:rFonts w:hint="eastAsia" w:cs="Times New Roman"/>
                <w:b w:val="0"/>
                <w:bCs w:val="0"/>
                <w:i w:val="0"/>
                <w:iCs w:val="0"/>
                <w:color w:val="auto"/>
                <w:sz w:val="24"/>
                <w:szCs w:val="24"/>
                <w:highlight w:val="none"/>
                <w:u w:val="none"/>
                <w:shd w:val="clear" w:color="auto" w:fill="auto"/>
                <w:lang w:val="en-US" w:eastAsia="zh-CN"/>
              </w:rPr>
              <w:t>根据现有项目实际生产情况，注塑产品不合格品占成品的1%，不合格产品量为5.0t/a</w:t>
            </w:r>
            <w:r>
              <w:rPr>
                <w:rFonts w:hint="default" w:ascii="Times New Roman" w:hAnsi="Times New Roman" w:cs="Times New Roman"/>
                <w:i w:val="0"/>
                <w:iCs w:val="0"/>
                <w:color w:val="auto"/>
                <w:sz w:val="24"/>
                <w:highlight w:val="none"/>
                <w:u w:val="none"/>
              </w:rPr>
              <w:t>，</w:t>
            </w:r>
            <w:r>
              <w:rPr>
                <w:rFonts w:hint="eastAsia" w:ascii="Times New Roman" w:hAnsi="Times New Roman" w:cs="Times New Roman"/>
                <w:i w:val="0"/>
                <w:iCs w:val="0"/>
                <w:color w:val="auto"/>
                <w:sz w:val="24"/>
                <w:highlight w:val="none"/>
                <w:u w:val="none"/>
                <w:lang w:val="en-US" w:eastAsia="zh-CN"/>
              </w:rPr>
              <w:t>全部破碎后回用于注塑工序</w:t>
            </w:r>
            <w:r>
              <w:rPr>
                <w:rFonts w:hint="default" w:ascii="Times New Roman" w:hAnsi="Times New Roman" w:cs="Times New Roman"/>
                <w:i w:val="0"/>
                <w:iCs w:val="0"/>
                <w:color w:val="auto"/>
                <w:sz w:val="24"/>
                <w:highlight w:val="none"/>
                <w:u w:val="none"/>
                <w:lang w:val="en-US" w:eastAsia="zh-CN"/>
              </w:rPr>
              <w:t>。</w:t>
            </w:r>
          </w:p>
          <w:p>
            <w:pPr>
              <w:pStyle w:val="78"/>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left"/>
              <w:textAlignment w:val="auto"/>
              <w:rPr>
                <w:rFonts w:hint="eastAsia" w:ascii="Times New Roman" w:hAnsi="Times New Roman" w:cs="Times New Roman"/>
                <w:i w:val="0"/>
                <w:iCs w:val="0"/>
                <w:color w:val="auto"/>
                <w:sz w:val="24"/>
                <w:highlight w:val="none"/>
                <w:u w:val="none"/>
                <w:lang w:val="en-US" w:eastAsia="zh-CN"/>
              </w:rPr>
            </w:pPr>
            <w:r>
              <w:rPr>
                <w:rFonts w:hint="eastAsia" w:ascii="Times New Roman" w:hAnsi="Times New Roman" w:cs="Times New Roman"/>
                <w:i w:val="0"/>
                <w:iCs w:val="0"/>
                <w:color w:val="auto"/>
                <w:highlight w:val="none"/>
                <w:u w:val="none"/>
                <w:lang w:val="en-US" w:eastAsia="zh-CN"/>
              </w:rPr>
              <w:t>袋式除尘器废弃布袋及集尘粉（S</w:t>
            </w:r>
            <w:r>
              <w:rPr>
                <w:rFonts w:hint="eastAsia" w:cs="Times New Roman"/>
                <w:i w:val="0"/>
                <w:iCs w:val="0"/>
                <w:color w:val="auto"/>
                <w:highlight w:val="none"/>
                <w:u w:val="none"/>
                <w:lang w:val="en-US" w:eastAsia="zh-CN"/>
              </w:rPr>
              <w:t>3</w:t>
            </w:r>
            <w:r>
              <w:rPr>
                <w:rFonts w:hint="eastAsia" w:ascii="Times New Roman" w:hAnsi="Times New Roman" w:cs="Times New Roman"/>
                <w:i w:val="0"/>
                <w:iCs w:val="0"/>
                <w:color w:val="auto"/>
                <w:highlight w:val="none"/>
                <w:u w:val="none"/>
                <w:lang w:val="en-US" w:eastAsia="zh-CN"/>
              </w:rPr>
              <w:t>）：经上文污染物核算可知，除尘器集尘粉产生量为0.00</w:t>
            </w:r>
            <w:r>
              <w:rPr>
                <w:rFonts w:hint="eastAsia" w:cs="Times New Roman"/>
                <w:i w:val="0"/>
                <w:iCs w:val="0"/>
                <w:color w:val="auto"/>
                <w:highlight w:val="none"/>
                <w:u w:val="none"/>
                <w:lang w:val="en-US" w:eastAsia="zh-CN"/>
              </w:rPr>
              <w:t>2</w:t>
            </w:r>
            <w:r>
              <w:rPr>
                <w:rFonts w:hint="eastAsia" w:ascii="Times New Roman" w:hAnsi="Times New Roman" w:cs="Times New Roman"/>
                <w:i w:val="0"/>
                <w:iCs w:val="0"/>
                <w:color w:val="auto"/>
                <w:highlight w:val="none"/>
                <w:u w:val="none"/>
                <w:lang w:val="en-US" w:eastAsia="zh-CN"/>
              </w:rPr>
              <w:t>t/a</w:t>
            </w:r>
            <w:r>
              <w:rPr>
                <w:rFonts w:hint="eastAsia" w:cs="Times New Roman"/>
                <w:i w:val="0"/>
                <w:iCs w:val="0"/>
                <w:color w:val="auto"/>
                <w:highlight w:val="none"/>
                <w:u w:val="none"/>
                <w:lang w:val="en-US" w:eastAsia="zh-CN"/>
              </w:rPr>
              <w:t>；</w:t>
            </w:r>
            <w:r>
              <w:rPr>
                <w:rFonts w:hint="eastAsia" w:ascii="Times New Roman" w:hAnsi="Times New Roman" w:cs="Times New Roman"/>
                <w:i w:val="0"/>
                <w:iCs w:val="0"/>
                <w:color w:val="auto"/>
                <w:sz w:val="24"/>
                <w:highlight w:val="none"/>
                <w:u w:val="none"/>
                <w:lang w:val="en-US" w:eastAsia="zh-CN"/>
              </w:rPr>
              <w:t>废弃布袋0.1t/a，全部由环卫部门清运处置。</w:t>
            </w:r>
          </w:p>
          <w:p>
            <w:pPr>
              <w:pStyle w:val="78"/>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left"/>
              <w:textAlignment w:val="auto"/>
              <w:rPr>
                <w:rFonts w:hint="default" w:ascii="Times New Roman" w:hAnsi="Times New Roman" w:cs="Times New Roman"/>
                <w:i w:val="0"/>
                <w:iCs w:val="0"/>
                <w:color w:val="auto"/>
                <w:sz w:val="24"/>
                <w:highlight w:val="none"/>
                <w:u w:val="none"/>
                <w:lang w:val="en-US" w:eastAsia="zh-CN"/>
              </w:rPr>
            </w:pPr>
            <w:r>
              <w:rPr>
                <w:rFonts w:hint="eastAsia"/>
                <w:i w:val="0"/>
                <w:iCs w:val="0"/>
                <w:color w:val="auto"/>
                <w:highlight w:val="none"/>
                <w:u w:val="none"/>
                <w:lang w:val="en-US" w:eastAsia="zh-CN"/>
              </w:rPr>
              <w:t>原料废包装袋</w:t>
            </w:r>
            <w:r>
              <w:rPr>
                <w:rFonts w:hint="eastAsia" w:ascii="Times New Roman" w:hAnsi="Times New Roman" w:cs="Times New Roman"/>
                <w:i w:val="0"/>
                <w:iCs w:val="0"/>
                <w:color w:val="auto"/>
                <w:sz w:val="24"/>
                <w:highlight w:val="none"/>
                <w:u w:val="none"/>
                <w:lang w:val="en-US" w:eastAsia="zh-CN"/>
              </w:rPr>
              <w:t>（S</w:t>
            </w:r>
            <w:r>
              <w:rPr>
                <w:rFonts w:hint="eastAsia" w:cs="Times New Roman"/>
                <w:i w:val="0"/>
                <w:iCs w:val="0"/>
                <w:color w:val="auto"/>
                <w:sz w:val="24"/>
                <w:highlight w:val="none"/>
                <w:u w:val="none"/>
                <w:lang w:val="en-US" w:eastAsia="zh-CN"/>
              </w:rPr>
              <w:t>4</w:t>
            </w:r>
            <w:r>
              <w:rPr>
                <w:rFonts w:hint="eastAsia" w:ascii="Times New Roman" w:hAnsi="Times New Roman" w:cs="Times New Roman"/>
                <w:i w:val="0"/>
                <w:iCs w:val="0"/>
                <w:color w:val="auto"/>
                <w:sz w:val="24"/>
                <w:highlight w:val="none"/>
                <w:u w:val="none"/>
                <w:lang w:val="en-US" w:eastAsia="zh-CN"/>
              </w:rPr>
              <w:t>）：本项目</w:t>
            </w:r>
            <w:r>
              <w:rPr>
                <w:rFonts w:hint="eastAsia" w:cs="Times New Roman"/>
                <w:i w:val="0"/>
                <w:iCs w:val="0"/>
                <w:color w:val="auto"/>
                <w:sz w:val="24"/>
                <w:highlight w:val="none"/>
                <w:u w:val="none"/>
                <w:lang w:val="en-US" w:eastAsia="zh-CN"/>
              </w:rPr>
              <w:t>原料拆包时产生</w:t>
            </w:r>
            <w:r>
              <w:rPr>
                <w:rFonts w:hint="eastAsia" w:ascii="Times New Roman" w:hAnsi="Times New Roman" w:cs="Times New Roman"/>
                <w:i w:val="0"/>
                <w:iCs w:val="0"/>
                <w:color w:val="auto"/>
                <w:sz w:val="24"/>
                <w:highlight w:val="none"/>
                <w:u w:val="none"/>
                <w:lang w:val="en-US" w:eastAsia="zh-CN"/>
              </w:rPr>
              <w:t>PE、尼龙废包装材料产生量为0.0</w:t>
            </w:r>
            <w:r>
              <w:rPr>
                <w:rFonts w:hint="eastAsia" w:cs="Times New Roman"/>
                <w:i w:val="0"/>
                <w:iCs w:val="0"/>
                <w:color w:val="auto"/>
                <w:sz w:val="24"/>
                <w:highlight w:val="none"/>
                <w:u w:val="none"/>
                <w:lang w:val="en-US" w:eastAsia="zh-CN"/>
              </w:rPr>
              <w:t>3</w:t>
            </w:r>
            <w:r>
              <w:rPr>
                <w:rFonts w:hint="eastAsia" w:ascii="Times New Roman" w:hAnsi="Times New Roman" w:cs="Times New Roman"/>
                <w:i w:val="0"/>
                <w:iCs w:val="0"/>
                <w:color w:val="auto"/>
                <w:sz w:val="24"/>
                <w:highlight w:val="none"/>
                <w:u w:val="none"/>
                <w:lang w:val="en-US" w:eastAsia="zh-CN"/>
              </w:rPr>
              <w:t>t/a，全部由环卫部门清运处置。</w:t>
            </w:r>
          </w:p>
          <w:p>
            <w:pPr>
              <w:pStyle w:val="63"/>
              <w:keepNext w:val="0"/>
              <w:keepLines w:val="0"/>
              <w:pageBreakBefore w:val="0"/>
              <w:widowControl w:val="0"/>
              <w:numPr>
                <w:ilvl w:val="0"/>
                <w:numId w:val="5"/>
              </w:numPr>
              <w:kinsoku/>
              <w:wordWrap/>
              <w:overflowPunct/>
              <w:topLinePunct w:val="0"/>
              <w:autoSpaceDE w:val="0"/>
              <w:autoSpaceDN w:val="0"/>
              <w:bidi w:val="0"/>
              <w:adjustRightInd w:val="0"/>
              <w:snapToGrid/>
              <w:spacing w:line="360" w:lineRule="auto"/>
              <w:ind w:left="0" w:leftChars="0" w:firstLine="480" w:firstLineChars="200"/>
              <w:textAlignment w:val="auto"/>
              <w:rPr>
                <w:rFonts w:hint="default" w:ascii="Times New Roman" w:hAnsi="Times New Roman" w:eastAsia="Times New Roman" w:cs="Times New Roman"/>
                <w:i w:val="0"/>
                <w:iCs w:val="0"/>
                <w:color w:val="auto"/>
                <w:highlight w:val="none"/>
                <w:u w:val="none"/>
                <w:lang w:val="en-US" w:eastAsia="zh-CN"/>
              </w:rPr>
            </w:pPr>
            <w:r>
              <w:rPr>
                <w:rFonts w:hint="eastAsia" w:ascii="Times New Roman" w:hAnsi="Times New Roman" w:eastAsia="Times New Roman" w:cs="Times New Roman"/>
                <w:i w:val="0"/>
                <w:iCs w:val="0"/>
                <w:color w:val="auto"/>
                <w:highlight w:val="none"/>
                <w:u w:val="none"/>
                <w:lang w:val="en-US" w:eastAsia="zh-CN"/>
              </w:rPr>
              <w:t>生活垃圾</w:t>
            </w:r>
            <w:r>
              <w:rPr>
                <w:rFonts w:hint="eastAsia" w:ascii="Times New Roman" w:hAnsi="Times New Roman" w:cs="Times New Roman"/>
                <w:i w:val="0"/>
                <w:iCs w:val="0"/>
                <w:color w:val="auto"/>
                <w:sz w:val="24"/>
                <w:highlight w:val="none"/>
                <w:u w:val="none"/>
                <w:lang w:val="en-US" w:eastAsia="zh-CN"/>
              </w:rPr>
              <w:t>（S</w:t>
            </w:r>
            <w:r>
              <w:rPr>
                <w:rFonts w:hint="eastAsia" w:cs="Times New Roman"/>
                <w:i w:val="0"/>
                <w:iCs w:val="0"/>
                <w:color w:val="auto"/>
                <w:sz w:val="24"/>
                <w:highlight w:val="none"/>
                <w:u w:val="none"/>
                <w:lang w:val="en-US" w:eastAsia="zh-CN"/>
              </w:rPr>
              <w:t>2</w:t>
            </w:r>
            <w:r>
              <w:rPr>
                <w:rFonts w:hint="eastAsia" w:ascii="Times New Roman" w:hAnsi="Times New Roman" w:cs="Times New Roman"/>
                <w:i w:val="0"/>
                <w:iCs w:val="0"/>
                <w:color w:val="auto"/>
                <w:sz w:val="24"/>
                <w:highlight w:val="none"/>
                <w:u w:val="none"/>
                <w:lang w:val="en-US" w:eastAsia="zh-CN"/>
              </w:rPr>
              <w:t>）</w:t>
            </w:r>
          </w:p>
          <w:p>
            <w:pPr>
              <w:pStyle w:val="78"/>
              <w:keepNext w:val="0"/>
              <w:keepLines w:val="0"/>
              <w:pageBreakBefore w:val="0"/>
              <w:widowControl w:val="0"/>
              <w:kinsoku/>
              <w:wordWrap/>
              <w:overflowPunct/>
              <w:topLinePunct w:val="0"/>
              <w:autoSpaceDE/>
              <w:autoSpaceDN/>
              <w:bidi w:val="0"/>
              <w:adjustRightInd w:val="0"/>
              <w:snapToGrid w:val="0"/>
              <w:textAlignment w:val="auto"/>
              <w:rPr>
                <w:rFonts w:hint="eastAsia"/>
                <w:i w:val="0"/>
                <w:iCs w:val="0"/>
                <w:color w:val="auto"/>
                <w:highlight w:val="none"/>
                <w:u w:val="none"/>
                <w:lang w:val="en-US" w:eastAsia="zh-CN"/>
              </w:rPr>
            </w:pPr>
            <w:r>
              <w:rPr>
                <w:rFonts w:hint="eastAsia"/>
                <w:i w:val="0"/>
                <w:iCs w:val="0"/>
                <w:color w:val="auto"/>
                <w:sz w:val="24"/>
                <w:highlight w:val="none"/>
                <w:u w:val="none"/>
                <w:lang w:val="en-US" w:eastAsia="zh-CN"/>
              </w:rPr>
              <w:t>生活垃圾。</w:t>
            </w:r>
            <w:r>
              <w:rPr>
                <w:i w:val="0"/>
                <w:iCs w:val="0"/>
                <w:color w:val="auto"/>
                <w:sz w:val="24"/>
                <w:highlight w:val="none"/>
                <w:u w:val="none"/>
              </w:rPr>
              <w:t>本项目职工定员</w:t>
            </w:r>
            <w:r>
              <w:rPr>
                <w:rFonts w:hint="eastAsia"/>
                <w:i w:val="0"/>
                <w:iCs w:val="0"/>
                <w:color w:val="auto"/>
                <w:sz w:val="24"/>
                <w:highlight w:val="none"/>
                <w:u w:val="none"/>
                <w:lang w:val="en-US" w:eastAsia="zh-CN"/>
              </w:rPr>
              <w:t>25</w:t>
            </w:r>
            <w:r>
              <w:rPr>
                <w:i w:val="0"/>
                <w:iCs w:val="0"/>
                <w:color w:val="auto"/>
                <w:sz w:val="24"/>
                <w:highlight w:val="none"/>
                <w:u w:val="none"/>
              </w:rPr>
              <w:t>人，按每人每天产生生活垃圾0.5kg 计算，一年工作日</w:t>
            </w:r>
            <w:r>
              <w:rPr>
                <w:rFonts w:hint="eastAsia"/>
                <w:i w:val="0"/>
                <w:iCs w:val="0"/>
                <w:color w:val="auto"/>
                <w:sz w:val="24"/>
                <w:highlight w:val="none"/>
                <w:u w:val="none"/>
                <w:lang w:val="en-US" w:eastAsia="zh-CN"/>
              </w:rPr>
              <w:t>250</w:t>
            </w:r>
            <w:r>
              <w:rPr>
                <w:i w:val="0"/>
                <w:iCs w:val="0"/>
                <w:color w:val="auto"/>
                <w:sz w:val="24"/>
                <w:highlight w:val="none"/>
                <w:u w:val="none"/>
              </w:rPr>
              <w:t>d计算，则本项目每年生活垃圾的产生量为</w:t>
            </w:r>
            <w:r>
              <w:rPr>
                <w:rFonts w:hint="eastAsia"/>
                <w:i w:val="0"/>
                <w:iCs w:val="0"/>
                <w:color w:val="auto"/>
                <w:sz w:val="24"/>
                <w:highlight w:val="none"/>
                <w:u w:val="none"/>
                <w:lang w:val="en-US" w:eastAsia="zh-CN"/>
              </w:rPr>
              <w:t>3.15</w:t>
            </w:r>
            <w:r>
              <w:rPr>
                <w:i w:val="0"/>
                <w:iCs w:val="0"/>
                <w:color w:val="auto"/>
                <w:sz w:val="24"/>
                <w:highlight w:val="none"/>
                <w:u w:val="none"/>
              </w:rPr>
              <w:t>t/a。生活垃圾集中收集后由环卫部门统一处理。</w:t>
            </w:r>
          </w:p>
          <w:p>
            <w:pPr>
              <w:pStyle w:val="63"/>
              <w:keepNext w:val="0"/>
              <w:keepLines w:val="0"/>
              <w:pageBreakBefore w:val="0"/>
              <w:widowControl w:val="0"/>
              <w:numPr>
                <w:ilvl w:val="0"/>
                <w:numId w:val="5"/>
              </w:numPr>
              <w:kinsoku/>
              <w:wordWrap/>
              <w:overflowPunct/>
              <w:topLinePunct w:val="0"/>
              <w:autoSpaceDE w:val="0"/>
              <w:autoSpaceDN w:val="0"/>
              <w:bidi w:val="0"/>
              <w:adjustRightInd w:val="0"/>
              <w:snapToGrid/>
              <w:spacing w:line="360" w:lineRule="auto"/>
              <w:ind w:left="0" w:leftChars="0" w:firstLine="480" w:firstLineChars="200"/>
              <w:textAlignment w:val="auto"/>
              <w:rPr>
                <w:rFonts w:hint="eastAsia" w:ascii="Times New Roman" w:hAnsi="Times New Roman" w:eastAsia="Times New Roman" w:cs="Times New Roman"/>
                <w:i w:val="0"/>
                <w:iCs w:val="0"/>
                <w:color w:val="auto"/>
                <w:highlight w:val="none"/>
                <w:u w:val="none"/>
                <w:lang w:val="en-US" w:eastAsia="zh-CN"/>
              </w:rPr>
            </w:pPr>
            <w:r>
              <w:rPr>
                <w:rFonts w:hint="eastAsia" w:ascii="Times New Roman" w:hAnsi="Times New Roman" w:eastAsia="Times New Roman" w:cs="Times New Roman"/>
                <w:i w:val="0"/>
                <w:iCs w:val="0"/>
                <w:color w:val="auto"/>
                <w:highlight w:val="none"/>
                <w:u w:val="none"/>
                <w:lang w:val="en-US" w:eastAsia="zh-CN"/>
              </w:rPr>
              <w:t>危险废物</w:t>
            </w:r>
          </w:p>
          <w:p>
            <w:pPr>
              <w:pStyle w:val="78"/>
              <w:keepNext w:val="0"/>
              <w:keepLines w:val="0"/>
              <w:pageBreakBefore w:val="0"/>
              <w:widowControl w:val="0"/>
              <w:numPr>
                <w:ilvl w:val="0"/>
                <w:numId w:val="0"/>
              </w:numPr>
              <w:kinsoku/>
              <w:wordWrap/>
              <w:overflowPunct/>
              <w:topLinePunct w:val="0"/>
              <w:autoSpaceDE/>
              <w:autoSpaceDN/>
              <w:bidi w:val="0"/>
              <w:adjustRightInd w:val="0"/>
              <w:snapToGrid w:val="0"/>
              <w:ind w:leftChars="0" w:firstLine="480" w:firstLineChars="200"/>
              <w:textAlignment w:val="auto"/>
              <w:rPr>
                <w:rFonts w:hint="eastAsia"/>
                <w:i w:val="0"/>
                <w:iCs w:val="0"/>
                <w:color w:val="auto"/>
                <w:highlight w:val="none"/>
                <w:u w:val="none"/>
                <w:shd w:val="clear" w:color="auto" w:fill="auto"/>
                <w:lang w:val="en-US" w:eastAsia="zh-CN"/>
              </w:rPr>
            </w:pPr>
            <w:r>
              <w:rPr>
                <w:i w:val="0"/>
                <w:iCs w:val="0"/>
                <w:color w:val="auto"/>
                <w:highlight w:val="none"/>
                <w:u w:val="none"/>
                <w:shd w:val="clear" w:color="auto" w:fill="auto"/>
              </w:rPr>
              <w:t>本项目危险废物</w:t>
            </w:r>
            <w:r>
              <w:rPr>
                <w:rFonts w:hint="eastAsia"/>
                <w:i w:val="0"/>
                <w:iCs w:val="0"/>
                <w:color w:val="auto"/>
                <w:highlight w:val="none"/>
                <w:u w:val="none"/>
                <w:shd w:val="clear" w:color="auto" w:fill="auto"/>
                <w:lang w:val="en-US" w:eastAsia="zh-CN"/>
              </w:rPr>
              <w:t>主要包括</w:t>
            </w:r>
            <w:r>
              <w:rPr>
                <w:rFonts w:hint="eastAsia" w:ascii="Times New Roman" w:hAnsi="Times New Roman" w:eastAsia="宋体" w:cs="Times New Roman"/>
                <w:color w:val="auto"/>
                <w:sz w:val="24"/>
                <w:highlight w:val="none"/>
                <w:shd w:val="clear" w:color="auto" w:fill="auto"/>
                <w:lang w:val="en-US" w:eastAsia="zh-CN"/>
              </w:rPr>
              <w:t>废含油抹布S5、</w:t>
            </w:r>
            <w:r>
              <w:rPr>
                <w:rFonts w:hint="default" w:ascii="Times New Roman" w:hAnsi="Times New Roman" w:eastAsia="宋体" w:cs="Times New Roman"/>
                <w:color w:val="auto"/>
                <w:sz w:val="24"/>
                <w:highlight w:val="none"/>
                <w:shd w:val="clear" w:color="auto" w:fill="auto"/>
                <w:lang w:val="en-US" w:eastAsia="zh-CN"/>
              </w:rPr>
              <w:t>废液压油</w:t>
            </w:r>
            <w:r>
              <w:rPr>
                <w:rFonts w:hint="eastAsia" w:ascii="Times New Roman" w:hAnsi="Times New Roman" w:eastAsia="宋体" w:cs="Times New Roman"/>
                <w:color w:val="auto"/>
                <w:sz w:val="24"/>
                <w:highlight w:val="none"/>
                <w:shd w:val="clear" w:color="auto" w:fill="auto"/>
                <w:lang w:val="en-US" w:eastAsia="zh-CN"/>
              </w:rPr>
              <w:t>S6</w:t>
            </w:r>
            <w:r>
              <w:rPr>
                <w:rFonts w:hint="default" w:ascii="Times New Roman" w:hAnsi="Times New Roman" w:eastAsia="宋体" w:cs="Times New Roman"/>
                <w:color w:val="auto"/>
                <w:sz w:val="24"/>
                <w:highlight w:val="none"/>
                <w:shd w:val="clear" w:color="auto" w:fill="auto"/>
                <w:lang w:val="en-US" w:eastAsia="zh-CN"/>
              </w:rPr>
              <w:t>、</w:t>
            </w:r>
            <w:r>
              <w:rPr>
                <w:rFonts w:hint="eastAsia" w:ascii="Times New Roman" w:hAnsi="Times New Roman" w:eastAsia="宋体" w:cs="Times New Roman"/>
                <w:color w:val="auto"/>
                <w:sz w:val="24"/>
                <w:highlight w:val="none"/>
                <w:shd w:val="clear" w:color="auto" w:fill="auto"/>
                <w:lang w:val="en-US" w:eastAsia="zh-CN"/>
              </w:rPr>
              <w:t>废导热油S7</w:t>
            </w:r>
            <w:r>
              <w:rPr>
                <w:rFonts w:hint="eastAsia"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lang w:val="en-US" w:eastAsia="zh-CN"/>
              </w:rPr>
              <w:t>含有机溶剂的废抹布</w:t>
            </w:r>
            <w:r>
              <w:rPr>
                <w:rFonts w:hint="eastAsia" w:ascii="Times New Roman" w:hAnsi="Times New Roman" w:eastAsia="宋体" w:cs="Times New Roman"/>
                <w:color w:val="auto"/>
                <w:sz w:val="24"/>
                <w:highlight w:val="none"/>
                <w:lang w:val="en-US" w:eastAsia="zh-CN"/>
              </w:rPr>
              <w:t>S8</w:t>
            </w:r>
            <w:r>
              <w:rPr>
                <w:rFonts w:hint="default" w:ascii="Times New Roman" w:hAnsi="Times New Roman" w:eastAsia="宋体" w:cs="Times New Roman"/>
                <w:color w:val="auto"/>
                <w:sz w:val="24"/>
                <w:highlight w:val="none"/>
                <w:lang w:val="en-US" w:eastAsia="zh-CN"/>
              </w:rPr>
              <w:t>、废活性炭</w:t>
            </w:r>
            <w:r>
              <w:rPr>
                <w:rFonts w:hint="eastAsia" w:ascii="Times New Roman" w:hAnsi="Times New Roman" w:eastAsia="宋体" w:cs="Times New Roman"/>
                <w:color w:val="auto"/>
                <w:sz w:val="24"/>
                <w:highlight w:val="none"/>
                <w:lang w:val="en-US" w:eastAsia="zh-CN"/>
              </w:rPr>
              <w:t>S9</w:t>
            </w:r>
            <w:r>
              <w:rPr>
                <w:rFonts w:hint="eastAsia" w:cs="Times New Roman"/>
                <w:color w:val="auto"/>
                <w:sz w:val="24"/>
                <w:highlight w:val="none"/>
                <w:lang w:val="en-US" w:eastAsia="zh-CN"/>
              </w:rPr>
              <w:t>、沾染原料的废包装品</w:t>
            </w:r>
            <w:r>
              <w:rPr>
                <w:rFonts w:hint="eastAsia" w:ascii="Times New Roman" w:hAnsi="Times New Roman" w:eastAsia="宋体" w:cs="Times New Roman"/>
                <w:color w:val="auto"/>
                <w:sz w:val="24"/>
                <w:highlight w:val="none"/>
                <w:lang w:val="en-US" w:eastAsia="zh-CN"/>
              </w:rPr>
              <w:t>S10</w:t>
            </w:r>
            <w:r>
              <w:rPr>
                <w:rFonts w:hint="default" w:ascii="Times New Roman" w:hAnsi="Times New Roman" w:eastAsia="宋体" w:cs="Times New Roman"/>
                <w:color w:val="auto"/>
                <w:sz w:val="24"/>
                <w:highlight w:val="none"/>
                <w:lang w:val="en-US" w:eastAsia="zh-CN"/>
              </w:rPr>
              <w:t>（包括废弃的包装桶、包装瓶）</w:t>
            </w:r>
            <w:r>
              <w:rPr>
                <w:rFonts w:hint="eastAsia"/>
                <w:i w:val="0"/>
                <w:iCs w:val="0"/>
                <w:color w:val="auto"/>
                <w:highlight w:val="none"/>
                <w:u w:val="none"/>
                <w:shd w:val="clear" w:color="auto" w:fill="auto"/>
                <w:lang w:val="en-US" w:eastAsia="zh-CN"/>
              </w:rPr>
              <w:t>。</w:t>
            </w:r>
          </w:p>
          <w:p>
            <w:pPr>
              <w:pStyle w:val="78"/>
              <w:keepNext w:val="0"/>
              <w:keepLines w:val="0"/>
              <w:pageBreakBefore w:val="0"/>
              <w:widowControl w:val="0"/>
              <w:numPr>
                <w:ilvl w:val="0"/>
                <w:numId w:val="0"/>
              </w:numPr>
              <w:kinsoku/>
              <w:wordWrap/>
              <w:overflowPunct/>
              <w:topLinePunct w:val="0"/>
              <w:autoSpaceDE/>
              <w:autoSpaceDN/>
              <w:bidi w:val="0"/>
              <w:adjustRightInd w:val="0"/>
              <w:snapToGrid w:val="0"/>
              <w:ind w:leftChars="0" w:firstLine="480" w:firstLineChars="200"/>
              <w:textAlignment w:val="auto"/>
              <w:rPr>
                <w:rFonts w:hint="default"/>
                <w:i w:val="0"/>
                <w:iCs w:val="0"/>
                <w:color w:val="auto"/>
                <w:highlight w:val="none"/>
                <w:u w:val="none"/>
                <w:shd w:val="clear" w:color="auto" w:fill="auto"/>
                <w:lang w:val="en-US" w:eastAsia="zh-CN"/>
              </w:rPr>
            </w:pPr>
            <w:r>
              <w:rPr>
                <w:rFonts w:hint="eastAsia" w:ascii="Times New Roman" w:hAnsi="Times New Roman" w:eastAsia="宋体" w:cs="Times New Roman"/>
                <w:i w:val="0"/>
                <w:iCs w:val="0"/>
                <w:color w:val="auto"/>
                <w:highlight w:val="none"/>
                <w:u w:val="none"/>
                <w:shd w:val="clear" w:color="auto" w:fill="auto"/>
                <w:lang w:val="en-US" w:eastAsia="zh-CN"/>
              </w:rPr>
              <w:t>废弃含油抹布S5：本项目设备检修产生的废弃含油抹布</w:t>
            </w:r>
            <w:r>
              <w:rPr>
                <w:rFonts w:hint="default" w:ascii="Times New Roman" w:hAnsi="Times New Roman" w:eastAsia="宋体" w:cs="Times New Roman"/>
                <w:i w:val="0"/>
                <w:iCs w:val="0"/>
                <w:color w:val="auto"/>
                <w:sz w:val="24"/>
                <w:szCs w:val="24"/>
                <w:highlight w:val="none"/>
                <w:u w:val="none"/>
                <w:lang w:val="en-US" w:eastAsia="zh-CN"/>
              </w:rPr>
              <w:t>（</w:t>
            </w:r>
            <w:r>
              <w:rPr>
                <w:rFonts w:hint="eastAsia" w:ascii="Times New Roman" w:hAnsi="Times New Roman" w:eastAsia="宋体" w:cs="Times New Roman"/>
                <w:i w:val="0"/>
                <w:iCs w:val="0"/>
                <w:color w:val="auto"/>
                <w:sz w:val="24"/>
                <w:szCs w:val="24"/>
                <w:highlight w:val="none"/>
                <w:u w:val="none"/>
                <w:lang w:val="en-US" w:eastAsia="zh-CN"/>
              </w:rPr>
              <w:t>HW49</w:t>
            </w:r>
            <w:r>
              <w:rPr>
                <w:rFonts w:hint="default" w:ascii="Times New Roman" w:hAnsi="Times New Roman" w:eastAsia="宋体" w:cs="Times New Roman"/>
                <w:i w:val="0"/>
                <w:iCs w:val="0"/>
                <w:color w:val="auto"/>
                <w:sz w:val="24"/>
                <w:szCs w:val="24"/>
                <w:highlight w:val="none"/>
                <w:u w:val="none"/>
                <w:lang w:val="en-US" w:eastAsia="zh-CN"/>
              </w:rPr>
              <w:t>，代码900-</w:t>
            </w:r>
            <w:r>
              <w:rPr>
                <w:rFonts w:hint="eastAsia" w:ascii="Times New Roman" w:hAnsi="Times New Roman" w:eastAsia="宋体" w:cs="Times New Roman"/>
                <w:i w:val="0"/>
                <w:iCs w:val="0"/>
                <w:color w:val="auto"/>
                <w:sz w:val="24"/>
                <w:szCs w:val="24"/>
                <w:highlight w:val="none"/>
                <w:u w:val="none"/>
                <w:lang w:val="en-US" w:eastAsia="zh-CN"/>
              </w:rPr>
              <w:t>0</w:t>
            </w:r>
            <w:r>
              <w:rPr>
                <w:rFonts w:hint="eastAsia" w:ascii="Times New Roman" w:hAnsi="Times New Roman" w:cs="Times New Roman"/>
                <w:i w:val="0"/>
                <w:iCs w:val="0"/>
                <w:color w:val="auto"/>
                <w:sz w:val="24"/>
                <w:szCs w:val="24"/>
                <w:highlight w:val="none"/>
                <w:u w:val="none"/>
                <w:lang w:val="en-US" w:eastAsia="zh-CN"/>
              </w:rPr>
              <w:t>41</w:t>
            </w:r>
            <w:r>
              <w:rPr>
                <w:rFonts w:hint="default" w:ascii="Times New Roman" w:hAnsi="Times New Roman" w:eastAsia="宋体" w:cs="Times New Roman"/>
                <w:i w:val="0"/>
                <w:iCs w:val="0"/>
                <w:color w:val="auto"/>
                <w:sz w:val="24"/>
                <w:szCs w:val="24"/>
                <w:highlight w:val="none"/>
                <w:u w:val="none"/>
                <w:lang w:val="en-US" w:eastAsia="zh-CN"/>
              </w:rPr>
              <w:t>-</w:t>
            </w:r>
            <w:r>
              <w:rPr>
                <w:rFonts w:hint="eastAsia" w:ascii="Times New Roman" w:hAnsi="Times New Roman" w:eastAsia="宋体" w:cs="Times New Roman"/>
                <w:i w:val="0"/>
                <w:iCs w:val="0"/>
                <w:color w:val="auto"/>
                <w:sz w:val="24"/>
                <w:szCs w:val="24"/>
                <w:highlight w:val="none"/>
                <w:u w:val="none"/>
                <w:lang w:val="en-US" w:eastAsia="zh-CN"/>
              </w:rPr>
              <w:t>49</w:t>
            </w:r>
            <w:r>
              <w:rPr>
                <w:rFonts w:hint="default" w:ascii="Times New Roman" w:hAnsi="Times New Roman" w:eastAsia="宋体" w:cs="Times New Roman"/>
                <w:i w:val="0"/>
                <w:iCs w:val="0"/>
                <w:color w:val="auto"/>
                <w:sz w:val="24"/>
                <w:szCs w:val="24"/>
                <w:highlight w:val="none"/>
                <w:u w:val="none"/>
                <w:lang w:val="en-US" w:eastAsia="zh-CN"/>
              </w:rPr>
              <w:t>）</w:t>
            </w:r>
            <w:r>
              <w:rPr>
                <w:rFonts w:hint="eastAsia" w:ascii="Times New Roman" w:hAnsi="Times New Roman" w:eastAsia="宋体" w:cs="Times New Roman"/>
                <w:i w:val="0"/>
                <w:iCs w:val="0"/>
                <w:color w:val="auto"/>
                <w:highlight w:val="none"/>
                <w:u w:val="none"/>
                <w:shd w:val="clear" w:color="auto" w:fill="auto"/>
                <w:lang w:val="en-US" w:eastAsia="zh-CN"/>
              </w:rPr>
              <w:t>产生量为0.005t/a全过程分类收集，按危废处理，不混入生活垃圾</w:t>
            </w:r>
            <w:r>
              <w:rPr>
                <w:rFonts w:hint="eastAsia" w:cs="Times New Roman"/>
                <w:i w:val="0"/>
                <w:iCs w:val="0"/>
                <w:color w:val="auto"/>
                <w:highlight w:val="none"/>
                <w:u w:val="none"/>
                <w:shd w:val="clear" w:color="auto" w:fill="auto"/>
                <w:lang w:val="en-US" w:eastAsia="zh-CN"/>
              </w:rPr>
              <w:t>，委托有资质单位</w:t>
            </w:r>
            <w:r>
              <w:rPr>
                <w:rFonts w:hint="eastAsia" w:ascii="Times New Roman" w:hAnsi="Times New Roman" w:eastAsia="宋体" w:cs="Times New Roman"/>
                <w:i w:val="0"/>
                <w:iCs w:val="0"/>
                <w:color w:val="auto"/>
                <w:highlight w:val="none"/>
                <w:u w:val="none"/>
                <w:shd w:val="clear" w:color="auto" w:fill="auto"/>
                <w:lang w:val="en-US" w:eastAsia="zh-CN"/>
              </w:rPr>
              <w:t>处理</w:t>
            </w:r>
            <w:r>
              <w:rPr>
                <w:rFonts w:hint="eastAsia"/>
                <w:i w:val="0"/>
                <w:iCs w:val="0"/>
                <w:color w:val="auto"/>
                <w:highlight w:val="none"/>
                <w:u w:val="none"/>
                <w:shd w:val="clear" w:color="auto" w:fill="auto"/>
                <w:lang w:val="en-US" w:eastAsia="zh-CN"/>
              </w:rPr>
              <w:t>。</w:t>
            </w:r>
          </w:p>
          <w:p>
            <w:pPr>
              <w:pStyle w:val="78"/>
              <w:keepNext w:val="0"/>
              <w:keepLines w:val="0"/>
              <w:pageBreakBefore w:val="0"/>
              <w:widowControl w:val="0"/>
              <w:numPr>
                <w:ilvl w:val="0"/>
                <w:numId w:val="0"/>
              </w:numPr>
              <w:kinsoku/>
              <w:wordWrap/>
              <w:overflowPunct/>
              <w:topLinePunct w:val="0"/>
              <w:autoSpaceDE/>
              <w:autoSpaceDN/>
              <w:bidi w:val="0"/>
              <w:adjustRightInd w:val="0"/>
              <w:snapToGrid w:val="0"/>
              <w:ind w:leftChars="0" w:firstLine="480" w:firstLineChars="200"/>
              <w:textAlignment w:val="auto"/>
              <w:rPr>
                <w:rFonts w:hint="eastAsia"/>
                <w:i w:val="0"/>
                <w:iCs w:val="0"/>
                <w:color w:val="auto"/>
                <w:highlight w:val="none"/>
                <w:u w:val="none"/>
                <w:shd w:val="clear" w:color="auto" w:fill="auto"/>
                <w:lang w:val="en-US" w:eastAsia="zh-CN"/>
              </w:rPr>
            </w:pPr>
            <w:r>
              <w:rPr>
                <w:rFonts w:hint="eastAsia"/>
                <w:i w:val="0"/>
                <w:iCs w:val="0"/>
                <w:color w:val="auto"/>
                <w:highlight w:val="none"/>
                <w:u w:val="none"/>
                <w:shd w:val="clear" w:color="auto" w:fill="auto"/>
                <w:lang w:val="en-US" w:eastAsia="zh-CN"/>
              </w:rPr>
              <w:t>废液压油S6</w:t>
            </w:r>
            <w:r>
              <w:rPr>
                <w:rFonts w:hint="eastAsia" w:ascii="Times New Roman" w:hAnsi="Times New Roman" w:eastAsia="宋体" w:cs="Times New Roman"/>
                <w:i w:val="0"/>
                <w:iCs w:val="0"/>
                <w:color w:val="auto"/>
                <w:highlight w:val="none"/>
                <w:u w:val="none"/>
                <w:shd w:val="clear" w:color="auto" w:fill="auto"/>
                <w:lang w:val="en-US" w:eastAsia="zh-CN"/>
              </w:rPr>
              <w:t>：</w:t>
            </w:r>
            <w:r>
              <w:rPr>
                <w:rFonts w:hint="eastAsia"/>
                <w:i w:val="0"/>
                <w:iCs w:val="0"/>
                <w:color w:val="auto"/>
                <w:highlight w:val="none"/>
                <w:u w:val="none"/>
                <w:shd w:val="clear" w:color="auto" w:fill="auto"/>
                <w:lang w:val="en-US" w:eastAsia="zh-CN"/>
              </w:rPr>
              <w:t>本项目注塑机废液压油</w:t>
            </w:r>
            <w:r>
              <w:rPr>
                <w:rFonts w:hint="default" w:ascii="Times New Roman" w:hAnsi="Times New Roman" w:eastAsia="宋体" w:cs="Times New Roman"/>
                <w:i w:val="0"/>
                <w:iCs w:val="0"/>
                <w:color w:val="auto"/>
                <w:sz w:val="24"/>
                <w:szCs w:val="24"/>
                <w:highlight w:val="none"/>
                <w:u w:val="none"/>
                <w:lang w:val="en-US" w:eastAsia="zh-CN"/>
              </w:rPr>
              <w:t>（HW08</w:t>
            </w:r>
            <w:r>
              <w:rPr>
                <w:rFonts w:hint="eastAsia" w:ascii="Times New Roman" w:hAnsi="Times New Roman" w:eastAsia="宋体" w:cs="Times New Roman"/>
                <w:i w:val="0"/>
                <w:iCs w:val="0"/>
                <w:color w:val="auto"/>
                <w:sz w:val="24"/>
                <w:szCs w:val="24"/>
                <w:highlight w:val="none"/>
                <w:u w:val="none"/>
                <w:lang w:val="en-US" w:eastAsia="zh-CN"/>
              </w:rPr>
              <w:t>，</w:t>
            </w:r>
            <w:r>
              <w:rPr>
                <w:rFonts w:hint="default" w:ascii="Times New Roman" w:hAnsi="Times New Roman" w:eastAsia="宋体" w:cs="Times New Roman"/>
                <w:i w:val="0"/>
                <w:iCs w:val="0"/>
                <w:color w:val="auto"/>
                <w:sz w:val="24"/>
                <w:szCs w:val="24"/>
                <w:highlight w:val="none"/>
                <w:u w:val="none"/>
                <w:lang w:val="en-US" w:eastAsia="zh-CN"/>
              </w:rPr>
              <w:t>代码900-21</w:t>
            </w:r>
            <w:r>
              <w:rPr>
                <w:rFonts w:hint="eastAsia" w:ascii="Times New Roman" w:hAnsi="Times New Roman" w:cs="Times New Roman"/>
                <w:i w:val="0"/>
                <w:iCs w:val="0"/>
                <w:color w:val="auto"/>
                <w:sz w:val="24"/>
                <w:szCs w:val="24"/>
                <w:highlight w:val="none"/>
                <w:u w:val="none"/>
                <w:lang w:val="en-US" w:eastAsia="zh-CN"/>
              </w:rPr>
              <w:t>8</w:t>
            </w:r>
            <w:r>
              <w:rPr>
                <w:rFonts w:hint="default" w:ascii="Times New Roman" w:hAnsi="Times New Roman" w:eastAsia="宋体" w:cs="Times New Roman"/>
                <w:i w:val="0"/>
                <w:iCs w:val="0"/>
                <w:color w:val="auto"/>
                <w:sz w:val="24"/>
                <w:szCs w:val="24"/>
                <w:highlight w:val="none"/>
                <w:u w:val="none"/>
                <w:lang w:val="en-US" w:eastAsia="zh-CN"/>
              </w:rPr>
              <w:t>-08）</w:t>
            </w:r>
            <w:r>
              <w:rPr>
                <w:rFonts w:hint="eastAsia"/>
                <w:i w:val="0"/>
                <w:iCs w:val="0"/>
                <w:color w:val="auto"/>
                <w:highlight w:val="none"/>
                <w:u w:val="none"/>
                <w:shd w:val="clear" w:color="auto" w:fill="auto"/>
                <w:lang w:val="en-US" w:eastAsia="zh-CN"/>
              </w:rPr>
              <w:t>产生量约为0.005t/a。</w:t>
            </w:r>
          </w:p>
          <w:p>
            <w:pPr>
              <w:pStyle w:val="78"/>
              <w:keepNext w:val="0"/>
              <w:keepLines w:val="0"/>
              <w:pageBreakBefore w:val="0"/>
              <w:widowControl w:val="0"/>
              <w:numPr>
                <w:ilvl w:val="0"/>
                <w:numId w:val="0"/>
              </w:numPr>
              <w:kinsoku/>
              <w:wordWrap/>
              <w:overflowPunct/>
              <w:topLinePunct w:val="0"/>
              <w:autoSpaceDE/>
              <w:autoSpaceDN/>
              <w:bidi w:val="0"/>
              <w:adjustRightInd w:val="0"/>
              <w:snapToGrid w:val="0"/>
              <w:ind w:leftChars="0" w:firstLine="480" w:firstLineChars="200"/>
              <w:textAlignment w:val="auto"/>
              <w:rPr>
                <w:rFonts w:hint="eastAsia"/>
                <w:i w:val="0"/>
                <w:iCs w:val="0"/>
                <w:color w:val="auto"/>
                <w:highlight w:val="none"/>
                <w:u w:val="none"/>
                <w:shd w:val="clear" w:color="auto" w:fill="auto"/>
                <w:lang w:val="en-US" w:eastAsia="zh-CN"/>
              </w:rPr>
            </w:pPr>
            <w:r>
              <w:rPr>
                <w:rFonts w:hint="eastAsia" w:ascii="Times New Roman" w:hAnsi="Times New Roman" w:eastAsia="宋体" w:cs="Times New Roman"/>
                <w:i w:val="0"/>
                <w:iCs w:val="0"/>
                <w:color w:val="auto"/>
                <w:highlight w:val="none"/>
                <w:u w:val="none"/>
                <w:shd w:val="clear" w:color="auto" w:fill="auto"/>
                <w:lang w:val="en-US" w:eastAsia="zh-CN"/>
              </w:rPr>
              <w:t>废导热油S7：本项目温模机采用介质导热油进行加热原辅材料，导热油定期更换，导热油</w:t>
            </w:r>
            <w:r>
              <w:rPr>
                <w:rFonts w:hint="default" w:ascii="Times New Roman" w:hAnsi="Times New Roman" w:eastAsia="宋体" w:cs="Times New Roman"/>
                <w:i w:val="0"/>
                <w:iCs w:val="0"/>
                <w:color w:val="auto"/>
                <w:sz w:val="24"/>
                <w:szCs w:val="24"/>
                <w:highlight w:val="none"/>
                <w:u w:val="none"/>
                <w:lang w:val="en-US" w:eastAsia="zh-CN"/>
              </w:rPr>
              <w:t>（HW08</w:t>
            </w:r>
            <w:r>
              <w:rPr>
                <w:rFonts w:hint="eastAsia" w:ascii="Times New Roman" w:hAnsi="Times New Roman" w:eastAsia="宋体" w:cs="Times New Roman"/>
                <w:i w:val="0"/>
                <w:iCs w:val="0"/>
                <w:color w:val="auto"/>
                <w:sz w:val="24"/>
                <w:szCs w:val="24"/>
                <w:highlight w:val="none"/>
                <w:u w:val="none"/>
                <w:lang w:val="en-US" w:eastAsia="zh-CN"/>
              </w:rPr>
              <w:t>，</w:t>
            </w:r>
            <w:r>
              <w:rPr>
                <w:rFonts w:hint="default" w:ascii="Times New Roman" w:hAnsi="Times New Roman" w:eastAsia="宋体" w:cs="Times New Roman"/>
                <w:i w:val="0"/>
                <w:iCs w:val="0"/>
                <w:color w:val="auto"/>
                <w:sz w:val="24"/>
                <w:szCs w:val="24"/>
                <w:highlight w:val="none"/>
                <w:u w:val="none"/>
                <w:lang w:val="en-US" w:eastAsia="zh-CN"/>
              </w:rPr>
              <w:t>代码900-2</w:t>
            </w:r>
            <w:r>
              <w:rPr>
                <w:rFonts w:hint="eastAsia" w:ascii="Times New Roman" w:hAnsi="Times New Roman" w:cs="Times New Roman"/>
                <w:i w:val="0"/>
                <w:iCs w:val="0"/>
                <w:color w:val="auto"/>
                <w:sz w:val="24"/>
                <w:szCs w:val="24"/>
                <w:highlight w:val="none"/>
                <w:u w:val="none"/>
                <w:lang w:val="en-US" w:eastAsia="zh-CN"/>
              </w:rPr>
              <w:t>49</w:t>
            </w:r>
            <w:r>
              <w:rPr>
                <w:rFonts w:hint="default" w:ascii="Times New Roman" w:hAnsi="Times New Roman" w:eastAsia="宋体" w:cs="Times New Roman"/>
                <w:i w:val="0"/>
                <w:iCs w:val="0"/>
                <w:color w:val="auto"/>
                <w:sz w:val="24"/>
                <w:szCs w:val="24"/>
                <w:highlight w:val="none"/>
                <w:u w:val="none"/>
                <w:lang w:val="en-US" w:eastAsia="zh-CN"/>
              </w:rPr>
              <w:t>-08）</w:t>
            </w:r>
            <w:r>
              <w:rPr>
                <w:rFonts w:hint="eastAsia" w:ascii="Times New Roman" w:hAnsi="Times New Roman" w:eastAsia="宋体" w:cs="Times New Roman"/>
                <w:i w:val="0"/>
                <w:iCs w:val="0"/>
                <w:color w:val="auto"/>
                <w:highlight w:val="none"/>
                <w:u w:val="none"/>
                <w:shd w:val="clear" w:color="auto" w:fill="auto"/>
                <w:lang w:val="en-US" w:eastAsia="zh-CN"/>
              </w:rPr>
              <w:t>产生量为0.05t/a</w:t>
            </w:r>
            <w:r>
              <w:rPr>
                <w:rFonts w:hint="eastAsia"/>
                <w:i w:val="0"/>
                <w:iCs w:val="0"/>
                <w:color w:val="auto"/>
                <w:highlight w:val="none"/>
                <w:u w:val="none"/>
                <w:shd w:val="clear" w:color="auto" w:fill="auto"/>
                <w:lang w:val="en-US" w:eastAsia="zh-CN"/>
              </w:rPr>
              <w:t>。</w:t>
            </w:r>
          </w:p>
          <w:p>
            <w:pPr>
              <w:pStyle w:val="78"/>
              <w:keepNext w:val="0"/>
              <w:keepLines w:val="0"/>
              <w:pageBreakBefore w:val="0"/>
              <w:widowControl w:val="0"/>
              <w:numPr>
                <w:ilvl w:val="0"/>
                <w:numId w:val="0"/>
              </w:numPr>
              <w:kinsoku/>
              <w:wordWrap/>
              <w:overflowPunct/>
              <w:topLinePunct w:val="0"/>
              <w:autoSpaceDE/>
              <w:autoSpaceDN/>
              <w:bidi w:val="0"/>
              <w:adjustRightInd w:val="0"/>
              <w:snapToGrid w:val="0"/>
              <w:ind w:leftChars="0" w:firstLine="480" w:firstLineChars="200"/>
              <w:textAlignment w:val="auto"/>
              <w:rPr>
                <w:rFonts w:hint="eastAsia" w:ascii="Times New Roman" w:hAnsi="Times New Roman" w:eastAsia="宋体" w:cs="Times New Roman"/>
                <w:i w:val="0"/>
                <w:iCs w:val="0"/>
                <w:color w:val="auto"/>
                <w:highlight w:val="none"/>
                <w:u w:val="none"/>
                <w:shd w:val="clear" w:color="auto" w:fill="auto"/>
                <w:lang w:val="en-US" w:eastAsia="zh-CN"/>
              </w:rPr>
            </w:pPr>
            <w:r>
              <w:rPr>
                <w:rFonts w:hint="default" w:ascii="Times New Roman" w:hAnsi="Times New Roman" w:eastAsia="宋体" w:cs="Times New Roman"/>
                <w:color w:val="auto"/>
                <w:sz w:val="24"/>
                <w:highlight w:val="none"/>
                <w:lang w:val="en-US" w:eastAsia="zh-CN"/>
              </w:rPr>
              <w:t>含有机溶剂的废抹布</w:t>
            </w:r>
            <w:r>
              <w:rPr>
                <w:rFonts w:hint="eastAsia" w:ascii="Times New Roman" w:hAnsi="Times New Roman" w:eastAsia="宋体" w:cs="Times New Roman"/>
                <w:color w:val="auto"/>
                <w:sz w:val="24"/>
                <w:highlight w:val="none"/>
                <w:lang w:val="en-US" w:eastAsia="zh-CN"/>
              </w:rPr>
              <w:t>S8</w:t>
            </w:r>
            <w:r>
              <w:rPr>
                <w:rFonts w:hint="eastAsia" w:ascii="Times New Roman" w:hAnsi="Times New Roman" w:eastAsia="宋体" w:cs="Times New Roman"/>
                <w:i w:val="0"/>
                <w:iCs w:val="0"/>
                <w:color w:val="auto"/>
                <w:highlight w:val="none"/>
                <w:u w:val="none"/>
                <w:shd w:val="clear" w:color="auto" w:fill="auto"/>
                <w:lang w:val="en-US" w:eastAsia="zh-CN"/>
              </w:rPr>
              <w:t>：</w:t>
            </w:r>
            <w:r>
              <w:rPr>
                <w:rFonts w:hint="eastAsia" w:ascii="Times New Roman" w:hAnsi="Times New Roman" w:eastAsia="宋体" w:cs="Times New Roman"/>
                <w:color w:val="auto"/>
                <w:sz w:val="24"/>
                <w:highlight w:val="none"/>
                <w:lang w:val="en-US" w:eastAsia="zh-CN"/>
              </w:rPr>
              <w:t>本项目</w:t>
            </w:r>
            <w:r>
              <w:rPr>
                <w:rFonts w:hint="default" w:ascii="Times New Roman" w:hAnsi="Times New Roman" w:eastAsia="宋体" w:cs="Times New Roman"/>
                <w:color w:val="auto"/>
                <w:sz w:val="24"/>
                <w:highlight w:val="none"/>
                <w:lang w:val="en-US" w:eastAsia="zh-CN"/>
              </w:rPr>
              <w:t>含有机溶剂的废抹布</w:t>
            </w:r>
            <w:r>
              <w:rPr>
                <w:rFonts w:hint="default" w:ascii="Times New Roman" w:hAnsi="Times New Roman" w:eastAsia="宋体" w:cs="Times New Roman"/>
                <w:i w:val="0"/>
                <w:iCs w:val="0"/>
                <w:color w:val="auto"/>
                <w:sz w:val="24"/>
                <w:szCs w:val="24"/>
                <w:highlight w:val="none"/>
                <w:u w:val="none"/>
                <w:lang w:val="en-US" w:eastAsia="zh-CN"/>
              </w:rPr>
              <w:t>（</w:t>
            </w:r>
            <w:r>
              <w:rPr>
                <w:rFonts w:hint="eastAsia" w:ascii="Times New Roman" w:hAnsi="Times New Roman" w:eastAsia="宋体" w:cs="Times New Roman"/>
                <w:i w:val="0"/>
                <w:iCs w:val="0"/>
                <w:color w:val="auto"/>
                <w:sz w:val="24"/>
                <w:szCs w:val="24"/>
                <w:highlight w:val="none"/>
                <w:u w:val="none"/>
                <w:lang w:val="en-US" w:eastAsia="zh-CN"/>
              </w:rPr>
              <w:t>HW49</w:t>
            </w:r>
            <w:r>
              <w:rPr>
                <w:rFonts w:hint="default" w:ascii="Times New Roman" w:hAnsi="Times New Roman" w:eastAsia="宋体" w:cs="Times New Roman"/>
                <w:i w:val="0"/>
                <w:iCs w:val="0"/>
                <w:color w:val="auto"/>
                <w:sz w:val="24"/>
                <w:szCs w:val="24"/>
                <w:highlight w:val="none"/>
                <w:u w:val="none"/>
                <w:lang w:val="en-US" w:eastAsia="zh-CN"/>
              </w:rPr>
              <w:t>，代码900-</w:t>
            </w:r>
            <w:r>
              <w:rPr>
                <w:rFonts w:hint="eastAsia" w:ascii="Times New Roman" w:hAnsi="Times New Roman" w:eastAsia="宋体" w:cs="Times New Roman"/>
                <w:i w:val="0"/>
                <w:iCs w:val="0"/>
                <w:color w:val="auto"/>
                <w:highlight w:val="none"/>
                <w:u w:val="none"/>
                <w:shd w:val="clear" w:color="auto" w:fill="auto"/>
                <w:lang w:val="en-US" w:eastAsia="zh-CN"/>
              </w:rPr>
              <w:t>041</w:t>
            </w:r>
            <w:r>
              <w:rPr>
                <w:rFonts w:hint="default" w:ascii="Times New Roman" w:hAnsi="Times New Roman" w:eastAsia="宋体" w:cs="Times New Roman"/>
                <w:i w:val="0"/>
                <w:iCs w:val="0"/>
                <w:color w:val="auto"/>
                <w:highlight w:val="none"/>
                <w:u w:val="none"/>
                <w:shd w:val="clear" w:color="auto" w:fill="auto"/>
                <w:lang w:val="en-US" w:eastAsia="zh-CN"/>
              </w:rPr>
              <w:t>-</w:t>
            </w:r>
            <w:r>
              <w:rPr>
                <w:rFonts w:hint="eastAsia" w:ascii="Times New Roman" w:hAnsi="Times New Roman" w:eastAsia="宋体" w:cs="Times New Roman"/>
                <w:i w:val="0"/>
                <w:iCs w:val="0"/>
                <w:color w:val="auto"/>
                <w:highlight w:val="none"/>
                <w:u w:val="none"/>
                <w:shd w:val="clear" w:color="auto" w:fill="auto"/>
                <w:lang w:val="en-US" w:eastAsia="zh-CN"/>
              </w:rPr>
              <w:t>49</w:t>
            </w:r>
            <w:r>
              <w:rPr>
                <w:rFonts w:hint="default" w:ascii="Times New Roman" w:hAnsi="Times New Roman" w:eastAsia="宋体" w:cs="Times New Roman"/>
                <w:i w:val="0"/>
                <w:iCs w:val="0"/>
                <w:color w:val="auto"/>
                <w:highlight w:val="none"/>
                <w:u w:val="none"/>
                <w:shd w:val="clear" w:color="auto" w:fill="auto"/>
                <w:lang w:val="en-US" w:eastAsia="zh-CN"/>
              </w:rPr>
              <w:t>）</w:t>
            </w:r>
            <w:r>
              <w:rPr>
                <w:rFonts w:hint="eastAsia" w:ascii="Times New Roman" w:hAnsi="Times New Roman" w:eastAsia="宋体" w:cs="Times New Roman"/>
                <w:i w:val="0"/>
                <w:iCs w:val="0"/>
                <w:color w:val="auto"/>
                <w:highlight w:val="none"/>
                <w:u w:val="none"/>
                <w:shd w:val="clear" w:color="auto" w:fill="auto"/>
                <w:lang w:val="en-US" w:eastAsia="zh-CN"/>
              </w:rPr>
              <w:t>产生量为0.5t/a</w:t>
            </w:r>
          </w:p>
          <w:p>
            <w:pPr>
              <w:pStyle w:val="78"/>
              <w:keepNext w:val="0"/>
              <w:keepLines w:val="0"/>
              <w:pageBreakBefore w:val="0"/>
              <w:widowControl w:val="0"/>
              <w:numPr>
                <w:ilvl w:val="0"/>
                <w:numId w:val="0"/>
              </w:numPr>
              <w:kinsoku/>
              <w:wordWrap/>
              <w:overflowPunct/>
              <w:topLinePunct w:val="0"/>
              <w:autoSpaceDE/>
              <w:autoSpaceDN/>
              <w:bidi w:val="0"/>
              <w:adjustRightInd w:val="0"/>
              <w:snapToGrid w:val="0"/>
              <w:ind w:leftChars="0" w:firstLine="480" w:firstLineChars="200"/>
              <w:textAlignment w:val="auto"/>
              <w:rPr>
                <w:rFonts w:hint="eastAsia"/>
                <w:i w:val="0"/>
                <w:iCs w:val="0"/>
                <w:color w:val="auto"/>
                <w:highlight w:val="none"/>
                <w:u w:val="none"/>
                <w:shd w:val="clear" w:color="auto" w:fill="auto"/>
                <w:lang w:val="en-US" w:eastAsia="zh-CN"/>
              </w:rPr>
            </w:pPr>
            <w:r>
              <w:rPr>
                <w:rFonts w:hint="eastAsia" w:ascii="Times New Roman" w:hAnsi="Times New Roman" w:cs="Times New Roman"/>
                <w:color w:val="auto"/>
                <w:sz w:val="24"/>
                <w:highlight w:val="none"/>
                <w:lang w:val="en-US" w:eastAsia="zh-CN"/>
              </w:rPr>
              <w:t>废活性炭S9：本项目产生的挥发性有机废气采取</w:t>
            </w:r>
            <w:r>
              <w:rPr>
                <w:rFonts w:hint="eastAsia" w:cs="Times New Roman"/>
                <w:color w:val="auto"/>
                <w:sz w:val="24"/>
                <w:highlight w:val="none"/>
                <w:lang w:val="en-US" w:eastAsia="zh-CN"/>
              </w:rPr>
              <w:t>“</w:t>
            </w:r>
            <w:r>
              <w:rPr>
                <w:rFonts w:hint="eastAsia" w:ascii="Times New Roman" w:hAnsi="Times New Roman" w:cs="Times New Roman"/>
                <w:color w:val="auto"/>
                <w:sz w:val="24"/>
                <w:highlight w:val="none"/>
                <w:lang w:val="en-US" w:eastAsia="zh-CN"/>
              </w:rPr>
              <w:t>活性炭吸附</w:t>
            </w:r>
            <w:r>
              <w:rPr>
                <w:rFonts w:hint="eastAsia" w:cs="Times New Roman"/>
                <w:color w:val="auto"/>
                <w:sz w:val="24"/>
                <w:highlight w:val="none"/>
                <w:lang w:val="en-US" w:eastAsia="zh-CN"/>
              </w:rPr>
              <w:t>”</w:t>
            </w:r>
            <w:r>
              <w:rPr>
                <w:rFonts w:hint="eastAsia" w:ascii="Times New Roman" w:hAnsi="Times New Roman" w:cs="Times New Roman"/>
                <w:color w:val="auto"/>
                <w:sz w:val="24"/>
                <w:highlight w:val="none"/>
                <w:lang w:val="en-US" w:eastAsia="zh-CN"/>
              </w:rPr>
              <w:t>装置进行净化处理。活性炭属于多</w:t>
            </w:r>
            <w:r>
              <w:rPr>
                <w:rFonts w:ascii="Times New Roman" w:hAnsi="Times New Roman" w:cs="Times New Roman"/>
                <w:color w:val="auto"/>
                <w:sz w:val="24"/>
                <w:highlight w:val="none"/>
              </w:rPr>
              <w:t>孔介质，吸附一定量废气后会饱和，为保证吸附净化效率，须定期更换活性炭，更换下来的废活性炭含有非甲烷总经等污染物，属于危险废物。</w:t>
            </w:r>
            <w:r>
              <w:rPr>
                <w:rFonts w:hint="eastAsia"/>
                <w:i w:val="0"/>
                <w:iCs w:val="0"/>
                <w:color w:val="auto"/>
                <w:highlight w:val="none"/>
                <w:u w:val="none"/>
                <w:shd w:val="clear" w:color="auto" w:fill="auto"/>
                <w:lang w:val="en-US" w:eastAsia="zh-CN"/>
              </w:rPr>
              <w:t>本项目采用的蜂窝状活性炭比表面积800m</w:t>
            </w:r>
            <w:r>
              <w:rPr>
                <w:rFonts w:hint="eastAsia"/>
                <w:i w:val="0"/>
                <w:iCs w:val="0"/>
                <w:color w:val="auto"/>
                <w:highlight w:val="none"/>
                <w:u w:val="none"/>
                <w:shd w:val="clear" w:color="auto" w:fill="auto"/>
                <w:vertAlign w:val="superscript"/>
                <w:lang w:val="en-US" w:eastAsia="zh-CN"/>
              </w:rPr>
              <w:t>2</w:t>
            </w:r>
            <w:r>
              <w:rPr>
                <w:rFonts w:hint="eastAsia"/>
                <w:i w:val="0"/>
                <w:iCs w:val="0"/>
                <w:color w:val="auto"/>
                <w:highlight w:val="none"/>
                <w:u w:val="none"/>
                <w:shd w:val="clear" w:color="auto" w:fill="auto"/>
                <w:lang w:val="en-US" w:eastAsia="zh-CN"/>
              </w:rPr>
              <w:t>/g，吸附值0.86g/g。故废活性炭</w:t>
            </w:r>
            <w:r>
              <w:rPr>
                <w:rFonts w:hint="default" w:ascii="Times New Roman" w:hAnsi="Times New Roman" w:eastAsia="宋体" w:cs="Times New Roman"/>
                <w:i w:val="0"/>
                <w:iCs w:val="0"/>
                <w:color w:val="auto"/>
                <w:sz w:val="24"/>
                <w:szCs w:val="24"/>
                <w:highlight w:val="none"/>
                <w:u w:val="none"/>
                <w:lang w:val="en-US" w:eastAsia="zh-CN"/>
              </w:rPr>
              <w:t>（</w:t>
            </w:r>
            <w:r>
              <w:rPr>
                <w:rFonts w:hint="eastAsia" w:ascii="Times New Roman" w:hAnsi="Times New Roman" w:eastAsia="宋体" w:cs="Times New Roman"/>
                <w:i w:val="0"/>
                <w:iCs w:val="0"/>
                <w:color w:val="auto"/>
                <w:sz w:val="24"/>
                <w:szCs w:val="24"/>
                <w:highlight w:val="none"/>
                <w:u w:val="none"/>
                <w:lang w:val="en-US" w:eastAsia="zh-CN"/>
              </w:rPr>
              <w:t>HW49</w:t>
            </w:r>
            <w:r>
              <w:rPr>
                <w:rFonts w:hint="default" w:ascii="Times New Roman" w:hAnsi="Times New Roman" w:eastAsia="宋体" w:cs="Times New Roman"/>
                <w:i w:val="0"/>
                <w:iCs w:val="0"/>
                <w:color w:val="auto"/>
                <w:sz w:val="24"/>
                <w:szCs w:val="24"/>
                <w:highlight w:val="none"/>
                <w:u w:val="none"/>
                <w:lang w:val="en-US" w:eastAsia="zh-CN"/>
              </w:rPr>
              <w:t>，代码900-</w:t>
            </w:r>
            <w:r>
              <w:rPr>
                <w:rFonts w:hint="eastAsia" w:ascii="Times New Roman" w:hAnsi="Times New Roman" w:eastAsia="宋体" w:cs="Times New Roman"/>
                <w:i w:val="0"/>
                <w:iCs w:val="0"/>
                <w:color w:val="auto"/>
                <w:sz w:val="24"/>
                <w:szCs w:val="24"/>
                <w:highlight w:val="none"/>
                <w:u w:val="none"/>
                <w:lang w:val="en-US" w:eastAsia="zh-CN"/>
              </w:rPr>
              <w:t>039</w:t>
            </w:r>
            <w:r>
              <w:rPr>
                <w:rFonts w:hint="default" w:ascii="Times New Roman" w:hAnsi="Times New Roman" w:eastAsia="宋体" w:cs="Times New Roman"/>
                <w:i w:val="0"/>
                <w:iCs w:val="0"/>
                <w:color w:val="auto"/>
                <w:sz w:val="24"/>
                <w:szCs w:val="24"/>
                <w:highlight w:val="none"/>
                <w:u w:val="none"/>
                <w:lang w:val="en-US" w:eastAsia="zh-CN"/>
              </w:rPr>
              <w:t>-</w:t>
            </w:r>
            <w:r>
              <w:rPr>
                <w:rFonts w:hint="eastAsia" w:ascii="Times New Roman" w:hAnsi="Times New Roman" w:eastAsia="宋体" w:cs="Times New Roman"/>
                <w:i w:val="0"/>
                <w:iCs w:val="0"/>
                <w:color w:val="auto"/>
                <w:sz w:val="24"/>
                <w:szCs w:val="24"/>
                <w:highlight w:val="none"/>
                <w:u w:val="none"/>
                <w:lang w:val="en-US" w:eastAsia="zh-CN"/>
              </w:rPr>
              <w:t>49</w:t>
            </w:r>
            <w:r>
              <w:rPr>
                <w:rFonts w:hint="default" w:ascii="Times New Roman" w:hAnsi="Times New Roman" w:eastAsia="宋体" w:cs="Times New Roman"/>
                <w:i w:val="0"/>
                <w:iCs w:val="0"/>
                <w:color w:val="auto"/>
                <w:sz w:val="24"/>
                <w:szCs w:val="24"/>
                <w:highlight w:val="none"/>
                <w:u w:val="none"/>
                <w:lang w:val="en-US" w:eastAsia="zh-CN"/>
              </w:rPr>
              <w:t>）</w:t>
            </w:r>
            <w:r>
              <w:rPr>
                <w:rFonts w:hint="eastAsia"/>
                <w:i w:val="0"/>
                <w:iCs w:val="0"/>
                <w:color w:val="auto"/>
                <w:highlight w:val="none"/>
                <w:u w:val="none"/>
                <w:shd w:val="clear" w:color="auto" w:fill="auto"/>
                <w:lang w:val="en-US" w:eastAsia="zh-CN"/>
              </w:rPr>
              <w:t>产生量约为3.0t/a。</w:t>
            </w:r>
          </w:p>
          <w:p>
            <w:pPr>
              <w:pStyle w:val="78"/>
              <w:keepNext w:val="0"/>
              <w:keepLines w:val="0"/>
              <w:pageBreakBefore w:val="0"/>
              <w:widowControl w:val="0"/>
              <w:numPr>
                <w:ilvl w:val="0"/>
                <w:numId w:val="0"/>
              </w:numPr>
              <w:kinsoku/>
              <w:wordWrap/>
              <w:overflowPunct/>
              <w:topLinePunct w:val="0"/>
              <w:autoSpaceDE/>
              <w:autoSpaceDN/>
              <w:bidi w:val="0"/>
              <w:adjustRightInd w:val="0"/>
              <w:snapToGrid w:val="0"/>
              <w:ind w:leftChars="0" w:firstLine="480" w:firstLineChars="200"/>
              <w:textAlignment w:val="auto"/>
              <w:rPr>
                <w:color w:val="auto"/>
                <w:sz w:val="24"/>
                <w:highlight w:val="none"/>
              </w:rPr>
            </w:pPr>
            <w:r>
              <w:rPr>
                <w:rFonts w:hint="eastAsia" w:cs="Times New Roman"/>
                <w:color w:val="auto"/>
                <w:sz w:val="24"/>
                <w:highlight w:val="none"/>
                <w:lang w:val="en-US" w:eastAsia="zh-CN"/>
              </w:rPr>
              <w:t>沾染原料的废包装品</w:t>
            </w:r>
            <w:r>
              <w:rPr>
                <w:rFonts w:hint="eastAsia" w:ascii="Times New Roman" w:hAnsi="Times New Roman" w:eastAsia="宋体" w:cs="Times New Roman"/>
                <w:color w:val="auto"/>
                <w:sz w:val="24"/>
                <w:highlight w:val="none"/>
                <w:lang w:val="en-US" w:eastAsia="zh-CN"/>
              </w:rPr>
              <w:t>S10</w:t>
            </w:r>
            <w:r>
              <w:rPr>
                <w:rFonts w:hint="eastAsia" w:ascii="Times New Roman" w:hAnsi="Times New Roman" w:eastAsia="宋体" w:cs="Times New Roman"/>
                <w:i w:val="0"/>
                <w:iCs w:val="0"/>
                <w:color w:val="auto"/>
                <w:highlight w:val="none"/>
                <w:u w:val="none"/>
                <w:shd w:val="clear" w:color="auto" w:fill="auto"/>
                <w:lang w:val="en-US" w:eastAsia="zh-CN"/>
              </w:rPr>
              <w:t>：</w:t>
            </w:r>
            <w:r>
              <w:rPr>
                <w:rFonts w:hint="eastAsia" w:ascii="Times New Roman" w:hAnsi="Times New Roman" w:eastAsia="宋体" w:cs="Times New Roman"/>
                <w:color w:val="auto"/>
                <w:sz w:val="24"/>
                <w:highlight w:val="none"/>
                <w:lang w:val="en-US" w:eastAsia="zh-CN"/>
              </w:rPr>
              <w:t>包括与</w:t>
            </w:r>
            <w:r>
              <w:rPr>
                <w:rFonts w:hint="default" w:ascii="Times New Roman" w:hAnsi="Times New Roman" w:eastAsia="宋体" w:cs="Times New Roman"/>
                <w:color w:val="auto"/>
                <w:sz w:val="24"/>
                <w:highlight w:val="none"/>
                <w:lang w:val="en-US" w:eastAsia="zh-CN"/>
              </w:rPr>
              <w:t>清洗剂等</w:t>
            </w:r>
            <w:r>
              <w:rPr>
                <w:rFonts w:hint="eastAsia" w:ascii="Times New Roman" w:hAnsi="Times New Roman" w:eastAsia="宋体" w:cs="Times New Roman"/>
                <w:color w:val="auto"/>
                <w:sz w:val="24"/>
                <w:highlight w:val="none"/>
                <w:lang w:val="en-US" w:eastAsia="zh-CN"/>
              </w:rPr>
              <w:t>有机溶剂直接接触的包装瓶及包装桶，</w:t>
            </w:r>
            <w:r>
              <w:rPr>
                <w:rFonts w:hint="eastAsia" w:cs="Times New Roman"/>
                <w:color w:val="auto"/>
                <w:sz w:val="24"/>
                <w:highlight w:val="none"/>
                <w:lang w:val="en-US" w:eastAsia="zh-CN"/>
              </w:rPr>
              <w:t>沾染原料的废包装品</w:t>
            </w:r>
            <w:r>
              <w:rPr>
                <w:rFonts w:hint="default" w:ascii="Times New Roman" w:hAnsi="Times New Roman" w:eastAsia="宋体" w:cs="Times New Roman"/>
                <w:i w:val="0"/>
                <w:iCs w:val="0"/>
                <w:color w:val="auto"/>
                <w:sz w:val="24"/>
                <w:szCs w:val="24"/>
                <w:highlight w:val="none"/>
                <w:u w:val="none"/>
                <w:lang w:val="en-US" w:eastAsia="zh-CN"/>
              </w:rPr>
              <w:t>（</w:t>
            </w:r>
            <w:r>
              <w:rPr>
                <w:rFonts w:hint="eastAsia" w:ascii="Times New Roman" w:hAnsi="Times New Roman" w:eastAsia="宋体" w:cs="Times New Roman"/>
                <w:i w:val="0"/>
                <w:iCs w:val="0"/>
                <w:color w:val="auto"/>
                <w:sz w:val="24"/>
                <w:szCs w:val="24"/>
                <w:highlight w:val="none"/>
                <w:u w:val="none"/>
                <w:lang w:val="en-US" w:eastAsia="zh-CN"/>
              </w:rPr>
              <w:t>HW49</w:t>
            </w:r>
            <w:r>
              <w:rPr>
                <w:rFonts w:hint="default" w:ascii="Times New Roman" w:hAnsi="Times New Roman" w:eastAsia="宋体" w:cs="Times New Roman"/>
                <w:i w:val="0"/>
                <w:iCs w:val="0"/>
                <w:color w:val="auto"/>
                <w:sz w:val="24"/>
                <w:szCs w:val="24"/>
                <w:highlight w:val="none"/>
                <w:u w:val="none"/>
                <w:lang w:val="en-US" w:eastAsia="zh-CN"/>
              </w:rPr>
              <w:t>，代码900-</w:t>
            </w:r>
            <w:r>
              <w:rPr>
                <w:rFonts w:hint="eastAsia" w:ascii="Times New Roman" w:hAnsi="Times New Roman" w:eastAsia="宋体" w:cs="Times New Roman"/>
                <w:i w:val="0"/>
                <w:iCs w:val="0"/>
                <w:color w:val="auto"/>
                <w:sz w:val="24"/>
                <w:szCs w:val="24"/>
                <w:highlight w:val="none"/>
                <w:u w:val="none"/>
                <w:lang w:val="en-US" w:eastAsia="zh-CN"/>
              </w:rPr>
              <w:t>0</w:t>
            </w:r>
            <w:r>
              <w:rPr>
                <w:rFonts w:hint="eastAsia" w:ascii="Times New Roman" w:hAnsi="Times New Roman" w:cs="Times New Roman"/>
                <w:i w:val="0"/>
                <w:iCs w:val="0"/>
                <w:color w:val="auto"/>
                <w:sz w:val="24"/>
                <w:szCs w:val="24"/>
                <w:highlight w:val="none"/>
                <w:u w:val="none"/>
                <w:lang w:val="en-US" w:eastAsia="zh-CN"/>
              </w:rPr>
              <w:t>41</w:t>
            </w:r>
            <w:r>
              <w:rPr>
                <w:rFonts w:hint="default" w:ascii="Times New Roman" w:hAnsi="Times New Roman" w:eastAsia="宋体" w:cs="Times New Roman"/>
                <w:i w:val="0"/>
                <w:iCs w:val="0"/>
                <w:color w:val="auto"/>
                <w:sz w:val="24"/>
                <w:szCs w:val="24"/>
                <w:highlight w:val="none"/>
                <w:u w:val="none"/>
                <w:lang w:val="en-US" w:eastAsia="zh-CN"/>
              </w:rPr>
              <w:t>-</w:t>
            </w:r>
            <w:r>
              <w:rPr>
                <w:rFonts w:hint="eastAsia" w:ascii="Times New Roman" w:hAnsi="Times New Roman" w:eastAsia="宋体" w:cs="Times New Roman"/>
                <w:i w:val="0"/>
                <w:iCs w:val="0"/>
                <w:color w:val="auto"/>
                <w:sz w:val="24"/>
                <w:szCs w:val="24"/>
                <w:highlight w:val="none"/>
                <w:u w:val="none"/>
                <w:lang w:val="en-US" w:eastAsia="zh-CN"/>
              </w:rPr>
              <w:t>49</w:t>
            </w:r>
            <w:r>
              <w:rPr>
                <w:rFonts w:hint="default" w:ascii="Times New Roman" w:hAnsi="Times New Roman" w:eastAsia="宋体" w:cs="Times New Roman"/>
                <w:i w:val="0"/>
                <w:iCs w:val="0"/>
                <w:color w:val="auto"/>
                <w:sz w:val="24"/>
                <w:szCs w:val="24"/>
                <w:highlight w:val="none"/>
                <w:u w:val="none"/>
                <w:lang w:val="en-US" w:eastAsia="zh-CN"/>
              </w:rPr>
              <w:t>）</w:t>
            </w:r>
            <w:r>
              <w:rPr>
                <w:rFonts w:hint="eastAsia" w:ascii="Times New Roman" w:hAnsi="Times New Roman" w:eastAsia="宋体" w:cs="Times New Roman"/>
                <w:color w:val="auto"/>
                <w:sz w:val="24"/>
                <w:highlight w:val="none"/>
                <w:lang w:val="en-US" w:eastAsia="zh-CN"/>
              </w:rPr>
              <w:t>产生量为0.15t/a。以上废物均暂存于封闭容器中，分类暂存于危险废物暂存间内，定期由资质单位清运处置。</w:t>
            </w:r>
          </w:p>
          <w:p>
            <w:pPr>
              <w:jc w:val="center"/>
              <w:rPr>
                <w:b/>
                <w:bCs/>
                <w:color w:val="auto"/>
                <w:sz w:val="24"/>
                <w:highlight w:val="none"/>
              </w:rPr>
            </w:pPr>
            <w:r>
              <w:rPr>
                <w:b/>
                <w:bCs/>
                <w:color w:val="auto"/>
                <w:sz w:val="24"/>
                <w:highlight w:val="none"/>
              </w:rPr>
              <w:t>表</w:t>
            </w:r>
            <w:r>
              <w:rPr>
                <w:rFonts w:hint="eastAsia"/>
                <w:b/>
                <w:bCs/>
                <w:color w:val="auto"/>
                <w:sz w:val="24"/>
                <w:highlight w:val="none"/>
              </w:rPr>
              <w:t>4</w:t>
            </w:r>
            <w:r>
              <w:rPr>
                <w:rFonts w:hint="eastAsia"/>
                <w:b/>
                <w:bCs/>
                <w:color w:val="auto"/>
                <w:sz w:val="24"/>
                <w:highlight w:val="none"/>
                <w:lang w:val="en-US" w:eastAsia="zh-CN"/>
              </w:rPr>
              <w:t>-11</w:t>
            </w:r>
            <w:r>
              <w:rPr>
                <w:b/>
                <w:bCs/>
                <w:color w:val="auto"/>
                <w:sz w:val="24"/>
                <w:highlight w:val="none"/>
              </w:rPr>
              <w:t xml:space="preserve"> 本项目一般固体废物情况一览表    单位：t/a</w:t>
            </w:r>
          </w:p>
          <w:tbl>
            <w:tblPr>
              <w:tblStyle w:val="30"/>
              <w:tblW w:w="849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310"/>
              <w:gridCol w:w="827"/>
              <w:gridCol w:w="1143"/>
              <w:gridCol w:w="1341"/>
              <w:gridCol w:w="769"/>
              <w:gridCol w:w="1171"/>
              <w:gridCol w:w="14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07" w:type="pct"/>
                  <w:tcBorders>
                    <w:tl2br w:val="nil"/>
                    <w:tr2bl w:val="nil"/>
                  </w:tcBorders>
                  <w:noWrap w:val="0"/>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序号</w:t>
                  </w:r>
                </w:p>
              </w:tc>
              <w:tc>
                <w:tcPr>
                  <w:tcW w:w="770" w:type="pct"/>
                  <w:tcBorders>
                    <w:tl2br w:val="nil"/>
                    <w:tr2bl w:val="nil"/>
                  </w:tcBorders>
                  <w:noWrap w:val="0"/>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名称</w:t>
                  </w:r>
                </w:p>
              </w:tc>
              <w:tc>
                <w:tcPr>
                  <w:tcW w:w="486" w:type="pct"/>
                  <w:tcBorders>
                    <w:tl2br w:val="nil"/>
                    <w:tr2bl w:val="nil"/>
                  </w:tcBorders>
                  <w:noWrap w:val="0"/>
                  <w:vAlign w:val="center"/>
                </w:tcPr>
                <w:p>
                  <w:pPr>
                    <w:jc w:val="center"/>
                    <w:rPr>
                      <w:rFonts w:hint="eastAsia"/>
                      <w:color w:val="auto"/>
                      <w:kern w:val="2"/>
                      <w:sz w:val="21"/>
                      <w:szCs w:val="21"/>
                      <w:highlight w:val="none"/>
                      <w:lang w:val="en-US" w:eastAsia="zh-CN" w:bidi="ar-SA"/>
                    </w:rPr>
                  </w:pPr>
                  <w:r>
                    <w:rPr>
                      <w:color w:val="auto"/>
                      <w:szCs w:val="21"/>
                      <w:highlight w:val="none"/>
                    </w:rPr>
                    <w:t>产生量</w:t>
                  </w:r>
                  <w:r>
                    <w:rPr>
                      <w:rFonts w:hint="eastAsia"/>
                      <w:color w:val="auto"/>
                      <w:highlight w:val="none"/>
                      <w:lang w:val="en-US" w:eastAsia="zh-CN"/>
                    </w:rPr>
                    <w:t>（t/a）</w:t>
                  </w:r>
                </w:p>
              </w:tc>
              <w:tc>
                <w:tcPr>
                  <w:tcW w:w="672" w:type="pct"/>
                  <w:tcBorders>
                    <w:tl2br w:val="nil"/>
                    <w:tr2bl w:val="nil"/>
                  </w:tcBorders>
                  <w:noWrap w:val="0"/>
                  <w:vAlign w:val="center"/>
                </w:tcPr>
                <w:p>
                  <w:pPr>
                    <w:jc w:val="center"/>
                    <w:rPr>
                      <w:rFonts w:hint="eastAsia" w:eastAsia="宋体"/>
                      <w:color w:val="auto"/>
                      <w:szCs w:val="21"/>
                      <w:highlight w:val="none"/>
                      <w:lang w:eastAsia="zh-CN"/>
                    </w:rPr>
                  </w:pPr>
                  <w:r>
                    <w:rPr>
                      <w:rFonts w:hint="eastAsia"/>
                      <w:color w:val="auto"/>
                      <w:highlight w:val="none"/>
                      <w:lang w:val="en-US" w:eastAsia="zh-CN"/>
                    </w:rPr>
                    <w:t>主体成分</w:t>
                  </w:r>
                </w:p>
              </w:tc>
              <w:tc>
                <w:tcPr>
                  <w:tcW w:w="789" w:type="pct"/>
                  <w:tcBorders>
                    <w:tl2br w:val="nil"/>
                    <w:tr2bl w:val="nil"/>
                  </w:tcBorders>
                  <w:noWrap w:val="0"/>
                  <w:vAlign w:val="center"/>
                </w:tcPr>
                <w:p>
                  <w:pPr>
                    <w:jc w:val="center"/>
                    <w:rPr>
                      <w:rFonts w:hint="default" w:eastAsia="宋体"/>
                      <w:color w:val="auto"/>
                      <w:szCs w:val="21"/>
                      <w:highlight w:val="none"/>
                      <w:lang w:val="en-US" w:eastAsia="zh-CN"/>
                    </w:rPr>
                  </w:pPr>
                  <w:r>
                    <w:rPr>
                      <w:rFonts w:hint="eastAsia"/>
                      <w:color w:val="auto"/>
                      <w:highlight w:val="none"/>
                      <w:lang w:val="en-US" w:eastAsia="zh-CN"/>
                    </w:rPr>
                    <w:t>固体废物属性</w:t>
                  </w:r>
                </w:p>
              </w:tc>
              <w:tc>
                <w:tcPr>
                  <w:tcW w:w="452" w:type="pct"/>
                  <w:tcBorders>
                    <w:tl2br w:val="nil"/>
                    <w:tr2bl w:val="nil"/>
                  </w:tcBorders>
                  <w:noWrap w:val="0"/>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物理性状</w:t>
                  </w:r>
                </w:p>
              </w:tc>
              <w:tc>
                <w:tcPr>
                  <w:tcW w:w="689" w:type="pct"/>
                  <w:tcBorders>
                    <w:tl2br w:val="nil"/>
                    <w:tr2bl w:val="nil"/>
                  </w:tcBorders>
                  <w:noWrap w:val="0"/>
                  <w:vAlign w:val="center"/>
                </w:tcPr>
                <w:p>
                  <w:pPr>
                    <w:jc w:val="center"/>
                    <w:rPr>
                      <w:rFonts w:hint="default"/>
                      <w:color w:val="auto"/>
                      <w:szCs w:val="21"/>
                      <w:highlight w:val="none"/>
                      <w:lang w:val="en-US" w:eastAsia="zh-CN"/>
                    </w:rPr>
                  </w:pPr>
                  <w:r>
                    <w:rPr>
                      <w:rFonts w:hint="eastAsia"/>
                      <w:color w:val="auto"/>
                      <w:szCs w:val="21"/>
                      <w:highlight w:val="none"/>
                      <w:lang w:val="en-US" w:eastAsia="zh-CN"/>
                    </w:rPr>
                    <w:t>贮存方式及贮存地点</w:t>
                  </w:r>
                </w:p>
              </w:tc>
              <w:tc>
                <w:tcPr>
                  <w:tcW w:w="831" w:type="pct"/>
                  <w:tcBorders>
                    <w:tl2br w:val="nil"/>
                    <w:tr2bl w:val="nil"/>
                  </w:tcBorders>
                  <w:noWrap w:val="0"/>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处置方式和去向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307" w:type="pct"/>
                  <w:tcBorders>
                    <w:tl2br w:val="nil"/>
                    <w:tr2bl w:val="nil"/>
                  </w:tcBorders>
                  <w:noWrap w:val="0"/>
                  <w:vAlign w:val="center"/>
                </w:tcPr>
                <w:p>
                  <w:pPr>
                    <w:jc w:val="center"/>
                    <w:rPr>
                      <w:color w:val="auto"/>
                      <w:szCs w:val="21"/>
                      <w:highlight w:val="none"/>
                    </w:rPr>
                  </w:pPr>
                  <w:r>
                    <w:rPr>
                      <w:rFonts w:hint="eastAsia"/>
                      <w:color w:val="auto"/>
                      <w:szCs w:val="21"/>
                      <w:highlight w:val="none"/>
                      <w:lang w:val="en-US" w:eastAsia="zh-CN"/>
                    </w:rPr>
                    <w:t>S</w:t>
                  </w:r>
                  <w:r>
                    <w:rPr>
                      <w:color w:val="auto"/>
                      <w:szCs w:val="21"/>
                      <w:highlight w:val="none"/>
                    </w:rPr>
                    <w:t>1</w:t>
                  </w:r>
                </w:p>
              </w:tc>
              <w:tc>
                <w:tcPr>
                  <w:tcW w:w="770" w:type="pct"/>
                  <w:tcBorders>
                    <w:tl2br w:val="nil"/>
                    <w:tr2bl w:val="nil"/>
                  </w:tcBorders>
                  <w:noWrap w:val="0"/>
                  <w:vAlign w:val="center"/>
                </w:tcPr>
                <w:p>
                  <w:pPr>
                    <w:bidi w:val="0"/>
                    <w:jc w:val="center"/>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shd w:val="clear" w:color="auto" w:fill="auto"/>
                      <w:lang w:val="en-US" w:eastAsia="zh-CN"/>
                    </w:rPr>
                    <w:t>不合格产品</w:t>
                  </w:r>
                </w:p>
              </w:tc>
              <w:tc>
                <w:tcPr>
                  <w:tcW w:w="486" w:type="pct"/>
                  <w:tcBorders>
                    <w:tl2br w:val="nil"/>
                    <w:tr2bl w:val="nil"/>
                  </w:tcBorders>
                  <w:noWrap w:val="0"/>
                  <w:vAlign w:val="center"/>
                </w:tcPr>
                <w:p>
                  <w:pPr>
                    <w:jc w:val="center"/>
                    <w:rPr>
                      <w:rFonts w:hint="default" w:eastAsia="宋体"/>
                      <w:color w:val="auto"/>
                      <w:kern w:val="2"/>
                      <w:sz w:val="21"/>
                      <w:szCs w:val="21"/>
                      <w:highlight w:val="none"/>
                      <w:lang w:val="en-US" w:eastAsia="zh-CN" w:bidi="ar-SA"/>
                    </w:rPr>
                  </w:pPr>
                  <w:r>
                    <w:rPr>
                      <w:rFonts w:hint="eastAsia"/>
                      <w:color w:val="auto"/>
                      <w:szCs w:val="21"/>
                      <w:highlight w:val="none"/>
                      <w:lang w:val="en-US" w:eastAsia="zh-CN"/>
                    </w:rPr>
                    <w:t>5.0</w:t>
                  </w:r>
                </w:p>
              </w:tc>
              <w:tc>
                <w:tcPr>
                  <w:tcW w:w="672" w:type="pct"/>
                  <w:tcBorders>
                    <w:tl2br w:val="nil"/>
                    <w:tr2bl w:val="nil"/>
                  </w:tcBorders>
                  <w:noWrap w:val="0"/>
                  <w:vAlign w:val="center"/>
                </w:tcPr>
                <w:p>
                  <w:pPr>
                    <w:jc w:val="center"/>
                    <w:rPr>
                      <w:rFonts w:hint="eastAsia"/>
                      <w:color w:val="auto"/>
                      <w:kern w:val="2"/>
                      <w:sz w:val="21"/>
                      <w:szCs w:val="24"/>
                      <w:highlight w:val="none"/>
                      <w:lang w:val="en-US" w:eastAsia="zh-CN" w:bidi="ar-SA"/>
                    </w:rPr>
                  </w:pPr>
                  <w:r>
                    <w:rPr>
                      <w:rFonts w:hint="eastAsia"/>
                      <w:color w:val="auto"/>
                      <w:highlight w:val="none"/>
                      <w:lang w:val="en-US" w:eastAsia="zh-CN"/>
                    </w:rPr>
                    <w:t>聚乙烯</w:t>
                  </w:r>
                </w:p>
              </w:tc>
              <w:tc>
                <w:tcPr>
                  <w:tcW w:w="789" w:type="pct"/>
                  <w:tcBorders>
                    <w:tl2br w:val="nil"/>
                    <w:tr2bl w:val="nil"/>
                  </w:tcBorders>
                  <w:noWrap w:val="0"/>
                  <w:vAlign w:val="center"/>
                </w:tcPr>
                <w:p>
                  <w:pPr>
                    <w:pStyle w:val="78"/>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i w:val="0"/>
                      <w:iCs w:val="0"/>
                      <w:color w:val="auto"/>
                      <w:sz w:val="21"/>
                      <w:szCs w:val="21"/>
                      <w:highlight w:val="none"/>
                      <w:u w:val="none"/>
                      <w:vertAlign w:val="baseline"/>
                      <w:lang w:val="en-US" w:eastAsia="zh-CN"/>
                    </w:rPr>
                    <w:t>一般固废</w:t>
                  </w:r>
                </w:p>
              </w:tc>
              <w:tc>
                <w:tcPr>
                  <w:tcW w:w="452" w:type="pct"/>
                  <w:tcBorders>
                    <w:tl2br w:val="nil"/>
                    <w:tr2bl w:val="nil"/>
                  </w:tcBorders>
                  <w:noWrap w:val="0"/>
                  <w:vAlign w:val="center"/>
                </w:tcPr>
                <w:p>
                  <w:pPr>
                    <w:spacing w:line="240" w:lineRule="atLeast"/>
                    <w:ind w:left="-105" w:leftChars="-50" w:right="-105" w:rightChars="-50"/>
                    <w:jc w:val="center"/>
                    <w:rPr>
                      <w:rFonts w:hint="eastAsia" w:ascii="Times New Roman" w:hAnsi="Times New Roman" w:eastAsia="宋体" w:cs="Times New Roman"/>
                      <w:b w:val="0"/>
                      <w:bCs/>
                      <w:i w:val="0"/>
                      <w:iCs w:val="0"/>
                      <w:color w:val="auto"/>
                      <w:kern w:val="2"/>
                      <w:sz w:val="21"/>
                      <w:szCs w:val="21"/>
                      <w:highlight w:val="none"/>
                      <w:u w:val="none"/>
                      <w:vertAlign w:val="baseline"/>
                      <w:lang w:val="en-US" w:eastAsia="zh-CN" w:bidi="ar-SA"/>
                    </w:rPr>
                  </w:pPr>
                  <w:r>
                    <w:rPr>
                      <w:rFonts w:hint="eastAsia" w:ascii="Times New Roman" w:hAnsi="Times New Roman" w:eastAsia="宋体" w:cs="Times New Roman"/>
                      <w:b w:val="0"/>
                      <w:bCs/>
                      <w:i w:val="0"/>
                      <w:iCs w:val="0"/>
                      <w:color w:val="auto"/>
                      <w:sz w:val="21"/>
                      <w:szCs w:val="21"/>
                      <w:highlight w:val="none"/>
                      <w:u w:val="none"/>
                      <w:vertAlign w:val="baseline"/>
                      <w:lang w:val="en-US" w:eastAsia="zh-CN"/>
                    </w:rPr>
                    <w:t>固态</w:t>
                  </w:r>
                </w:p>
              </w:tc>
              <w:tc>
                <w:tcPr>
                  <w:tcW w:w="689" w:type="pct"/>
                  <w:tcBorders>
                    <w:tl2br w:val="nil"/>
                    <w:tr2bl w:val="nil"/>
                  </w:tcBorders>
                  <w:noWrap w:val="0"/>
                  <w:vAlign w:val="center"/>
                </w:tcPr>
                <w:p>
                  <w:pPr>
                    <w:jc w:val="center"/>
                    <w:rPr>
                      <w:rFonts w:hint="default" w:eastAsia="宋体"/>
                      <w:color w:val="auto"/>
                      <w:highlight w:val="none"/>
                      <w:lang w:val="en-US" w:eastAsia="zh-CN"/>
                    </w:rPr>
                  </w:pPr>
                  <w:r>
                    <w:rPr>
                      <w:rFonts w:hint="eastAsia"/>
                      <w:color w:val="auto"/>
                      <w:highlight w:val="none"/>
                      <w:lang w:val="en-US" w:eastAsia="zh-CN"/>
                    </w:rPr>
                    <w:t>/</w:t>
                  </w:r>
                </w:p>
              </w:tc>
              <w:tc>
                <w:tcPr>
                  <w:tcW w:w="831" w:type="pct"/>
                  <w:tcBorders>
                    <w:tl2br w:val="nil"/>
                    <w:tr2bl w:val="nil"/>
                  </w:tcBorders>
                  <w:noWrap w:val="0"/>
                  <w:vAlign w:val="center"/>
                </w:tcPr>
                <w:p>
                  <w:pPr>
                    <w:jc w:val="center"/>
                    <w:rPr>
                      <w:color w:val="auto"/>
                      <w:szCs w:val="21"/>
                      <w:highlight w:val="none"/>
                    </w:rPr>
                  </w:pPr>
                  <w:r>
                    <w:rPr>
                      <w:rFonts w:hint="eastAsia" w:ascii="Times New Roman" w:hAnsi="Times New Roman" w:cs="Times New Roman"/>
                      <w:i w:val="0"/>
                      <w:iCs w:val="0"/>
                      <w:color w:val="auto"/>
                      <w:sz w:val="21"/>
                      <w:szCs w:val="21"/>
                      <w:highlight w:val="none"/>
                      <w:vertAlign w:val="baseline"/>
                      <w:lang w:val="en-US" w:eastAsia="zh-CN"/>
                    </w:rPr>
                    <w:t>回用于注塑工艺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7" w:type="pct"/>
                  <w:tcBorders>
                    <w:tl2br w:val="nil"/>
                    <w:tr2bl w:val="nil"/>
                  </w:tcBorders>
                  <w:noWrap w:val="0"/>
                  <w:vAlign w:val="center"/>
                </w:tcPr>
                <w:p>
                  <w:pPr>
                    <w:jc w:val="center"/>
                    <w:rPr>
                      <w:rFonts w:hint="default"/>
                      <w:color w:val="auto"/>
                      <w:szCs w:val="21"/>
                      <w:highlight w:val="none"/>
                      <w:lang w:val="en-US" w:eastAsia="zh-CN"/>
                    </w:rPr>
                  </w:pPr>
                  <w:r>
                    <w:rPr>
                      <w:rFonts w:hint="eastAsia"/>
                      <w:color w:val="auto"/>
                      <w:szCs w:val="21"/>
                      <w:highlight w:val="none"/>
                      <w:lang w:val="en-US" w:eastAsia="zh-CN"/>
                    </w:rPr>
                    <w:t>S2</w:t>
                  </w:r>
                </w:p>
              </w:tc>
              <w:tc>
                <w:tcPr>
                  <w:tcW w:w="770" w:type="pct"/>
                  <w:tcBorders>
                    <w:tl2br w:val="nil"/>
                    <w:tr2bl w:val="nil"/>
                  </w:tcBorders>
                  <w:noWrap w:val="0"/>
                  <w:vAlign w:val="center"/>
                </w:tcPr>
                <w:p>
                  <w:pPr>
                    <w:bidi w:val="0"/>
                    <w:jc w:val="center"/>
                    <w:rPr>
                      <w:rFonts w:hint="default"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生活垃圾</w:t>
                  </w:r>
                </w:p>
              </w:tc>
              <w:tc>
                <w:tcPr>
                  <w:tcW w:w="486" w:type="pct"/>
                  <w:tcBorders>
                    <w:tl2br w:val="nil"/>
                    <w:tr2bl w:val="nil"/>
                  </w:tcBorders>
                  <w:noWrap w:val="0"/>
                  <w:vAlign w:val="center"/>
                </w:tcPr>
                <w:p>
                  <w:pPr>
                    <w:jc w:val="center"/>
                    <w:rPr>
                      <w:rFonts w:hint="default" w:eastAsia="宋体"/>
                      <w:color w:val="auto"/>
                      <w:kern w:val="2"/>
                      <w:sz w:val="21"/>
                      <w:szCs w:val="21"/>
                      <w:highlight w:val="none"/>
                      <w:lang w:val="en-US" w:eastAsia="zh-CN" w:bidi="ar-SA"/>
                    </w:rPr>
                  </w:pPr>
                  <w:r>
                    <w:rPr>
                      <w:rFonts w:hint="eastAsia"/>
                      <w:color w:val="auto"/>
                      <w:szCs w:val="21"/>
                      <w:highlight w:val="none"/>
                      <w:lang w:val="en-US" w:eastAsia="zh-CN"/>
                    </w:rPr>
                    <w:t>3.15</w:t>
                  </w:r>
                </w:p>
              </w:tc>
              <w:tc>
                <w:tcPr>
                  <w:tcW w:w="672" w:type="pct"/>
                  <w:tcBorders>
                    <w:tl2br w:val="nil"/>
                    <w:tr2bl w:val="nil"/>
                  </w:tcBorders>
                  <w:noWrap w:val="0"/>
                  <w:vAlign w:val="center"/>
                </w:tcPr>
                <w:p>
                  <w:pPr>
                    <w:jc w:val="center"/>
                    <w:rPr>
                      <w:rFonts w:hint="eastAsia"/>
                      <w:color w:val="auto"/>
                      <w:kern w:val="2"/>
                      <w:sz w:val="21"/>
                      <w:szCs w:val="24"/>
                      <w:highlight w:val="none"/>
                      <w:lang w:val="en-US" w:eastAsia="zh-CN" w:bidi="ar-SA"/>
                    </w:rPr>
                  </w:pPr>
                  <w:r>
                    <w:rPr>
                      <w:rFonts w:hint="eastAsia" w:ascii="Times New Roman" w:hAnsi="Times New Roman" w:eastAsia="宋体" w:cs="Times New Roman"/>
                      <w:b w:val="0"/>
                      <w:bCs/>
                      <w:i w:val="0"/>
                      <w:iCs w:val="0"/>
                      <w:color w:val="auto"/>
                      <w:sz w:val="21"/>
                      <w:szCs w:val="21"/>
                      <w:highlight w:val="none"/>
                      <w:u w:val="none"/>
                      <w:vertAlign w:val="baseline"/>
                      <w:lang w:val="en-US" w:eastAsia="zh-CN"/>
                    </w:rPr>
                    <w:t>玻璃粉末</w:t>
                  </w:r>
                </w:p>
              </w:tc>
              <w:tc>
                <w:tcPr>
                  <w:tcW w:w="789" w:type="pct"/>
                  <w:tcBorders>
                    <w:tl2br w:val="nil"/>
                    <w:tr2bl w:val="nil"/>
                  </w:tcBorders>
                  <w:noWrap w:val="0"/>
                  <w:vAlign w:val="center"/>
                </w:tcPr>
                <w:p>
                  <w:pPr>
                    <w:bidi w:val="0"/>
                    <w:jc w:val="center"/>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生活垃圾</w:t>
                  </w:r>
                </w:p>
              </w:tc>
              <w:tc>
                <w:tcPr>
                  <w:tcW w:w="452" w:type="pct"/>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outlineLvl w:val="9"/>
                    <w:rPr>
                      <w:rFonts w:hint="eastAsia" w:ascii="Times New Roman" w:hAnsi="Times New Roman" w:eastAsia="宋体" w:cs="Times New Roman"/>
                      <w:b w:val="0"/>
                      <w:bCs/>
                      <w:i w:val="0"/>
                      <w:iCs w:val="0"/>
                      <w:color w:val="auto"/>
                      <w:kern w:val="2"/>
                      <w:sz w:val="21"/>
                      <w:szCs w:val="21"/>
                      <w:highlight w:val="none"/>
                      <w:u w:val="none"/>
                      <w:vertAlign w:val="baseline"/>
                      <w:lang w:val="en-US" w:eastAsia="zh-CN" w:bidi="ar-SA"/>
                    </w:rPr>
                  </w:pPr>
                  <w:r>
                    <w:rPr>
                      <w:rFonts w:hint="eastAsia"/>
                      <w:color w:val="auto"/>
                      <w:szCs w:val="21"/>
                      <w:highlight w:val="none"/>
                      <w:lang w:val="en-US" w:eastAsia="zh-CN"/>
                    </w:rPr>
                    <w:t>固态</w:t>
                  </w:r>
                </w:p>
              </w:tc>
              <w:tc>
                <w:tcPr>
                  <w:tcW w:w="689" w:type="pct"/>
                  <w:tcBorders>
                    <w:tl2br w:val="nil"/>
                    <w:tr2bl w:val="nil"/>
                  </w:tcBorders>
                  <w:noWrap w:val="0"/>
                  <w:vAlign w:val="center"/>
                </w:tcPr>
                <w:p>
                  <w:pPr>
                    <w:jc w:val="center"/>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生活垃圾桶</w:t>
                  </w:r>
                </w:p>
              </w:tc>
              <w:tc>
                <w:tcPr>
                  <w:tcW w:w="831" w:type="pct"/>
                  <w:tcBorders>
                    <w:tl2br w:val="nil"/>
                    <w:tr2bl w:val="nil"/>
                  </w:tcBorders>
                  <w:noWrap w:val="0"/>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rPr>
                    <w:t>集中收集，交由环卫部门处理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307" w:type="pct"/>
                  <w:tcBorders>
                    <w:tl2br w:val="nil"/>
                    <w:tr2bl w:val="nil"/>
                  </w:tcBorders>
                  <w:noWrap w:val="0"/>
                  <w:vAlign w:val="center"/>
                </w:tcPr>
                <w:p>
                  <w:pPr>
                    <w:jc w:val="center"/>
                    <w:rPr>
                      <w:color w:val="auto"/>
                      <w:szCs w:val="21"/>
                      <w:highlight w:val="none"/>
                    </w:rPr>
                  </w:pPr>
                  <w:r>
                    <w:rPr>
                      <w:rFonts w:hint="eastAsia"/>
                      <w:color w:val="auto"/>
                      <w:szCs w:val="21"/>
                      <w:highlight w:val="none"/>
                      <w:lang w:val="en-US" w:eastAsia="zh-CN"/>
                    </w:rPr>
                    <w:t>S</w:t>
                  </w:r>
                  <w:r>
                    <w:rPr>
                      <w:color w:val="auto"/>
                      <w:szCs w:val="21"/>
                      <w:highlight w:val="none"/>
                    </w:rPr>
                    <w:t>3</w:t>
                  </w:r>
                </w:p>
              </w:tc>
              <w:tc>
                <w:tcPr>
                  <w:tcW w:w="770" w:type="pct"/>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outlineLvl w:val="9"/>
                    <w:rPr>
                      <w:rFonts w:hint="eastAsia" w:ascii="Times New Roman" w:hAnsi="Times New Roman" w:eastAsia="宋体" w:cs="Times New Roman"/>
                      <w:b w:val="0"/>
                      <w:bCs/>
                      <w:i w:val="0"/>
                      <w:iCs w:val="0"/>
                      <w:color w:val="auto"/>
                      <w:kern w:val="2"/>
                      <w:sz w:val="21"/>
                      <w:szCs w:val="21"/>
                      <w:highlight w:val="none"/>
                      <w:u w:val="none"/>
                      <w:vertAlign w:val="baseline"/>
                      <w:lang w:val="en-US" w:eastAsia="zh-CN" w:bidi="ar-SA"/>
                    </w:rPr>
                  </w:pPr>
                  <w:r>
                    <w:rPr>
                      <w:rFonts w:hint="default"/>
                      <w:color w:val="auto"/>
                      <w:highlight w:val="none"/>
                      <w:lang w:val="en-US" w:eastAsia="zh-CN"/>
                    </w:rPr>
                    <w:t>袋式除尘器废弃布袋</w:t>
                  </w:r>
                  <w:r>
                    <w:rPr>
                      <w:rFonts w:hint="eastAsia"/>
                      <w:color w:val="auto"/>
                      <w:highlight w:val="none"/>
                      <w:lang w:val="en-US" w:eastAsia="zh-CN"/>
                    </w:rPr>
                    <w:t>、除尘器</w:t>
                  </w:r>
                  <w:r>
                    <w:rPr>
                      <w:rFonts w:hint="default"/>
                      <w:color w:val="auto"/>
                      <w:highlight w:val="none"/>
                      <w:lang w:val="en-US" w:eastAsia="zh-CN"/>
                    </w:rPr>
                    <w:t>集尘粉</w:t>
                  </w:r>
                </w:p>
              </w:tc>
              <w:tc>
                <w:tcPr>
                  <w:tcW w:w="486" w:type="pct"/>
                  <w:tcBorders>
                    <w:tl2br w:val="nil"/>
                    <w:tr2bl w:val="nil"/>
                  </w:tcBorders>
                  <w:noWrap w:val="0"/>
                  <w:vAlign w:val="center"/>
                </w:tcPr>
                <w:p>
                  <w:pPr>
                    <w:jc w:val="center"/>
                    <w:rPr>
                      <w:rFonts w:hint="default" w:eastAsia="宋体"/>
                      <w:color w:val="auto"/>
                      <w:kern w:val="2"/>
                      <w:sz w:val="21"/>
                      <w:szCs w:val="21"/>
                      <w:highlight w:val="none"/>
                      <w:lang w:val="en-US" w:eastAsia="zh-CN" w:bidi="ar-SA"/>
                    </w:rPr>
                  </w:pPr>
                  <w:r>
                    <w:rPr>
                      <w:rFonts w:hint="eastAsia"/>
                      <w:color w:val="auto"/>
                      <w:szCs w:val="21"/>
                      <w:highlight w:val="none"/>
                      <w:lang w:val="en-US" w:eastAsia="zh-CN"/>
                    </w:rPr>
                    <w:t>0.102</w:t>
                  </w:r>
                </w:p>
              </w:tc>
              <w:tc>
                <w:tcPr>
                  <w:tcW w:w="672" w:type="pct"/>
                  <w:tcBorders>
                    <w:tl2br w:val="nil"/>
                    <w:tr2bl w:val="nil"/>
                  </w:tcBorders>
                  <w:noWrap w:val="0"/>
                  <w:vAlign w:val="center"/>
                </w:tcPr>
                <w:p>
                  <w:pPr>
                    <w:jc w:val="center"/>
                    <w:rPr>
                      <w:rFonts w:hint="eastAsia" w:eastAsia="宋体"/>
                      <w:color w:val="auto"/>
                      <w:kern w:val="2"/>
                      <w:sz w:val="21"/>
                      <w:szCs w:val="24"/>
                      <w:highlight w:val="none"/>
                      <w:lang w:val="en-US" w:eastAsia="zh-CN" w:bidi="ar-SA"/>
                    </w:rPr>
                  </w:pPr>
                  <w:r>
                    <w:rPr>
                      <w:rFonts w:hint="eastAsia" w:ascii="Times New Roman" w:hAnsi="Times New Roman" w:eastAsia="宋体" w:cs="Times New Roman"/>
                      <w:b w:val="0"/>
                      <w:bCs/>
                      <w:i w:val="0"/>
                      <w:iCs w:val="0"/>
                      <w:color w:val="auto"/>
                      <w:sz w:val="21"/>
                      <w:szCs w:val="21"/>
                      <w:highlight w:val="none"/>
                      <w:u w:val="none"/>
                      <w:vertAlign w:val="baseline"/>
                      <w:lang w:val="en-US" w:eastAsia="zh-CN"/>
                    </w:rPr>
                    <w:t>金属屑</w:t>
                  </w:r>
                </w:p>
              </w:tc>
              <w:tc>
                <w:tcPr>
                  <w:tcW w:w="789" w:type="pct"/>
                  <w:tcBorders>
                    <w:tl2br w:val="nil"/>
                    <w:tr2bl w:val="nil"/>
                  </w:tcBorders>
                  <w:noWrap w:val="0"/>
                  <w:vAlign w:val="center"/>
                </w:tcPr>
                <w:p>
                  <w:pPr>
                    <w:jc w:val="center"/>
                    <w:rPr>
                      <w:rFonts w:hint="eastAsia" w:eastAsia="宋体"/>
                      <w:color w:val="auto"/>
                      <w:kern w:val="2"/>
                      <w:sz w:val="21"/>
                      <w:szCs w:val="21"/>
                      <w:highlight w:val="none"/>
                      <w:lang w:val="en-US" w:eastAsia="zh-CN" w:bidi="ar-SA"/>
                    </w:rPr>
                  </w:pPr>
                  <w:r>
                    <w:rPr>
                      <w:rFonts w:hint="default" w:ascii="Times New Roman" w:hAnsi="Times New Roman" w:cs="Times New Roman"/>
                      <w:i w:val="0"/>
                      <w:iCs w:val="0"/>
                      <w:color w:val="auto"/>
                      <w:sz w:val="21"/>
                      <w:szCs w:val="21"/>
                      <w:highlight w:val="none"/>
                      <w:u w:val="none"/>
                      <w:vertAlign w:val="baseline"/>
                      <w:lang w:val="en-US" w:eastAsia="zh-CN"/>
                    </w:rPr>
                    <w:t>一般固废</w:t>
                  </w:r>
                </w:p>
              </w:tc>
              <w:tc>
                <w:tcPr>
                  <w:tcW w:w="452" w:type="pct"/>
                  <w:tcBorders>
                    <w:tl2br w:val="nil"/>
                    <w:tr2bl w:val="nil"/>
                  </w:tcBorders>
                  <w:noWrap w:val="0"/>
                  <w:vAlign w:val="center"/>
                </w:tcPr>
                <w:p>
                  <w:pPr>
                    <w:keepNext w:val="0"/>
                    <w:keepLines w:val="0"/>
                    <w:pageBreakBefore w:val="0"/>
                    <w:kinsoku/>
                    <w:wordWrap/>
                    <w:overflowPunct/>
                    <w:topLinePunct w:val="0"/>
                    <w:bidi w:val="0"/>
                    <w:spacing w:line="240" w:lineRule="atLeast"/>
                    <w:ind w:left="-105" w:leftChars="-50" w:right="-105" w:rightChars="-50"/>
                    <w:jc w:val="center"/>
                    <w:textAlignment w:val="auto"/>
                    <w:outlineLvl w:val="9"/>
                    <w:rPr>
                      <w:rFonts w:hint="eastAsia"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lang w:val="en-US" w:eastAsia="zh-CN"/>
                    </w:rPr>
                    <w:t>固态</w:t>
                  </w:r>
                </w:p>
              </w:tc>
              <w:tc>
                <w:tcPr>
                  <w:tcW w:w="689" w:type="pct"/>
                  <w:tcBorders>
                    <w:tl2br w:val="nil"/>
                    <w:tr2bl w:val="nil"/>
                  </w:tcBorders>
                  <w:noWrap w:val="0"/>
                  <w:vAlign w:val="center"/>
                </w:tcPr>
                <w:p>
                  <w:pPr>
                    <w:jc w:val="center"/>
                    <w:rPr>
                      <w:rFonts w:hint="eastAsia" w:ascii="Times New Roman" w:hAnsi="Times New Roman" w:eastAsia="宋体" w:cs="Times New Roman"/>
                      <w:b w:val="0"/>
                      <w:bCs/>
                      <w:i w:val="0"/>
                      <w:iCs w:val="0"/>
                      <w:color w:val="auto"/>
                      <w:kern w:val="2"/>
                      <w:sz w:val="21"/>
                      <w:szCs w:val="21"/>
                      <w:highlight w:val="none"/>
                      <w:u w:val="none"/>
                      <w:vertAlign w:val="baseline"/>
                      <w:lang w:val="en-US" w:eastAsia="zh-CN" w:bidi="ar-SA"/>
                    </w:rPr>
                  </w:pPr>
                  <w:r>
                    <w:rPr>
                      <w:rFonts w:hint="eastAsia" w:ascii="Times New Roman" w:hAnsi="Times New Roman" w:eastAsia="宋体" w:cs="Times New Roman"/>
                      <w:b w:val="0"/>
                      <w:bCs/>
                      <w:i w:val="0"/>
                      <w:iCs w:val="0"/>
                      <w:color w:val="auto"/>
                      <w:sz w:val="21"/>
                      <w:szCs w:val="21"/>
                      <w:highlight w:val="none"/>
                      <w:u w:val="none"/>
                      <w:vertAlign w:val="baseline"/>
                      <w:lang w:val="en-US" w:eastAsia="zh-CN"/>
                    </w:rPr>
                    <w:t>袋装/生产车间</w:t>
                  </w:r>
                </w:p>
              </w:tc>
              <w:tc>
                <w:tcPr>
                  <w:tcW w:w="831" w:type="pct"/>
                  <w:tcBorders>
                    <w:tl2br w:val="nil"/>
                    <w:tr2bl w:val="nil"/>
                  </w:tcBorders>
                  <w:noWrap w:val="0"/>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rPr>
                    <w:t>集中收集，</w:t>
                  </w:r>
                  <w:r>
                    <w:rPr>
                      <w:rFonts w:hint="eastAsia" w:ascii="Times New Roman" w:hAnsi="Times New Roman" w:cs="Times New Roman"/>
                      <w:i w:val="0"/>
                      <w:iCs w:val="0"/>
                      <w:color w:val="auto"/>
                      <w:sz w:val="21"/>
                      <w:szCs w:val="21"/>
                      <w:highlight w:val="none"/>
                      <w:vertAlign w:val="baseline"/>
                      <w:lang w:val="en-US" w:eastAsia="zh-CN"/>
                    </w:rPr>
                    <w:t>由环卫部门清运处置</w:t>
                  </w:r>
                  <w:r>
                    <w:rPr>
                      <w:rFonts w:hint="eastAsia"/>
                      <w:color w:val="auto"/>
                      <w:szCs w:val="21"/>
                      <w:highlight w:val="none"/>
                    </w:rPr>
                    <w:t>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7" w:type="pct"/>
                  <w:tcBorders>
                    <w:tl2br w:val="nil"/>
                    <w:tr2bl w:val="nil"/>
                  </w:tcBorders>
                  <w:noWrap w:val="0"/>
                  <w:vAlign w:val="center"/>
                </w:tcPr>
                <w:p>
                  <w:pPr>
                    <w:jc w:val="center"/>
                    <w:rPr>
                      <w:rFonts w:hint="eastAsia" w:eastAsia="宋体"/>
                      <w:color w:val="auto"/>
                      <w:kern w:val="2"/>
                      <w:sz w:val="21"/>
                      <w:szCs w:val="21"/>
                      <w:highlight w:val="none"/>
                      <w:lang w:val="en-US" w:eastAsia="zh-CN" w:bidi="ar-SA"/>
                    </w:rPr>
                  </w:pPr>
                  <w:r>
                    <w:rPr>
                      <w:rFonts w:hint="eastAsia"/>
                      <w:color w:val="auto"/>
                      <w:szCs w:val="21"/>
                      <w:highlight w:val="none"/>
                      <w:lang w:val="en-US" w:eastAsia="zh-CN"/>
                    </w:rPr>
                    <w:t>S4</w:t>
                  </w:r>
                </w:p>
              </w:tc>
              <w:tc>
                <w:tcPr>
                  <w:tcW w:w="770" w:type="pct"/>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outlineLvl w:val="9"/>
                    <w:rPr>
                      <w:rFonts w:hint="eastAsia" w:ascii="Times New Roman" w:hAnsi="Times New Roman" w:eastAsia="宋体" w:cs="Times New Roman"/>
                      <w:b w:val="0"/>
                      <w:bCs/>
                      <w:i w:val="0"/>
                      <w:iCs w:val="0"/>
                      <w:color w:val="auto"/>
                      <w:sz w:val="21"/>
                      <w:szCs w:val="21"/>
                      <w:highlight w:val="none"/>
                      <w:u w:val="none"/>
                      <w:vertAlign w:val="baseline"/>
                      <w:lang w:val="en-US" w:eastAsia="zh-CN"/>
                    </w:rPr>
                  </w:pPr>
                  <w:r>
                    <w:rPr>
                      <w:rFonts w:hint="eastAsia"/>
                      <w:i w:val="0"/>
                      <w:iCs w:val="0"/>
                      <w:color w:val="auto"/>
                      <w:highlight w:val="none"/>
                      <w:u w:val="none"/>
                      <w:lang w:val="en-US" w:eastAsia="zh-CN"/>
                    </w:rPr>
                    <w:t>原料废包装袋</w:t>
                  </w:r>
                </w:p>
              </w:tc>
              <w:tc>
                <w:tcPr>
                  <w:tcW w:w="486" w:type="pct"/>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outlineLvl w:val="9"/>
                    <w:rPr>
                      <w:rFonts w:hint="default" w:ascii="Times New Roman" w:hAnsi="Times New Roman" w:eastAsia="宋体" w:cs="Times New Roman"/>
                      <w:b w:val="0"/>
                      <w:bCs/>
                      <w:i w:val="0"/>
                      <w:iCs w:val="0"/>
                      <w:color w:val="auto"/>
                      <w:sz w:val="21"/>
                      <w:szCs w:val="21"/>
                      <w:highlight w:val="none"/>
                      <w:u w:val="none"/>
                      <w:vertAlign w:val="baseline"/>
                      <w:lang w:val="en-US" w:eastAsia="zh-CN"/>
                    </w:rPr>
                  </w:pPr>
                  <w:r>
                    <w:rPr>
                      <w:rFonts w:hint="eastAsia" w:ascii="Times New Roman" w:hAnsi="Times New Roman" w:cs="Times New Roman"/>
                      <w:b w:val="0"/>
                      <w:bCs/>
                      <w:i w:val="0"/>
                      <w:iCs w:val="0"/>
                      <w:color w:val="auto"/>
                      <w:sz w:val="21"/>
                      <w:szCs w:val="21"/>
                      <w:highlight w:val="none"/>
                      <w:u w:val="none"/>
                      <w:vertAlign w:val="baseline"/>
                      <w:lang w:val="en-US" w:eastAsia="zh-CN"/>
                    </w:rPr>
                    <w:t>0.03</w:t>
                  </w:r>
                </w:p>
              </w:tc>
              <w:tc>
                <w:tcPr>
                  <w:tcW w:w="672" w:type="pct"/>
                  <w:tcBorders>
                    <w:tl2br w:val="nil"/>
                    <w:tr2bl w:val="nil"/>
                  </w:tcBorders>
                  <w:noWrap w:val="0"/>
                  <w:vAlign w:val="center"/>
                </w:tcPr>
                <w:p>
                  <w:pPr>
                    <w:jc w:val="center"/>
                    <w:rPr>
                      <w:rFonts w:hint="default" w:ascii="Times New Roman" w:hAnsi="Times New Roman" w:eastAsia="宋体" w:cs="Times New Roman"/>
                      <w:b w:val="0"/>
                      <w:bCs/>
                      <w:i w:val="0"/>
                      <w:iCs w:val="0"/>
                      <w:color w:val="auto"/>
                      <w:sz w:val="21"/>
                      <w:szCs w:val="21"/>
                      <w:highlight w:val="none"/>
                      <w:u w:val="none"/>
                      <w:vertAlign w:val="baseline"/>
                      <w:lang w:val="en-US" w:eastAsia="zh-CN"/>
                    </w:rPr>
                  </w:pPr>
                  <w:r>
                    <w:rPr>
                      <w:rFonts w:hint="eastAsia" w:ascii="Times New Roman" w:hAnsi="Times New Roman" w:eastAsia="宋体" w:cs="Times New Roman"/>
                      <w:b w:val="0"/>
                      <w:bCs/>
                      <w:i w:val="0"/>
                      <w:iCs w:val="0"/>
                      <w:color w:val="auto"/>
                      <w:sz w:val="21"/>
                      <w:szCs w:val="21"/>
                      <w:highlight w:val="none"/>
                      <w:u w:val="none"/>
                      <w:vertAlign w:val="baseline"/>
                      <w:lang w:val="en-US" w:eastAsia="zh-CN"/>
                    </w:rPr>
                    <w:t>包装袋</w:t>
                  </w:r>
                </w:p>
              </w:tc>
              <w:tc>
                <w:tcPr>
                  <w:tcW w:w="789" w:type="pct"/>
                  <w:tcBorders>
                    <w:tl2br w:val="nil"/>
                    <w:tr2bl w:val="nil"/>
                  </w:tcBorders>
                  <w:noWrap w:val="0"/>
                  <w:vAlign w:val="center"/>
                </w:tcPr>
                <w:p>
                  <w:pPr>
                    <w:jc w:val="center"/>
                    <w:rPr>
                      <w:rFonts w:hint="eastAsia" w:eastAsia="宋体"/>
                      <w:color w:val="auto"/>
                      <w:kern w:val="2"/>
                      <w:sz w:val="21"/>
                      <w:szCs w:val="21"/>
                      <w:highlight w:val="none"/>
                      <w:lang w:val="en-US" w:eastAsia="zh-CN" w:bidi="ar-SA"/>
                    </w:rPr>
                  </w:pPr>
                  <w:r>
                    <w:rPr>
                      <w:rFonts w:hint="default" w:ascii="Times New Roman" w:hAnsi="Times New Roman" w:cs="Times New Roman"/>
                      <w:i w:val="0"/>
                      <w:iCs w:val="0"/>
                      <w:color w:val="auto"/>
                      <w:sz w:val="21"/>
                      <w:szCs w:val="21"/>
                      <w:highlight w:val="none"/>
                      <w:u w:val="none"/>
                      <w:vertAlign w:val="baseline"/>
                      <w:lang w:val="en-US" w:eastAsia="zh-CN"/>
                    </w:rPr>
                    <w:t>一般固废</w:t>
                  </w:r>
                </w:p>
              </w:tc>
              <w:tc>
                <w:tcPr>
                  <w:tcW w:w="452" w:type="pct"/>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outlineLvl w:val="9"/>
                    <w:rPr>
                      <w:rFonts w:hint="eastAsia" w:ascii="Times New Roman" w:hAnsi="Times New Roman" w:eastAsia="宋体" w:cs="Times New Roman"/>
                      <w:b w:val="0"/>
                      <w:bCs/>
                      <w:i w:val="0"/>
                      <w:iCs w:val="0"/>
                      <w:color w:val="auto"/>
                      <w:kern w:val="2"/>
                      <w:sz w:val="21"/>
                      <w:szCs w:val="21"/>
                      <w:highlight w:val="none"/>
                      <w:u w:val="none"/>
                      <w:vertAlign w:val="baseline"/>
                      <w:lang w:val="en-US" w:eastAsia="zh-CN" w:bidi="ar-SA"/>
                    </w:rPr>
                  </w:pPr>
                  <w:r>
                    <w:rPr>
                      <w:rFonts w:hint="eastAsia"/>
                      <w:color w:val="auto"/>
                      <w:szCs w:val="21"/>
                      <w:highlight w:val="none"/>
                      <w:lang w:val="en-US" w:eastAsia="zh-CN"/>
                    </w:rPr>
                    <w:t>固态</w:t>
                  </w:r>
                </w:p>
              </w:tc>
              <w:tc>
                <w:tcPr>
                  <w:tcW w:w="689" w:type="pct"/>
                  <w:tcBorders>
                    <w:tl2br w:val="nil"/>
                    <w:tr2bl w:val="nil"/>
                  </w:tcBorders>
                  <w:noWrap w:val="0"/>
                  <w:vAlign w:val="center"/>
                </w:tcPr>
                <w:p>
                  <w:pPr>
                    <w:jc w:val="center"/>
                    <w:rPr>
                      <w:rFonts w:hint="eastAsia" w:ascii="Times New Roman" w:hAnsi="Times New Roman" w:eastAsia="宋体" w:cs="Times New Roman"/>
                      <w:b w:val="0"/>
                      <w:bCs/>
                      <w:i w:val="0"/>
                      <w:iCs w:val="0"/>
                      <w:color w:val="auto"/>
                      <w:kern w:val="2"/>
                      <w:sz w:val="21"/>
                      <w:szCs w:val="21"/>
                      <w:highlight w:val="none"/>
                      <w:u w:val="none"/>
                      <w:vertAlign w:val="baseline"/>
                      <w:lang w:val="en-US" w:eastAsia="zh-CN" w:bidi="ar-SA"/>
                    </w:rPr>
                  </w:pPr>
                  <w:r>
                    <w:rPr>
                      <w:rFonts w:hint="eastAsia" w:ascii="Times New Roman" w:hAnsi="Times New Roman" w:eastAsia="宋体" w:cs="Times New Roman"/>
                      <w:b w:val="0"/>
                      <w:bCs/>
                      <w:i w:val="0"/>
                      <w:iCs w:val="0"/>
                      <w:color w:val="auto"/>
                      <w:sz w:val="21"/>
                      <w:szCs w:val="21"/>
                      <w:highlight w:val="none"/>
                      <w:u w:val="none"/>
                      <w:vertAlign w:val="baseline"/>
                      <w:lang w:val="en-US" w:eastAsia="zh-CN"/>
                    </w:rPr>
                    <w:t>袋装/生产车间</w:t>
                  </w:r>
                </w:p>
              </w:tc>
              <w:tc>
                <w:tcPr>
                  <w:tcW w:w="831" w:type="pct"/>
                  <w:tcBorders>
                    <w:tl2br w:val="nil"/>
                    <w:tr2bl w:val="nil"/>
                  </w:tcBorders>
                  <w:noWrap w:val="0"/>
                  <w:vAlign w:val="center"/>
                </w:tcPr>
                <w:p>
                  <w:pPr>
                    <w:jc w:val="center"/>
                    <w:rPr>
                      <w:rFonts w:hint="eastAsia"/>
                      <w:color w:val="auto"/>
                      <w:szCs w:val="21"/>
                      <w:highlight w:val="none"/>
                    </w:rPr>
                  </w:pPr>
                  <w:r>
                    <w:rPr>
                      <w:rFonts w:hint="eastAsia" w:ascii="Times New Roman" w:hAnsi="Times New Roman" w:cs="Times New Roman"/>
                      <w:i w:val="0"/>
                      <w:iCs w:val="0"/>
                      <w:color w:val="auto"/>
                      <w:sz w:val="21"/>
                      <w:szCs w:val="21"/>
                      <w:highlight w:val="none"/>
                      <w:vertAlign w:val="baseline"/>
                      <w:lang w:val="en-US" w:eastAsia="zh-CN"/>
                    </w:rPr>
                    <w:t>由环卫部门清运处置</w:t>
                  </w:r>
                </w:p>
              </w:tc>
            </w:tr>
          </w:tbl>
          <w:p>
            <w:pPr>
              <w:pStyle w:val="2"/>
              <w:spacing w:line="240" w:lineRule="auto"/>
              <w:rPr>
                <w:color w:val="auto"/>
                <w:highlight w:val="none"/>
              </w:rPr>
            </w:pPr>
          </w:p>
          <w:p>
            <w:pPr>
              <w:adjustRightInd w:val="0"/>
              <w:snapToGrid w:val="0"/>
              <w:jc w:val="center"/>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表</w:t>
            </w:r>
            <w:r>
              <w:rPr>
                <w:rFonts w:hint="eastAsia" w:cs="Times New Roman"/>
                <w:b/>
                <w:bCs/>
                <w:color w:val="auto"/>
                <w:sz w:val="24"/>
                <w:highlight w:val="none"/>
                <w:lang w:val="en-US" w:eastAsia="zh-CN"/>
              </w:rPr>
              <w:t>4-12</w:t>
            </w:r>
            <w:r>
              <w:rPr>
                <w:rFonts w:hint="eastAsia" w:ascii="Times New Roman" w:hAnsi="Times New Roman" w:cs="Times New Roman"/>
                <w:b/>
                <w:bCs/>
                <w:color w:val="auto"/>
                <w:sz w:val="24"/>
                <w:highlight w:val="none"/>
                <w:lang w:val="en-US" w:eastAsia="zh-CN"/>
              </w:rPr>
              <w:t xml:space="preserve"> </w:t>
            </w:r>
            <w:r>
              <w:rPr>
                <w:rFonts w:hint="default" w:ascii="Times New Roman" w:hAnsi="Times New Roman" w:cs="Times New Roman"/>
                <w:b/>
                <w:bCs/>
                <w:color w:val="auto"/>
                <w:sz w:val="24"/>
                <w:highlight w:val="none"/>
              </w:rPr>
              <w:t xml:space="preserve">  危险废物汇总表</w:t>
            </w:r>
          </w:p>
          <w:tbl>
            <w:tblPr>
              <w:tblStyle w:val="30"/>
              <w:tblW w:w="8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883"/>
              <w:gridCol w:w="711"/>
              <w:gridCol w:w="987"/>
              <w:gridCol w:w="815"/>
              <w:gridCol w:w="829"/>
              <w:gridCol w:w="500"/>
              <w:gridCol w:w="829"/>
              <w:gridCol w:w="566"/>
              <w:gridCol w:w="711"/>
              <w:gridCol w:w="605"/>
              <w:gridCol w:w="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435" w:type="dxa"/>
                  <w:tcBorders>
                    <w:top w:val="single" w:color="auto" w:sz="12" w:space="0"/>
                    <w:left w:val="nil"/>
                    <w:bottom w:val="single" w:color="auto" w:sz="4" w:space="0"/>
                    <w:right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序号</w:t>
                  </w:r>
                </w:p>
              </w:tc>
              <w:tc>
                <w:tcPr>
                  <w:tcW w:w="883" w:type="dxa"/>
                  <w:tcBorders>
                    <w:top w:val="single" w:color="auto" w:sz="12"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危险废物名称</w:t>
                  </w:r>
                </w:p>
              </w:tc>
              <w:tc>
                <w:tcPr>
                  <w:tcW w:w="711" w:type="dxa"/>
                  <w:tcBorders>
                    <w:top w:val="single" w:color="auto" w:sz="12"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危险废物类别</w:t>
                  </w:r>
                </w:p>
              </w:tc>
              <w:tc>
                <w:tcPr>
                  <w:tcW w:w="987" w:type="dxa"/>
                  <w:tcBorders>
                    <w:top w:val="single" w:color="auto" w:sz="12"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危险废物代码</w:t>
                  </w:r>
                </w:p>
              </w:tc>
              <w:tc>
                <w:tcPr>
                  <w:tcW w:w="815" w:type="dxa"/>
                  <w:tcBorders>
                    <w:top w:val="single" w:color="auto" w:sz="12"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产生量（t/a）</w:t>
                  </w:r>
                </w:p>
              </w:tc>
              <w:tc>
                <w:tcPr>
                  <w:tcW w:w="829" w:type="dxa"/>
                  <w:tcBorders>
                    <w:top w:val="single" w:color="auto" w:sz="12"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产生工序及装置</w:t>
                  </w:r>
                </w:p>
              </w:tc>
              <w:tc>
                <w:tcPr>
                  <w:tcW w:w="500" w:type="dxa"/>
                  <w:tcBorders>
                    <w:top w:val="single" w:color="auto" w:sz="12"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形态</w:t>
                  </w:r>
                </w:p>
              </w:tc>
              <w:tc>
                <w:tcPr>
                  <w:tcW w:w="829" w:type="dxa"/>
                  <w:tcBorders>
                    <w:top w:val="single" w:color="auto" w:sz="12"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主要</w:t>
                  </w:r>
                </w:p>
                <w:p>
                  <w:pPr>
                    <w:bidi w:val="0"/>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成分</w:t>
                  </w:r>
                </w:p>
              </w:tc>
              <w:tc>
                <w:tcPr>
                  <w:tcW w:w="566" w:type="dxa"/>
                  <w:tcBorders>
                    <w:top w:val="single" w:color="auto" w:sz="12"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有害</w:t>
                  </w:r>
                </w:p>
                <w:p>
                  <w:pPr>
                    <w:bidi w:val="0"/>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成分</w:t>
                  </w:r>
                </w:p>
              </w:tc>
              <w:tc>
                <w:tcPr>
                  <w:tcW w:w="711" w:type="dxa"/>
                  <w:tcBorders>
                    <w:top w:val="single" w:color="auto" w:sz="12" w:space="0"/>
                    <w:left w:val="single" w:color="auto" w:sz="4" w:space="0"/>
                    <w:bottom w:val="single" w:color="auto" w:sz="4" w:space="0"/>
                    <w:right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产废</w:t>
                  </w:r>
                </w:p>
                <w:p>
                  <w:pPr>
                    <w:bidi w:val="0"/>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周期</w:t>
                  </w:r>
                </w:p>
              </w:tc>
              <w:tc>
                <w:tcPr>
                  <w:tcW w:w="605" w:type="dxa"/>
                  <w:tcBorders>
                    <w:top w:val="single" w:color="auto" w:sz="12" w:space="0"/>
                    <w:left w:val="single" w:color="auto" w:sz="4" w:space="0"/>
                    <w:bottom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危险</w:t>
                  </w:r>
                </w:p>
                <w:p>
                  <w:pPr>
                    <w:bidi w:val="0"/>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特性</w:t>
                  </w:r>
                </w:p>
              </w:tc>
              <w:tc>
                <w:tcPr>
                  <w:tcW w:w="603" w:type="dxa"/>
                  <w:tcBorders>
                    <w:top w:val="single" w:color="auto" w:sz="12" w:space="0"/>
                    <w:bottom w:val="single" w:color="auto" w:sz="4" w:space="0"/>
                    <w:right w:val="nil"/>
                  </w:tcBorders>
                  <w:noWrap w:val="0"/>
                  <w:vAlign w:val="center"/>
                </w:tcPr>
                <w:p>
                  <w:pPr>
                    <w:bidi w:val="0"/>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污染防治措施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435" w:type="dxa"/>
                  <w:tcBorders>
                    <w:left w:val="nil"/>
                    <w:right w:val="single" w:color="auto" w:sz="4" w:space="0"/>
                  </w:tcBorders>
                  <w:noWrap w:val="0"/>
                  <w:vAlign w:val="center"/>
                </w:tcPr>
                <w:p>
                  <w:pPr>
                    <w:bidi w:val="0"/>
                    <w:jc w:val="center"/>
                    <w:rPr>
                      <w:rFonts w:hint="default" w:ascii="Times New Roman" w:hAnsi="Times New Roman" w:eastAsia="宋体" w:cs="Times New Roman"/>
                      <w:b w:val="0"/>
                      <w:i w:val="0"/>
                      <w:iCs w:val="0"/>
                      <w:color w:val="auto"/>
                      <w:sz w:val="21"/>
                      <w:szCs w:val="21"/>
                      <w:highlight w:val="none"/>
                      <w:lang w:val="en-US"/>
                    </w:rPr>
                  </w:pPr>
                  <w:r>
                    <w:rPr>
                      <w:rFonts w:hint="eastAsia"/>
                      <w:color w:val="auto"/>
                      <w:szCs w:val="21"/>
                      <w:highlight w:val="none"/>
                      <w:lang w:val="en-US" w:eastAsia="zh-CN"/>
                    </w:rPr>
                    <w:t>S5</w:t>
                  </w:r>
                </w:p>
              </w:tc>
              <w:tc>
                <w:tcPr>
                  <w:tcW w:w="883" w:type="dxa"/>
                  <w:tcBorders>
                    <w:left w:val="single" w:color="auto" w:sz="4" w:space="0"/>
                    <w:right w:val="single" w:color="auto" w:sz="4" w:space="0"/>
                  </w:tcBorders>
                  <w:noWrap w:val="0"/>
                  <w:vAlign w:val="center"/>
                </w:tcPr>
                <w:p>
                  <w:pPr>
                    <w:bidi w:val="0"/>
                    <w:jc w:val="center"/>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废弃含油抹布</w:t>
                  </w:r>
                </w:p>
              </w:tc>
              <w:tc>
                <w:tcPr>
                  <w:tcW w:w="711" w:type="dxa"/>
                  <w:tcBorders>
                    <w:left w:val="single" w:color="auto" w:sz="4" w:space="0"/>
                    <w:right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HW49</w:t>
                  </w:r>
                </w:p>
              </w:tc>
              <w:tc>
                <w:tcPr>
                  <w:tcW w:w="987" w:type="dxa"/>
                  <w:tcBorders>
                    <w:left w:val="single" w:color="auto" w:sz="4" w:space="0"/>
                    <w:right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900-041-49</w:t>
                  </w:r>
                </w:p>
              </w:tc>
              <w:tc>
                <w:tcPr>
                  <w:tcW w:w="815" w:type="dxa"/>
                  <w:tcBorders>
                    <w:left w:val="single" w:color="auto" w:sz="4" w:space="0"/>
                    <w:right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0.005</w:t>
                  </w:r>
                </w:p>
              </w:tc>
              <w:tc>
                <w:tcPr>
                  <w:tcW w:w="829" w:type="dxa"/>
                  <w:tcBorders>
                    <w:left w:val="single" w:color="auto" w:sz="4" w:space="0"/>
                    <w:right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机修</w:t>
                  </w:r>
                </w:p>
              </w:tc>
              <w:tc>
                <w:tcPr>
                  <w:tcW w:w="500" w:type="dxa"/>
                  <w:tcBorders>
                    <w:left w:val="single" w:color="auto" w:sz="4" w:space="0"/>
                    <w:right w:val="single" w:color="auto" w:sz="4" w:space="0"/>
                  </w:tcBorders>
                  <w:noWrap w:val="0"/>
                  <w:vAlign w:val="center"/>
                </w:tcPr>
                <w:p>
                  <w:pPr>
                    <w:bidi w:val="0"/>
                    <w:jc w:val="center"/>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固</w:t>
                  </w:r>
                </w:p>
              </w:tc>
              <w:tc>
                <w:tcPr>
                  <w:tcW w:w="829" w:type="dxa"/>
                  <w:tcBorders>
                    <w:left w:val="single" w:color="auto" w:sz="4" w:space="0"/>
                    <w:right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矿物油</w:t>
                  </w:r>
                </w:p>
              </w:tc>
              <w:tc>
                <w:tcPr>
                  <w:tcW w:w="566" w:type="dxa"/>
                  <w:tcBorders>
                    <w:left w:val="single" w:color="auto" w:sz="4" w:space="0"/>
                    <w:right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废油</w:t>
                  </w:r>
                </w:p>
              </w:tc>
              <w:tc>
                <w:tcPr>
                  <w:tcW w:w="711" w:type="dxa"/>
                  <w:tcBorders>
                    <w:left w:val="single" w:color="auto" w:sz="4" w:space="0"/>
                    <w:right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4次/a</w:t>
                  </w:r>
                </w:p>
              </w:tc>
              <w:tc>
                <w:tcPr>
                  <w:tcW w:w="605" w:type="dxa"/>
                  <w:tcBorders>
                    <w:left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T/ln</w:t>
                  </w:r>
                </w:p>
              </w:tc>
              <w:tc>
                <w:tcPr>
                  <w:tcW w:w="603" w:type="dxa"/>
                  <w:vMerge w:val="restart"/>
                  <w:tcBorders>
                    <w:right w:val="nil"/>
                  </w:tcBorders>
                  <w:noWrap w:val="0"/>
                  <w:vAlign w:val="center"/>
                </w:tcPr>
                <w:p>
                  <w:pPr>
                    <w:pStyle w:val="5"/>
                    <w:keepNext w:val="0"/>
                    <w:keepLines w:val="0"/>
                    <w:autoSpaceDE w:val="0"/>
                    <w:autoSpaceDN w:val="0"/>
                    <w:adjustRightInd w:val="0"/>
                    <w:snapToGrid w:val="0"/>
                    <w:spacing w:line="240" w:lineRule="auto"/>
                    <w:jc w:val="center"/>
                    <w:textAlignment w:val="baseline"/>
                    <w:rPr>
                      <w:rFonts w:hint="default" w:ascii="Times New Roman" w:hAnsi="Times New Roman" w:eastAsia="宋体" w:cs="Times New Roman"/>
                      <w:b w:val="0"/>
                      <w:i w:val="0"/>
                      <w:iCs w:val="0"/>
                      <w:color w:val="auto"/>
                      <w:sz w:val="21"/>
                      <w:szCs w:val="21"/>
                      <w:highlight w:val="none"/>
                    </w:rPr>
                  </w:pPr>
                  <w:r>
                    <w:rPr>
                      <w:rFonts w:hint="eastAsia" w:cs="Times New Roman"/>
                      <w:b w:val="0"/>
                      <w:i w:val="0"/>
                      <w:iCs w:val="0"/>
                      <w:color w:val="auto"/>
                      <w:sz w:val="21"/>
                      <w:szCs w:val="21"/>
                      <w:highlight w:val="none"/>
                      <w:shd w:val="clear" w:color="auto" w:fill="auto"/>
                      <w:lang w:val="en-US" w:eastAsia="zh-CN"/>
                    </w:rPr>
                    <w:t>暂存于危险废物暂存间内，定期由资质单位清运处置。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435" w:type="dxa"/>
                  <w:tcBorders>
                    <w:left w:val="nil"/>
                    <w:right w:val="single" w:color="auto" w:sz="4" w:space="0"/>
                  </w:tcBorders>
                  <w:noWrap w:val="0"/>
                  <w:vAlign w:val="center"/>
                </w:tcPr>
                <w:p>
                  <w:pPr>
                    <w:bidi w:val="0"/>
                    <w:jc w:val="center"/>
                    <w:rPr>
                      <w:rFonts w:hint="default" w:ascii="Times New Roman" w:hAnsi="Times New Roman" w:eastAsia="宋体" w:cs="Times New Roman"/>
                      <w:b w:val="0"/>
                      <w:i w:val="0"/>
                      <w:iCs w:val="0"/>
                      <w:color w:val="auto"/>
                      <w:sz w:val="21"/>
                      <w:szCs w:val="21"/>
                      <w:highlight w:val="none"/>
                    </w:rPr>
                  </w:pPr>
                  <w:r>
                    <w:rPr>
                      <w:rFonts w:hint="eastAsia"/>
                      <w:color w:val="auto"/>
                      <w:szCs w:val="21"/>
                      <w:highlight w:val="none"/>
                      <w:lang w:val="en-US" w:eastAsia="zh-CN"/>
                    </w:rPr>
                    <w:t>S6</w:t>
                  </w:r>
                </w:p>
              </w:tc>
              <w:tc>
                <w:tcPr>
                  <w:tcW w:w="883" w:type="dxa"/>
                  <w:tcBorders>
                    <w:left w:val="single" w:color="auto" w:sz="4" w:space="0"/>
                    <w:right w:val="single" w:color="auto" w:sz="4" w:space="0"/>
                  </w:tcBorders>
                  <w:noWrap w:val="0"/>
                  <w:vAlign w:val="center"/>
                </w:tcPr>
                <w:p>
                  <w:pPr>
                    <w:bidi w:val="0"/>
                    <w:jc w:val="center"/>
                    <w:rPr>
                      <w:rFonts w:hint="eastAsia" w:ascii="Times New Roman" w:hAnsi="Times New Roman" w:eastAsia="宋体" w:cs="Times New Roman"/>
                      <w:b w:val="0"/>
                      <w:i w:val="0"/>
                      <w:iCs w:val="0"/>
                      <w:color w:val="auto"/>
                      <w:kern w:val="2"/>
                      <w:sz w:val="21"/>
                      <w:szCs w:val="21"/>
                      <w:highlight w:val="none"/>
                      <w:lang w:val="en-US" w:eastAsia="zh-CN" w:bidi="ar-SA"/>
                    </w:rPr>
                  </w:pPr>
                  <w:r>
                    <w:rPr>
                      <w:rFonts w:hint="eastAsia"/>
                      <w:color w:val="auto"/>
                      <w:highlight w:val="none"/>
                      <w:lang w:val="en-US" w:eastAsia="zh-CN"/>
                    </w:rPr>
                    <w:t>废液压油</w:t>
                  </w:r>
                </w:p>
              </w:tc>
              <w:tc>
                <w:tcPr>
                  <w:tcW w:w="711" w:type="dxa"/>
                  <w:tcBorders>
                    <w:left w:val="single" w:color="auto" w:sz="4" w:space="0"/>
                    <w:right w:val="single" w:color="auto" w:sz="4" w:space="0"/>
                  </w:tcBorders>
                  <w:noWrap w:val="0"/>
                  <w:vAlign w:val="center"/>
                </w:tcPr>
                <w:p>
                  <w:pPr>
                    <w:bidi w:val="0"/>
                    <w:jc w:val="center"/>
                    <w:rPr>
                      <w:rFonts w:hint="default" w:ascii="Times New Roman" w:hAnsi="Times New Roman" w:eastAsia="宋体" w:cs="Times New Roman"/>
                      <w:b w:val="0"/>
                      <w:i w:val="0"/>
                      <w:iCs w:val="0"/>
                      <w:color w:val="auto"/>
                      <w:sz w:val="21"/>
                      <w:szCs w:val="21"/>
                      <w:highlight w:val="none"/>
                    </w:rPr>
                  </w:pPr>
                  <w:r>
                    <w:rPr>
                      <w:rFonts w:hint="eastAsia"/>
                      <w:color w:val="auto"/>
                      <w:highlight w:val="none"/>
                      <w:lang w:val="en-US" w:eastAsia="zh-CN"/>
                    </w:rPr>
                    <w:t>HW08</w:t>
                  </w:r>
                </w:p>
              </w:tc>
              <w:tc>
                <w:tcPr>
                  <w:tcW w:w="987" w:type="dxa"/>
                  <w:tcBorders>
                    <w:left w:val="single" w:color="auto" w:sz="4" w:space="0"/>
                    <w:right w:val="single" w:color="auto" w:sz="4" w:space="0"/>
                  </w:tcBorders>
                  <w:noWrap w:val="0"/>
                  <w:vAlign w:val="center"/>
                </w:tcPr>
                <w:p>
                  <w:pPr>
                    <w:bidi w:val="0"/>
                    <w:jc w:val="center"/>
                    <w:rPr>
                      <w:rFonts w:hint="default" w:ascii="Times New Roman" w:hAnsi="Times New Roman" w:eastAsia="宋体" w:cs="Times New Roman"/>
                      <w:b w:val="0"/>
                      <w:i w:val="0"/>
                      <w:iCs w:val="0"/>
                      <w:color w:val="auto"/>
                      <w:sz w:val="21"/>
                      <w:szCs w:val="21"/>
                      <w:highlight w:val="none"/>
                    </w:rPr>
                  </w:pPr>
                  <w:r>
                    <w:rPr>
                      <w:rFonts w:hint="eastAsia"/>
                      <w:color w:val="auto"/>
                      <w:highlight w:val="none"/>
                      <w:lang w:val="en-US" w:eastAsia="zh-CN"/>
                    </w:rPr>
                    <w:t>900-218-08</w:t>
                  </w:r>
                </w:p>
              </w:tc>
              <w:tc>
                <w:tcPr>
                  <w:tcW w:w="815" w:type="dxa"/>
                  <w:tcBorders>
                    <w:left w:val="single" w:color="auto" w:sz="4" w:space="0"/>
                    <w:right w:val="single" w:color="auto" w:sz="4" w:space="0"/>
                  </w:tcBorders>
                  <w:noWrap w:val="0"/>
                  <w:vAlign w:val="center"/>
                </w:tcPr>
                <w:p>
                  <w:pPr>
                    <w:pStyle w:val="5"/>
                    <w:keepNext w:val="0"/>
                    <w:keepLines w:val="0"/>
                    <w:autoSpaceDE w:val="0"/>
                    <w:autoSpaceDN w:val="0"/>
                    <w:adjustRightInd w:val="0"/>
                    <w:snapToGrid w:val="0"/>
                    <w:spacing w:line="240" w:lineRule="auto"/>
                    <w:jc w:val="center"/>
                    <w:textAlignment w:val="baseline"/>
                    <w:rPr>
                      <w:rFonts w:hint="default" w:ascii="Times New Roman" w:hAnsi="Times New Roman" w:eastAsia="宋体" w:cs="Times New Roman"/>
                      <w:b w:val="0"/>
                      <w:i w:val="0"/>
                      <w:iCs w:val="0"/>
                      <w:color w:val="auto"/>
                      <w:sz w:val="21"/>
                      <w:szCs w:val="21"/>
                      <w:highlight w:val="none"/>
                      <w:lang w:val="en-US" w:eastAsia="zh-CN"/>
                    </w:rPr>
                  </w:pPr>
                  <w:r>
                    <w:rPr>
                      <w:rFonts w:hint="eastAsia" w:cs="Times New Roman"/>
                      <w:b w:val="0"/>
                      <w:i w:val="0"/>
                      <w:iCs w:val="0"/>
                      <w:color w:val="auto"/>
                      <w:sz w:val="21"/>
                      <w:szCs w:val="21"/>
                      <w:highlight w:val="none"/>
                      <w:lang w:val="en-US" w:eastAsia="zh-CN"/>
                    </w:rPr>
                    <w:t>0.005</w:t>
                  </w:r>
                </w:p>
              </w:tc>
              <w:tc>
                <w:tcPr>
                  <w:tcW w:w="829" w:type="dxa"/>
                  <w:tcBorders>
                    <w:left w:val="single" w:color="auto" w:sz="4" w:space="0"/>
                    <w:right w:val="single" w:color="auto" w:sz="4" w:space="0"/>
                  </w:tcBorders>
                  <w:noWrap w:val="0"/>
                  <w:vAlign w:val="center"/>
                </w:tcPr>
                <w:p>
                  <w:pPr>
                    <w:keepNext w:val="0"/>
                    <w:keepLines w:val="0"/>
                    <w:autoSpaceDE w:val="0"/>
                    <w:autoSpaceDN w:val="0"/>
                    <w:adjustRightInd w:val="0"/>
                    <w:snapToGrid w:val="0"/>
                    <w:spacing w:line="240" w:lineRule="auto"/>
                    <w:jc w:val="center"/>
                    <w:textAlignment w:val="baseline"/>
                    <w:rPr>
                      <w:rFonts w:hint="default" w:ascii="Times New Roman" w:hAnsi="Times New Roman" w:eastAsia="宋体" w:cs="Times New Roman"/>
                      <w:b w:val="0"/>
                      <w:i w:val="0"/>
                      <w:iCs w:val="0"/>
                      <w:color w:val="auto"/>
                      <w:sz w:val="21"/>
                      <w:szCs w:val="21"/>
                      <w:highlight w:val="none"/>
                    </w:rPr>
                  </w:pPr>
                  <w:r>
                    <w:rPr>
                      <w:rFonts w:hint="eastAsia" w:cs="Times New Roman"/>
                      <w:b w:val="0"/>
                      <w:i w:val="0"/>
                      <w:iCs w:val="0"/>
                      <w:color w:val="auto"/>
                      <w:sz w:val="21"/>
                      <w:szCs w:val="21"/>
                      <w:highlight w:val="none"/>
                      <w:lang w:val="en-US" w:eastAsia="zh-CN"/>
                    </w:rPr>
                    <w:t>机修</w:t>
                  </w:r>
                </w:p>
              </w:tc>
              <w:tc>
                <w:tcPr>
                  <w:tcW w:w="500" w:type="dxa"/>
                  <w:tcBorders>
                    <w:left w:val="single" w:color="auto" w:sz="4" w:space="0"/>
                    <w:right w:val="single" w:color="auto" w:sz="4" w:space="0"/>
                  </w:tcBorders>
                  <w:noWrap w:val="0"/>
                  <w:vAlign w:val="center"/>
                </w:tcPr>
                <w:p>
                  <w:pPr>
                    <w:keepNext w:val="0"/>
                    <w:keepLines w:val="0"/>
                    <w:autoSpaceDE w:val="0"/>
                    <w:autoSpaceDN w:val="0"/>
                    <w:adjustRightInd w:val="0"/>
                    <w:snapToGrid w:val="0"/>
                    <w:spacing w:line="240" w:lineRule="auto"/>
                    <w:jc w:val="center"/>
                    <w:textAlignment w:val="baseline"/>
                    <w:rPr>
                      <w:rFonts w:hint="eastAsia" w:ascii="Times New Roman" w:hAnsi="Times New Roman" w:eastAsia="宋体" w:cs="Times New Roman"/>
                      <w:b w:val="0"/>
                      <w:i w:val="0"/>
                      <w:iCs w:val="0"/>
                      <w:color w:val="auto"/>
                      <w:sz w:val="21"/>
                      <w:szCs w:val="21"/>
                      <w:highlight w:val="none"/>
                      <w:lang w:val="en-US" w:eastAsia="zh-CN"/>
                    </w:rPr>
                  </w:pPr>
                  <w:r>
                    <w:rPr>
                      <w:rFonts w:hint="eastAsia" w:cs="Times New Roman"/>
                      <w:b w:val="0"/>
                      <w:i w:val="0"/>
                      <w:iCs w:val="0"/>
                      <w:color w:val="auto"/>
                      <w:sz w:val="21"/>
                      <w:szCs w:val="21"/>
                      <w:highlight w:val="none"/>
                      <w:lang w:val="en-US" w:eastAsia="zh-CN"/>
                    </w:rPr>
                    <w:t>液</w:t>
                  </w:r>
                </w:p>
              </w:tc>
              <w:tc>
                <w:tcPr>
                  <w:tcW w:w="829" w:type="dxa"/>
                  <w:tcBorders>
                    <w:left w:val="single" w:color="auto" w:sz="4" w:space="0"/>
                    <w:right w:val="single" w:color="auto" w:sz="4" w:space="0"/>
                  </w:tcBorders>
                  <w:noWrap w:val="0"/>
                  <w:vAlign w:val="center"/>
                </w:tcPr>
                <w:p>
                  <w:pPr>
                    <w:pStyle w:val="5"/>
                    <w:keepNext w:val="0"/>
                    <w:keepLines w:val="0"/>
                    <w:autoSpaceDE w:val="0"/>
                    <w:autoSpaceDN w:val="0"/>
                    <w:adjustRightInd w:val="0"/>
                    <w:snapToGrid w:val="0"/>
                    <w:spacing w:line="240" w:lineRule="auto"/>
                    <w:jc w:val="center"/>
                    <w:textAlignment w:val="baseline"/>
                    <w:rPr>
                      <w:rFonts w:hint="default" w:ascii="Times New Roman" w:hAnsi="Times New Roman" w:eastAsia="宋体" w:cs="Times New Roman"/>
                      <w:b w:val="0"/>
                      <w:i w:val="0"/>
                      <w:iCs w:val="0"/>
                      <w:color w:val="auto"/>
                      <w:sz w:val="21"/>
                      <w:szCs w:val="21"/>
                      <w:highlight w:val="none"/>
                    </w:rPr>
                  </w:pPr>
                  <w:r>
                    <w:rPr>
                      <w:rFonts w:hint="eastAsia" w:cs="Times New Roman"/>
                      <w:b w:val="0"/>
                      <w:i w:val="0"/>
                      <w:iCs w:val="0"/>
                      <w:color w:val="auto"/>
                      <w:sz w:val="21"/>
                      <w:szCs w:val="21"/>
                      <w:highlight w:val="none"/>
                      <w:lang w:val="en-US" w:eastAsia="zh-CN"/>
                    </w:rPr>
                    <w:t>矿物油</w:t>
                  </w:r>
                </w:p>
              </w:tc>
              <w:tc>
                <w:tcPr>
                  <w:tcW w:w="566" w:type="dxa"/>
                  <w:tcBorders>
                    <w:left w:val="single" w:color="auto" w:sz="4" w:space="0"/>
                    <w:right w:val="single" w:color="auto" w:sz="4" w:space="0"/>
                  </w:tcBorders>
                  <w:noWrap w:val="0"/>
                  <w:vAlign w:val="center"/>
                </w:tcPr>
                <w:p>
                  <w:pPr>
                    <w:pStyle w:val="5"/>
                    <w:keepNext w:val="0"/>
                    <w:keepLines w:val="0"/>
                    <w:autoSpaceDE w:val="0"/>
                    <w:autoSpaceDN w:val="0"/>
                    <w:adjustRightInd w:val="0"/>
                    <w:snapToGrid w:val="0"/>
                    <w:spacing w:line="240" w:lineRule="auto"/>
                    <w:jc w:val="center"/>
                    <w:textAlignment w:val="baseline"/>
                    <w:rPr>
                      <w:rFonts w:hint="default" w:ascii="Times New Roman" w:hAnsi="Times New Roman" w:eastAsia="宋体" w:cs="Times New Roman"/>
                      <w:b w:val="0"/>
                      <w:i w:val="0"/>
                      <w:iCs w:val="0"/>
                      <w:color w:val="auto"/>
                      <w:sz w:val="21"/>
                      <w:szCs w:val="21"/>
                      <w:highlight w:val="none"/>
                    </w:rPr>
                  </w:pPr>
                  <w:r>
                    <w:rPr>
                      <w:rFonts w:hint="eastAsia" w:cs="Times New Roman"/>
                      <w:b w:val="0"/>
                      <w:i w:val="0"/>
                      <w:iCs w:val="0"/>
                      <w:color w:val="auto"/>
                      <w:sz w:val="21"/>
                      <w:szCs w:val="21"/>
                      <w:highlight w:val="none"/>
                      <w:lang w:val="en-US" w:eastAsia="zh-CN"/>
                    </w:rPr>
                    <w:t>废油</w:t>
                  </w:r>
                </w:p>
              </w:tc>
              <w:tc>
                <w:tcPr>
                  <w:tcW w:w="711" w:type="dxa"/>
                  <w:tcBorders>
                    <w:left w:val="single" w:color="auto" w:sz="4" w:space="0"/>
                    <w:right w:val="single" w:color="auto" w:sz="4" w:space="0"/>
                  </w:tcBorders>
                  <w:noWrap w:val="0"/>
                  <w:vAlign w:val="center"/>
                </w:tcPr>
                <w:p>
                  <w:pPr>
                    <w:keepNext w:val="0"/>
                    <w:keepLines w:val="0"/>
                    <w:autoSpaceDE w:val="0"/>
                    <w:autoSpaceDN w:val="0"/>
                    <w:adjustRightInd w:val="0"/>
                    <w:snapToGrid w:val="0"/>
                    <w:spacing w:line="240" w:lineRule="auto"/>
                    <w:jc w:val="center"/>
                    <w:textAlignment w:val="baseline"/>
                    <w:rPr>
                      <w:rFonts w:hint="default" w:ascii="Times New Roman" w:hAnsi="Times New Roman" w:eastAsia="宋体" w:cs="Times New Roman"/>
                      <w:b w:val="0"/>
                      <w:i w:val="0"/>
                      <w:iCs w:val="0"/>
                      <w:color w:val="auto"/>
                      <w:sz w:val="21"/>
                      <w:szCs w:val="21"/>
                      <w:highlight w:val="none"/>
                      <w:lang w:val="en-US" w:eastAsia="zh-CN"/>
                    </w:rPr>
                  </w:pPr>
                  <w:r>
                    <w:rPr>
                      <w:rFonts w:hint="eastAsia" w:ascii="Times New Roman" w:hAnsi="Times New Roman" w:cs="Times New Roman"/>
                      <w:b w:val="0"/>
                      <w:i w:val="0"/>
                      <w:iCs w:val="0"/>
                      <w:color w:val="auto"/>
                      <w:sz w:val="21"/>
                      <w:szCs w:val="21"/>
                      <w:highlight w:val="none"/>
                      <w:lang w:val="en-US" w:eastAsia="zh-CN"/>
                    </w:rPr>
                    <w:t>1</w:t>
                  </w:r>
                  <w:r>
                    <w:rPr>
                      <w:rFonts w:hint="default" w:ascii="Times New Roman" w:hAnsi="Times New Roman" w:cs="Times New Roman"/>
                      <w:b w:val="0"/>
                      <w:i w:val="0"/>
                      <w:iCs w:val="0"/>
                      <w:color w:val="auto"/>
                      <w:sz w:val="21"/>
                      <w:szCs w:val="21"/>
                      <w:highlight w:val="none"/>
                      <w:lang w:val="en-US" w:eastAsia="zh-CN"/>
                    </w:rPr>
                    <w:t>次/</w:t>
                  </w:r>
                  <w:r>
                    <w:rPr>
                      <w:rFonts w:hint="eastAsia" w:ascii="Times New Roman" w:hAnsi="Times New Roman" w:cs="Times New Roman"/>
                      <w:b w:val="0"/>
                      <w:i w:val="0"/>
                      <w:iCs w:val="0"/>
                      <w:color w:val="auto"/>
                      <w:sz w:val="21"/>
                      <w:szCs w:val="21"/>
                      <w:highlight w:val="none"/>
                      <w:lang w:val="en-US" w:eastAsia="zh-CN"/>
                    </w:rPr>
                    <w:t>3</w:t>
                  </w:r>
                  <w:r>
                    <w:rPr>
                      <w:rFonts w:hint="default" w:ascii="Times New Roman" w:hAnsi="Times New Roman" w:cs="Times New Roman"/>
                      <w:b w:val="0"/>
                      <w:i w:val="0"/>
                      <w:iCs w:val="0"/>
                      <w:color w:val="auto"/>
                      <w:sz w:val="21"/>
                      <w:szCs w:val="21"/>
                      <w:highlight w:val="none"/>
                      <w:lang w:val="en-US" w:eastAsia="zh-CN"/>
                    </w:rPr>
                    <w:t>a</w:t>
                  </w:r>
                </w:p>
              </w:tc>
              <w:tc>
                <w:tcPr>
                  <w:tcW w:w="605" w:type="dxa"/>
                  <w:tcBorders>
                    <w:left w:val="single" w:color="auto" w:sz="4" w:space="0"/>
                  </w:tcBorders>
                  <w:noWrap w:val="0"/>
                  <w:vAlign w:val="center"/>
                </w:tcPr>
                <w:p>
                  <w:pPr>
                    <w:bidi w:val="0"/>
                    <w:jc w:val="center"/>
                    <w:rPr>
                      <w:rFonts w:hint="default" w:ascii="Times New Roman" w:hAnsi="Times New Roman" w:eastAsia="宋体" w:cs="Times New Roman"/>
                      <w:b w:val="0"/>
                      <w:i w:val="0"/>
                      <w:iCs w:val="0"/>
                      <w:color w:val="auto"/>
                      <w:sz w:val="21"/>
                      <w:szCs w:val="21"/>
                      <w:highlight w:val="none"/>
                    </w:rPr>
                  </w:pPr>
                  <w:r>
                    <w:rPr>
                      <w:rFonts w:hint="eastAsia"/>
                      <w:color w:val="auto"/>
                      <w:highlight w:val="none"/>
                      <w:lang w:val="en-US" w:eastAsia="zh-CN"/>
                    </w:rPr>
                    <w:t>T,l</w:t>
                  </w:r>
                </w:p>
              </w:tc>
              <w:tc>
                <w:tcPr>
                  <w:tcW w:w="603" w:type="dxa"/>
                  <w:vMerge w:val="continue"/>
                  <w:tcBorders>
                    <w:right w:val="nil"/>
                  </w:tcBorders>
                  <w:noWrap w:val="0"/>
                  <w:vAlign w:val="center"/>
                </w:tcPr>
                <w:p>
                  <w:pPr>
                    <w:pStyle w:val="5"/>
                    <w:keepNext w:val="0"/>
                    <w:keepLines w:val="0"/>
                    <w:autoSpaceDE w:val="0"/>
                    <w:autoSpaceDN w:val="0"/>
                    <w:adjustRightInd w:val="0"/>
                    <w:snapToGrid w:val="0"/>
                    <w:spacing w:line="240" w:lineRule="auto"/>
                    <w:jc w:val="center"/>
                    <w:textAlignment w:val="baseline"/>
                    <w:rPr>
                      <w:rFonts w:hint="default" w:ascii="Times New Roman" w:hAnsi="Times New Roman" w:eastAsia="宋体" w:cs="Times New Roman"/>
                      <w:b w:val="0"/>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2" w:hRule="atLeast"/>
                <w:jc w:val="center"/>
              </w:trPr>
              <w:tc>
                <w:tcPr>
                  <w:tcW w:w="435" w:type="dxa"/>
                  <w:tcBorders>
                    <w:left w:val="nil"/>
                    <w:right w:val="single" w:color="auto" w:sz="4" w:space="0"/>
                  </w:tcBorders>
                  <w:noWrap w:val="0"/>
                  <w:vAlign w:val="center"/>
                </w:tcPr>
                <w:p>
                  <w:pPr>
                    <w:bidi w:val="0"/>
                    <w:jc w:val="center"/>
                    <w:rPr>
                      <w:rFonts w:hint="default" w:ascii="Times New Roman" w:hAnsi="Times New Roman" w:eastAsia="宋体" w:cs="Times New Roman"/>
                      <w:b w:val="0"/>
                      <w:i w:val="0"/>
                      <w:iCs w:val="0"/>
                      <w:color w:val="auto"/>
                      <w:sz w:val="21"/>
                      <w:szCs w:val="21"/>
                      <w:highlight w:val="none"/>
                    </w:rPr>
                  </w:pPr>
                  <w:r>
                    <w:rPr>
                      <w:rFonts w:hint="eastAsia"/>
                      <w:color w:val="auto"/>
                      <w:szCs w:val="21"/>
                      <w:highlight w:val="none"/>
                      <w:lang w:val="en-US" w:eastAsia="zh-CN"/>
                    </w:rPr>
                    <w:t>S7</w:t>
                  </w:r>
                </w:p>
              </w:tc>
              <w:tc>
                <w:tcPr>
                  <w:tcW w:w="883" w:type="dxa"/>
                  <w:tcBorders>
                    <w:left w:val="single" w:color="auto" w:sz="4" w:space="0"/>
                    <w:right w:val="single" w:color="auto" w:sz="4" w:space="0"/>
                  </w:tcBorders>
                  <w:noWrap w:val="0"/>
                  <w:vAlign w:val="center"/>
                </w:tcPr>
                <w:p>
                  <w:pPr>
                    <w:bidi w:val="0"/>
                    <w:jc w:val="center"/>
                    <w:rPr>
                      <w:rFonts w:hint="eastAsia" w:ascii="Times New Roman" w:hAnsi="Times New Roman" w:eastAsia="宋体" w:cs="Times New Roman"/>
                      <w:b w:val="0"/>
                      <w:i w:val="0"/>
                      <w:iCs w:val="0"/>
                      <w:color w:val="auto"/>
                      <w:kern w:val="2"/>
                      <w:sz w:val="21"/>
                      <w:szCs w:val="21"/>
                      <w:highlight w:val="none"/>
                      <w:lang w:val="en-US" w:eastAsia="zh-CN" w:bidi="ar-SA"/>
                    </w:rPr>
                  </w:pPr>
                  <w:r>
                    <w:rPr>
                      <w:rFonts w:hint="eastAsia"/>
                      <w:color w:val="auto"/>
                      <w:highlight w:val="none"/>
                      <w:lang w:val="en-US" w:eastAsia="zh-CN"/>
                    </w:rPr>
                    <w:t>废导热油</w:t>
                  </w:r>
                </w:p>
              </w:tc>
              <w:tc>
                <w:tcPr>
                  <w:tcW w:w="711" w:type="dxa"/>
                  <w:tcBorders>
                    <w:left w:val="single" w:color="auto" w:sz="4" w:space="0"/>
                    <w:right w:val="single" w:color="auto" w:sz="4" w:space="0"/>
                  </w:tcBorders>
                  <w:noWrap w:val="0"/>
                  <w:vAlign w:val="center"/>
                </w:tcPr>
                <w:p>
                  <w:pPr>
                    <w:bidi w:val="0"/>
                    <w:jc w:val="center"/>
                    <w:rPr>
                      <w:rFonts w:hint="default" w:ascii="Times New Roman" w:hAnsi="Times New Roman" w:eastAsia="宋体" w:cs="Times New Roman"/>
                      <w:b w:val="0"/>
                      <w:i w:val="0"/>
                      <w:iCs w:val="0"/>
                      <w:color w:val="auto"/>
                      <w:sz w:val="21"/>
                      <w:szCs w:val="21"/>
                      <w:highlight w:val="none"/>
                    </w:rPr>
                  </w:pPr>
                  <w:r>
                    <w:rPr>
                      <w:rFonts w:hint="eastAsia"/>
                      <w:color w:val="auto"/>
                      <w:highlight w:val="none"/>
                      <w:lang w:val="en-US" w:eastAsia="zh-CN"/>
                    </w:rPr>
                    <w:t>HW49</w:t>
                  </w:r>
                </w:p>
              </w:tc>
              <w:tc>
                <w:tcPr>
                  <w:tcW w:w="987" w:type="dxa"/>
                  <w:tcBorders>
                    <w:left w:val="single" w:color="auto" w:sz="4" w:space="0"/>
                    <w:right w:val="single" w:color="auto" w:sz="4" w:space="0"/>
                  </w:tcBorders>
                  <w:noWrap w:val="0"/>
                  <w:vAlign w:val="center"/>
                </w:tcPr>
                <w:p>
                  <w:pPr>
                    <w:bidi w:val="0"/>
                    <w:jc w:val="center"/>
                    <w:rPr>
                      <w:rFonts w:hint="default" w:ascii="Times New Roman" w:hAnsi="Times New Roman" w:eastAsia="宋体" w:cs="Times New Roman"/>
                      <w:b w:val="0"/>
                      <w:i w:val="0"/>
                      <w:iCs w:val="0"/>
                      <w:color w:val="auto"/>
                      <w:sz w:val="21"/>
                      <w:szCs w:val="21"/>
                      <w:highlight w:val="none"/>
                    </w:rPr>
                  </w:pPr>
                  <w:r>
                    <w:rPr>
                      <w:rFonts w:hint="eastAsia"/>
                      <w:color w:val="auto"/>
                      <w:highlight w:val="none"/>
                      <w:lang w:val="en-US" w:eastAsia="zh-CN"/>
                    </w:rPr>
                    <w:t>900-249-08</w:t>
                  </w:r>
                </w:p>
              </w:tc>
              <w:tc>
                <w:tcPr>
                  <w:tcW w:w="815" w:type="dxa"/>
                  <w:tcBorders>
                    <w:left w:val="single" w:color="auto" w:sz="4" w:space="0"/>
                    <w:right w:val="single" w:color="auto" w:sz="4" w:space="0"/>
                  </w:tcBorders>
                  <w:noWrap w:val="0"/>
                  <w:vAlign w:val="center"/>
                </w:tcPr>
                <w:p>
                  <w:pPr>
                    <w:pStyle w:val="5"/>
                    <w:keepNext w:val="0"/>
                    <w:keepLines w:val="0"/>
                    <w:autoSpaceDE w:val="0"/>
                    <w:autoSpaceDN w:val="0"/>
                    <w:adjustRightInd w:val="0"/>
                    <w:snapToGrid w:val="0"/>
                    <w:spacing w:line="240" w:lineRule="auto"/>
                    <w:jc w:val="center"/>
                    <w:textAlignment w:val="baseline"/>
                    <w:rPr>
                      <w:rFonts w:hint="default" w:ascii="Times New Roman" w:hAnsi="Times New Roman" w:eastAsia="宋体" w:cs="Times New Roman"/>
                      <w:b w:val="0"/>
                      <w:i w:val="0"/>
                      <w:iCs w:val="0"/>
                      <w:color w:val="auto"/>
                      <w:sz w:val="21"/>
                      <w:szCs w:val="21"/>
                      <w:highlight w:val="none"/>
                      <w:lang w:val="en-US" w:eastAsia="zh-CN"/>
                    </w:rPr>
                  </w:pPr>
                  <w:r>
                    <w:rPr>
                      <w:rFonts w:hint="eastAsia" w:cs="Times New Roman"/>
                      <w:b w:val="0"/>
                      <w:i w:val="0"/>
                      <w:iCs w:val="0"/>
                      <w:color w:val="auto"/>
                      <w:sz w:val="21"/>
                      <w:szCs w:val="21"/>
                      <w:highlight w:val="none"/>
                      <w:lang w:val="en-US" w:eastAsia="zh-CN"/>
                    </w:rPr>
                    <w:t>0.05</w:t>
                  </w:r>
                </w:p>
              </w:tc>
              <w:tc>
                <w:tcPr>
                  <w:tcW w:w="829" w:type="dxa"/>
                  <w:tcBorders>
                    <w:left w:val="single" w:color="auto" w:sz="4" w:space="0"/>
                    <w:right w:val="single" w:color="auto" w:sz="4" w:space="0"/>
                  </w:tcBorders>
                  <w:noWrap w:val="0"/>
                  <w:vAlign w:val="center"/>
                </w:tcPr>
                <w:p>
                  <w:pPr>
                    <w:keepNext w:val="0"/>
                    <w:keepLines w:val="0"/>
                    <w:autoSpaceDE w:val="0"/>
                    <w:autoSpaceDN w:val="0"/>
                    <w:adjustRightInd w:val="0"/>
                    <w:snapToGrid w:val="0"/>
                    <w:spacing w:line="240" w:lineRule="auto"/>
                    <w:jc w:val="center"/>
                    <w:textAlignment w:val="baseline"/>
                    <w:rPr>
                      <w:rFonts w:hint="default" w:ascii="Times New Roman" w:hAnsi="Times New Roman" w:eastAsia="宋体" w:cs="Times New Roman"/>
                      <w:b w:val="0"/>
                      <w:i w:val="0"/>
                      <w:iCs w:val="0"/>
                      <w:color w:val="auto"/>
                      <w:sz w:val="21"/>
                      <w:szCs w:val="21"/>
                      <w:highlight w:val="none"/>
                    </w:rPr>
                  </w:pPr>
                  <w:r>
                    <w:rPr>
                      <w:rFonts w:hint="eastAsia" w:cs="Times New Roman"/>
                      <w:b w:val="0"/>
                      <w:i w:val="0"/>
                      <w:iCs w:val="0"/>
                      <w:color w:val="auto"/>
                      <w:sz w:val="21"/>
                      <w:szCs w:val="21"/>
                      <w:highlight w:val="none"/>
                      <w:lang w:val="en-US" w:eastAsia="zh-CN"/>
                    </w:rPr>
                    <w:t>机修</w:t>
                  </w:r>
                </w:p>
              </w:tc>
              <w:tc>
                <w:tcPr>
                  <w:tcW w:w="500" w:type="dxa"/>
                  <w:tcBorders>
                    <w:left w:val="single" w:color="auto" w:sz="4" w:space="0"/>
                    <w:right w:val="single" w:color="auto" w:sz="4" w:space="0"/>
                  </w:tcBorders>
                  <w:noWrap w:val="0"/>
                  <w:vAlign w:val="center"/>
                </w:tcPr>
                <w:p>
                  <w:pPr>
                    <w:keepNext w:val="0"/>
                    <w:keepLines w:val="0"/>
                    <w:autoSpaceDE w:val="0"/>
                    <w:autoSpaceDN w:val="0"/>
                    <w:adjustRightInd w:val="0"/>
                    <w:snapToGrid w:val="0"/>
                    <w:spacing w:line="240" w:lineRule="auto"/>
                    <w:jc w:val="center"/>
                    <w:textAlignment w:val="baseline"/>
                    <w:rPr>
                      <w:rFonts w:hint="default" w:ascii="Times New Roman" w:hAnsi="Times New Roman" w:eastAsia="宋体" w:cs="Times New Roman"/>
                      <w:b w:val="0"/>
                      <w:i w:val="0"/>
                      <w:iCs w:val="0"/>
                      <w:color w:val="auto"/>
                      <w:sz w:val="21"/>
                      <w:szCs w:val="21"/>
                      <w:highlight w:val="none"/>
                    </w:rPr>
                  </w:pPr>
                  <w:r>
                    <w:rPr>
                      <w:rFonts w:hint="eastAsia" w:cs="Times New Roman"/>
                      <w:b w:val="0"/>
                      <w:i w:val="0"/>
                      <w:iCs w:val="0"/>
                      <w:color w:val="auto"/>
                      <w:sz w:val="21"/>
                      <w:szCs w:val="21"/>
                      <w:highlight w:val="none"/>
                      <w:lang w:val="en-US" w:eastAsia="zh-CN"/>
                    </w:rPr>
                    <w:t>液</w:t>
                  </w:r>
                </w:p>
              </w:tc>
              <w:tc>
                <w:tcPr>
                  <w:tcW w:w="829" w:type="dxa"/>
                  <w:tcBorders>
                    <w:left w:val="single" w:color="auto" w:sz="4" w:space="0"/>
                    <w:right w:val="single" w:color="auto" w:sz="4" w:space="0"/>
                  </w:tcBorders>
                  <w:noWrap w:val="0"/>
                  <w:vAlign w:val="center"/>
                </w:tcPr>
                <w:p>
                  <w:pPr>
                    <w:pStyle w:val="5"/>
                    <w:keepNext w:val="0"/>
                    <w:keepLines w:val="0"/>
                    <w:autoSpaceDE w:val="0"/>
                    <w:autoSpaceDN w:val="0"/>
                    <w:adjustRightInd w:val="0"/>
                    <w:snapToGrid w:val="0"/>
                    <w:spacing w:line="240" w:lineRule="auto"/>
                    <w:jc w:val="center"/>
                    <w:textAlignment w:val="baseline"/>
                    <w:rPr>
                      <w:rFonts w:hint="default" w:ascii="Times New Roman" w:hAnsi="Times New Roman" w:eastAsia="宋体" w:cs="Times New Roman"/>
                      <w:b w:val="0"/>
                      <w:i w:val="0"/>
                      <w:iCs w:val="0"/>
                      <w:color w:val="auto"/>
                      <w:sz w:val="21"/>
                      <w:szCs w:val="21"/>
                      <w:highlight w:val="none"/>
                    </w:rPr>
                  </w:pPr>
                  <w:r>
                    <w:rPr>
                      <w:rFonts w:hint="eastAsia" w:cs="Times New Roman"/>
                      <w:b w:val="0"/>
                      <w:i w:val="0"/>
                      <w:iCs w:val="0"/>
                      <w:color w:val="auto"/>
                      <w:sz w:val="21"/>
                      <w:szCs w:val="21"/>
                      <w:highlight w:val="none"/>
                      <w:lang w:val="en-US" w:eastAsia="zh-CN"/>
                    </w:rPr>
                    <w:t>矿物油</w:t>
                  </w:r>
                </w:p>
              </w:tc>
              <w:tc>
                <w:tcPr>
                  <w:tcW w:w="566" w:type="dxa"/>
                  <w:tcBorders>
                    <w:left w:val="single" w:color="auto" w:sz="4" w:space="0"/>
                    <w:right w:val="single" w:color="auto" w:sz="4" w:space="0"/>
                  </w:tcBorders>
                  <w:noWrap w:val="0"/>
                  <w:vAlign w:val="center"/>
                </w:tcPr>
                <w:p>
                  <w:pPr>
                    <w:pStyle w:val="5"/>
                    <w:keepNext w:val="0"/>
                    <w:keepLines w:val="0"/>
                    <w:autoSpaceDE w:val="0"/>
                    <w:autoSpaceDN w:val="0"/>
                    <w:adjustRightInd w:val="0"/>
                    <w:snapToGrid w:val="0"/>
                    <w:spacing w:line="240" w:lineRule="auto"/>
                    <w:jc w:val="center"/>
                    <w:textAlignment w:val="baseline"/>
                    <w:rPr>
                      <w:rFonts w:hint="default" w:ascii="Times New Roman" w:hAnsi="Times New Roman" w:eastAsia="宋体" w:cs="Times New Roman"/>
                      <w:b w:val="0"/>
                      <w:i w:val="0"/>
                      <w:iCs w:val="0"/>
                      <w:color w:val="auto"/>
                      <w:sz w:val="21"/>
                      <w:szCs w:val="21"/>
                      <w:highlight w:val="none"/>
                      <w:lang w:val="en-US"/>
                    </w:rPr>
                  </w:pPr>
                  <w:r>
                    <w:rPr>
                      <w:rFonts w:hint="eastAsia" w:cs="Times New Roman"/>
                      <w:b w:val="0"/>
                      <w:i w:val="0"/>
                      <w:iCs w:val="0"/>
                      <w:color w:val="auto"/>
                      <w:sz w:val="21"/>
                      <w:szCs w:val="21"/>
                      <w:highlight w:val="none"/>
                      <w:lang w:val="en-US" w:eastAsia="zh-CN"/>
                    </w:rPr>
                    <w:t>废油</w:t>
                  </w:r>
                </w:p>
              </w:tc>
              <w:tc>
                <w:tcPr>
                  <w:tcW w:w="711" w:type="dxa"/>
                  <w:tcBorders>
                    <w:left w:val="single" w:color="auto" w:sz="4" w:space="0"/>
                    <w:right w:val="single" w:color="auto" w:sz="4" w:space="0"/>
                  </w:tcBorders>
                  <w:noWrap w:val="0"/>
                  <w:vAlign w:val="center"/>
                </w:tcPr>
                <w:p>
                  <w:pPr>
                    <w:keepNext w:val="0"/>
                    <w:keepLines w:val="0"/>
                    <w:autoSpaceDE w:val="0"/>
                    <w:autoSpaceDN w:val="0"/>
                    <w:adjustRightInd w:val="0"/>
                    <w:snapToGrid w:val="0"/>
                    <w:spacing w:line="240" w:lineRule="auto"/>
                    <w:jc w:val="center"/>
                    <w:textAlignment w:val="baseline"/>
                    <w:rPr>
                      <w:rFonts w:hint="default" w:ascii="Times New Roman" w:hAnsi="Times New Roman" w:eastAsia="宋体" w:cs="Times New Roman"/>
                      <w:b w:val="0"/>
                      <w:i w:val="0"/>
                      <w:iCs w:val="0"/>
                      <w:color w:val="auto"/>
                      <w:sz w:val="21"/>
                      <w:szCs w:val="21"/>
                      <w:highlight w:val="none"/>
                      <w:lang w:val="en-US" w:eastAsia="zh-CN"/>
                    </w:rPr>
                  </w:pPr>
                  <w:r>
                    <w:rPr>
                      <w:rFonts w:hint="eastAsia" w:ascii="Times New Roman" w:hAnsi="Times New Roman" w:cs="Times New Roman"/>
                      <w:b w:val="0"/>
                      <w:i w:val="0"/>
                      <w:iCs w:val="0"/>
                      <w:color w:val="auto"/>
                      <w:sz w:val="21"/>
                      <w:szCs w:val="21"/>
                      <w:highlight w:val="none"/>
                      <w:lang w:val="en-US" w:eastAsia="zh-CN"/>
                    </w:rPr>
                    <w:t>1</w:t>
                  </w:r>
                  <w:r>
                    <w:rPr>
                      <w:rFonts w:hint="default" w:ascii="Times New Roman" w:hAnsi="Times New Roman" w:cs="Times New Roman"/>
                      <w:b w:val="0"/>
                      <w:i w:val="0"/>
                      <w:iCs w:val="0"/>
                      <w:color w:val="auto"/>
                      <w:sz w:val="21"/>
                      <w:szCs w:val="21"/>
                      <w:highlight w:val="none"/>
                      <w:lang w:val="en-US" w:eastAsia="zh-CN"/>
                    </w:rPr>
                    <w:t>次/</w:t>
                  </w:r>
                  <w:r>
                    <w:rPr>
                      <w:rFonts w:hint="eastAsia" w:ascii="Times New Roman" w:hAnsi="Times New Roman" w:cs="Times New Roman"/>
                      <w:b w:val="0"/>
                      <w:i w:val="0"/>
                      <w:iCs w:val="0"/>
                      <w:color w:val="auto"/>
                      <w:sz w:val="21"/>
                      <w:szCs w:val="21"/>
                      <w:highlight w:val="none"/>
                      <w:lang w:val="en-US" w:eastAsia="zh-CN"/>
                    </w:rPr>
                    <w:t>2-3</w:t>
                  </w:r>
                  <w:r>
                    <w:rPr>
                      <w:rFonts w:hint="default" w:ascii="Times New Roman" w:hAnsi="Times New Roman" w:cs="Times New Roman"/>
                      <w:b w:val="0"/>
                      <w:i w:val="0"/>
                      <w:iCs w:val="0"/>
                      <w:color w:val="auto"/>
                      <w:sz w:val="21"/>
                      <w:szCs w:val="21"/>
                      <w:highlight w:val="none"/>
                      <w:lang w:val="en-US" w:eastAsia="zh-CN"/>
                    </w:rPr>
                    <w:t>a</w:t>
                  </w:r>
                </w:p>
              </w:tc>
              <w:tc>
                <w:tcPr>
                  <w:tcW w:w="605" w:type="dxa"/>
                  <w:tcBorders>
                    <w:left w:val="single" w:color="auto" w:sz="4" w:space="0"/>
                  </w:tcBorders>
                  <w:noWrap w:val="0"/>
                  <w:vAlign w:val="center"/>
                </w:tcPr>
                <w:p>
                  <w:pPr>
                    <w:bidi w:val="0"/>
                    <w:jc w:val="center"/>
                    <w:rPr>
                      <w:rFonts w:hint="default" w:ascii="Times New Roman" w:hAnsi="Times New Roman" w:eastAsia="宋体" w:cs="Times New Roman"/>
                      <w:b w:val="0"/>
                      <w:i w:val="0"/>
                      <w:iCs w:val="0"/>
                      <w:color w:val="auto"/>
                      <w:sz w:val="21"/>
                      <w:szCs w:val="21"/>
                      <w:highlight w:val="none"/>
                    </w:rPr>
                  </w:pPr>
                  <w:r>
                    <w:rPr>
                      <w:rFonts w:hint="eastAsia"/>
                      <w:color w:val="auto"/>
                      <w:highlight w:val="none"/>
                      <w:lang w:val="en-US" w:eastAsia="zh-CN"/>
                    </w:rPr>
                    <w:t>T,l</w:t>
                  </w:r>
                </w:p>
              </w:tc>
              <w:tc>
                <w:tcPr>
                  <w:tcW w:w="603" w:type="dxa"/>
                  <w:vMerge w:val="continue"/>
                  <w:tcBorders>
                    <w:right w:val="nil"/>
                  </w:tcBorders>
                  <w:noWrap w:val="0"/>
                  <w:vAlign w:val="center"/>
                </w:tcPr>
                <w:p>
                  <w:pPr>
                    <w:pStyle w:val="5"/>
                    <w:keepNext w:val="0"/>
                    <w:keepLines w:val="0"/>
                    <w:autoSpaceDE w:val="0"/>
                    <w:autoSpaceDN w:val="0"/>
                    <w:adjustRightInd w:val="0"/>
                    <w:snapToGrid w:val="0"/>
                    <w:spacing w:line="240" w:lineRule="auto"/>
                    <w:jc w:val="center"/>
                    <w:textAlignment w:val="baseline"/>
                    <w:rPr>
                      <w:rFonts w:hint="default" w:ascii="Times New Roman" w:hAnsi="Times New Roman" w:eastAsia="宋体" w:cs="Times New Roman"/>
                      <w:b w:val="0"/>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35" w:type="dxa"/>
                  <w:tcBorders>
                    <w:left w:val="nil"/>
                    <w:right w:val="single" w:color="auto" w:sz="4" w:space="0"/>
                  </w:tcBorders>
                  <w:noWrap w:val="0"/>
                  <w:vAlign w:val="center"/>
                </w:tcPr>
                <w:p>
                  <w:pPr>
                    <w:bidi w:val="0"/>
                    <w:jc w:val="center"/>
                    <w:rPr>
                      <w:rFonts w:hint="default" w:ascii="Times New Roman" w:hAnsi="Times New Roman" w:eastAsia="宋体" w:cs="Times New Roman"/>
                      <w:b w:val="0"/>
                      <w:i w:val="0"/>
                      <w:iCs w:val="0"/>
                      <w:color w:val="auto"/>
                      <w:sz w:val="21"/>
                      <w:szCs w:val="21"/>
                      <w:highlight w:val="none"/>
                      <w:lang w:val="en-US"/>
                    </w:rPr>
                  </w:pPr>
                  <w:r>
                    <w:rPr>
                      <w:rFonts w:hint="eastAsia"/>
                      <w:color w:val="auto"/>
                      <w:szCs w:val="21"/>
                      <w:highlight w:val="none"/>
                      <w:lang w:val="en-US" w:eastAsia="zh-CN"/>
                    </w:rPr>
                    <w:t>S8</w:t>
                  </w:r>
                </w:p>
              </w:tc>
              <w:tc>
                <w:tcPr>
                  <w:tcW w:w="883" w:type="dxa"/>
                  <w:tcBorders>
                    <w:left w:val="single" w:color="auto" w:sz="4" w:space="0"/>
                    <w:right w:val="single" w:color="auto" w:sz="4" w:space="0"/>
                  </w:tcBorders>
                  <w:noWrap w:val="0"/>
                  <w:vAlign w:val="center"/>
                </w:tcPr>
                <w:p>
                  <w:pPr>
                    <w:bidi w:val="0"/>
                    <w:jc w:val="center"/>
                    <w:rPr>
                      <w:rFonts w:hint="default" w:ascii="Times New Roman" w:hAnsi="Times New Roman" w:eastAsia="宋体" w:cs="Times New Roman"/>
                      <w:b w:val="0"/>
                      <w:i w:val="0"/>
                      <w:iCs w:val="0"/>
                      <w:color w:val="auto"/>
                      <w:kern w:val="2"/>
                      <w:sz w:val="21"/>
                      <w:szCs w:val="21"/>
                      <w:highlight w:val="none"/>
                      <w:lang w:val="en-US" w:eastAsia="zh-CN" w:bidi="ar-SA"/>
                    </w:rPr>
                  </w:pPr>
                  <w:r>
                    <w:rPr>
                      <w:rFonts w:hint="default"/>
                      <w:color w:val="auto"/>
                      <w:highlight w:val="none"/>
                      <w:lang w:val="en-US" w:eastAsia="zh-CN"/>
                    </w:rPr>
                    <w:t>含有机溶剂的废抹布</w:t>
                  </w:r>
                </w:p>
              </w:tc>
              <w:tc>
                <w:tcPr>
                  <w:tcW w:w="711" w:type="dxa"/>
                  <w:tcBorders>
                    <w:left w:val="single" w:color="auto" w:sz="4" w:space="0"/>
                    <w:right w:val="single" w:color="auto" w:sz="4" w:space="0"/>
                  </w:tcBorders>
                  <w:noWrap w:val="0"/>
                  <w:vAlign w:val="center"/>
                </w:tcPr>
                <w:p>
                  <w:pPr>
                    <w:pStyle w:val="71"/>
                    <w:keepNext w:val="0"/>
                    <w:keepLines w:val="0"/>
                    <w:pageBreakBefore w:val="0"/>
                    <w:widowControl w:val="0"/>
                    <w:kinsoku w:val="0"/>
                    <w:wordWrap/>
                    <w:overflowPunct w:val="0"/>
                    <w:topLinePunct w:val="0"/>
                    <w:autoSpaceDE/>
                    <w:autoSpaceDN/>
                    <w:bidi w:val="0"/>
                    <w:adjustRightInd/>
                    <w:snapToGrid/>
                    <w:jc w:val="center"/>
                    <w:textAlignment w:val="auto"/>
                    <w:rPr>
                      <w:rFonts w:hint="default" w:ascii="Times New Roman" w:hAnsi="Times New Roman" w:eastAsia="宋体" w:cs="Times New Roman"/>
                      <w:b w:val="0"/>
                      <w:i w:val="0"/>
                      <w:iCs w:val="0"/>
                      <w:color w:val="auto"/>
                      <w:sz w:val="21"/>
                      <w:szCs w:val="21"/>
                      <w:highlight w:val="none"/>
                      <w:lang w:val="en-US"/>
                    </w:rPr>
                  </w:pPr>
                  <w:r>
                    <w:rPr>
                      <w:rFonts w:hint="default" w:ascii="Times New Roman" w:hAnsi="Times New Roman" w:eastAsia="宋体" w:cs="Times New Roman"/>
                      <w:i w:val="0"/>
                      <w:iCs w:val="0"/>
                      <w:color w:val="auto"/>
                      <w:kern w:val="2"/>
                      <w:sz w:val="21"/>
                      <w:szCs w:val="21"/>
                      <w:highlight w:val="none"/>
                      <w:u w:val="none"/>
                      <w:lang w:val="en-US" w:eastAsia="zh-CN"/>
                    </w:rPr>
                    <w:t>HW49</w:t>
                  </w:r>
                </w:p>
              </w:tc>
              <w:tc>
                <w:tcPr>
                  <w:tcW w:w="987" w:type="dxa"/>
                  <w:tcBorders>
                    <w:left w:val="single" w:color="auto" w:sz="4" w:space="0"/>
                    <w:right w:val="single" w:color="auto" w:sz="4" w:space="0"/>
                  </w:tcBorders>
                  <w:noWrap w:val="0"/>
                  <w:vAlign w:val="center"/>
                </w:tcPr>
                <w:p>
                  <w:pPr>
                    <w:pStyle w:val="71"/>
                    <w:keepNext w:val="0"/>
                    <w:keepLines w:val="0"/>
                    <w:pageBreakBefore w:val="0"/>
                    <w:widowControl w:val="0"/>
                    <w:kinsoku w:val="0"/>
                    <w:wordWrap/>
                    <w:overflowPunct w:val="0"/>
                    <w:topLinePunct w:val="0"/>
                    <w:autoSpaceDE/>
                    <w:autoSpaceDN/>
                    <w:bidi w:val="0"/>
                    <w:adjustRightInd/>
                    <w:snapToGrid/>
                    <w:jc w:val="center"/>
                    <w:textAlignment w:val="auto"/>
                    <w:rPr>
                      <w:rFonts w:hint="default" w:ascii="Times New Roman" w:hAnsi="Times New Roman" w:eastAsia="宋体" w:cs="Times New Roman"/>
                      <w:b w:val="0"/>
                      <w:i w:val="0"/>
                      <w:iCs w:val="0"/>
                      <w:color w:val="auto"/>
                      <w:sz w:val="21"/>
                      <w:szCs w:val="21"/>
                      <w:highlight w:val="none"/>
                    </w:rPr>
                  </w:pPr>
                  <w:r>
                    <w:rPr>
                      <w:rFonts w:hint="default" w:ascii="Times New Roman" w:hAnsi="Times New Roman" w:eastAsia="宋体" w:cs="Times New Roman"/>
                      <w:i w:val="0"/>
                      <w:iCs w:val="0"/>
                      <w:color w:val="auto"/>
                      <w:kern w:val="2"/>
                      <w:sz w:val="21"/>
                      <w:szCs w:val="21"/>
                      <w:highlight w:val="none"/>
                      <w:u w:val="none"/>
                      <w:lang w:val="en-US" w:eastAsia="zh-CN"/>
                    </w:rPr>
                    <w:t>900-041-49</w:t>
                  </w:r>
                </w:p>
              </w:tc>
              <w:tc>
                <w:tcPr>
                  <w:tcW w:w="815" w:type="dxa"/>
                  <w:tcBorders>
                    <w:left w:val="single" w:color="auto" w:sz="4" w:space="0"/>
                    <w:right w:val="single" w:color="auto" w:sz="4" w:space="0"/>
                  </w:tcBorders>
                  <w:noWrap w:val="0"/>
                  <w:vAlign w:val="center"/>
                </w:tcPr>
                <w:p>
                  <w:pPr>
                    <w:pStyle w:val="5"/>
                    <w:keepNext w:val="0"/>
                    <w:keepLines w:val="0"/>
                    <w:autoSpaceDE w:val="0"/>
                    <w:autoSpaceDN w:val="0"/>
                    <w:adjustRightInd w:val="0"/>
                    <w:snapToGrid w:val="0"/>
                    <w:spacing w:line="240" w:lineRule="auto"/>
                    <w:jc w:val="center"/>
                    <w:textAlignment w:val="baseline"/>
                    <w:rPr>
                      <w:rFonts w:hint="default" w:ascii="Times New Roman" w:hAnsi="Times New Roman" w:eastAsia="宋体" w:cs="Times New Roman"/>
                      <w:b w:val="0"/>
                      <w:i w:val="0"/>
                      <w:iCs w:val="0"/>
                      <w:color w:val="auto"/>
                      <w:sz w:val="21"/>
                      <w:szCs w:val="21"/>
                      <w:highlight w:val="none"/>
                      <w:lang w:val="en-US" w:eastAsia="zh-CN"/>
                    </w:rPr>
                  </w:pPr>
                  <w:r>
                    <w:rPr>
                      <w:rFonts w:hint="eastAsia" w:cs="Times New Roman"/>
                      <w:b w:val="0"/>
                      <w:i w:val="0"/>
                      <w:iCs w:val="0"/>
                      <w:color w:val="auto"/>
                      <w:sz w:val="21"/>
                      <w:szCs w:val="21"/>
                      <w:highlight w:val="none"/>
                      <w:lang w:val="en-US" w:eastAsia="zh-CN"/>
                    </w:rPr>
                    <w:t>0.5</w:t>
                  </w:r>
                </w:p>
              </w:tc>
              <w:tc>
                <w:tcPr>
                  <w:tcW w:w="829" w:type="dxa"/>
                  <w:tcBorders>
                    <w:left w:val="single" w:color="auto" w:sz="4" w:space="0"/>
                    <w:right w:val="single" w:color="auto" w:sz="4" w:space="0"/>
                  </w:tcBorders>
                  <w:noWrap w:val="0"/>
                  <w:vAlign w:val="center"/>
                </w:tcPr>
                <w:p>
                  <w:pPr>
                    <w:keepNext w:val="0"/>
                    <w:keepLines w:val="0"/>
                    <w:autoSpaceDE w:val="0"/>
                    <w:autoSpaceDN w:val="0"/>
                    <w:adjustRightInd w:val="0"/>
                    <w:snapToGrid w:val="0"/>
                    <w:spacing w:line="240" w:lineRule="auto"/>
                    <w:jc w:val="center"/>
                    <w:textAlignment w:val="baseline"/>
                    <w:rPr>
                      <w:rFonts w:hint="default" w:ascii="Times New Roman" w:hAnsi="Times New Roman" w:eastAsia="宋体" w:cs="Times New Roman"/>
                      <w:b w:val="0"/>
                      <w:i w:val="0"/>
                      <w:iCs w:val="0"/>
                      <w:color w:val="auto"/>
                      <w:sz w:val="21"/>
                      <w:szCs w:val="21"/>
                      <w:highlight w:val="none"/>
                      <w:lang w:val="en-US" w:eastAsia="zh-CN"/>
                    </w:rPr>
                  </w:pPr>
                  <w:r>
                    <w:rPr>
                      <w:rFonts w:hint="eastAsia" w:cs="Times New Roman"/>
                      <w:b w:val="0"/>
                      <w:i w:val="0"/>
                      <w:iCs w:val="0"/>
                      <w:color w:val="auto"/>
                      <w:sz w:val="21"/>
                      <w:szCs w:val="21"/>
                      <w:highlight w:val="none"/>
                      <w:lang w:val="en-US" w:eastAsia="zh-CN"/>
                    </w:rPr>
                    <w:t>机修</w:t>
                  </w:r>
                </w:p>
              </w:tc>
              <w:tc>
                <w:tcPr>
                  <w:tcW w:w="500" w:type="dxa"/>
                  <w:tcBorders>
                    <w:left w:val="single" w:color="auto" w:sz="4" w:space="0"/>
                    <w:right w:val="single" w:color="auto" w:sz="4" w:space="0"/>
                  </w:tcBorders>
                  <w:noWrap w:val="0"/>
                  <w:vAlign w:val="center"/>
                </w:tcPr>
                <w:p>
                  <w:pPr>
                    <w:pStyle w:val="5"/>
                    <w:keepNext w:val="0"/>
                    <w:keepLines w:val="0"/>
                    <w:autoSpaceDE w:val="0"/>
                    <w:autoSpaceDN w:val="0"/>
                    <w:adjustRightInd w:val="0"/>
                    <w:snapToGrid w:val="0"/>
                    <w:spacing w:line="240" w:lineRule="auto"/>
                    <w:jc w:val="center"/>
                    <w:textAlignment w:val="baseline"/>
                    <w:rPr>
                      <w:rFonts w:hint="default" w:ascii="Times New Roman" w:hAnsi="Times New Roman" w:eastAsia="宋体" w:cs="Times New Roman"/>
                      <w:b w:val="0"/>
                      <w:i w:val="0"/>
                      <w:iCs w:val="0"/>
                      <w:color w:val="auto"/>
                      <w:sz w:val="21"/>
                      <w:szCs w:val="21"/>
                      <w:highlight w:val="none"/>
                    </w:rPr>
                  </w:pPr>
                  <w:r>
                    <w:rPr>
                      <w:rFonts w:hint="eastAsia" w:cs="Times New Roman"/>
                      <w:b w:val="0"/>
                      <w:i w:val="0"/>
                      <w:iCs w:val="0"/>
                      <w:color w:val="auto"/>
                      <w:sz w:val="21"/>
                      <w:szCs w:val="21"/>
                      <w:highlight w:val="none"/>
                      <w:lang w:val="en-US" w:eastAsia="zh-CN"/>
                    </w:rPr>
                    <w:t>固</w:t>
                  </w:r>
                </w:p>
              </w:tc>
              <w:tc>
                <w:tcPr>
                  <w:tcW w:w="829" w:type="dxa"/>
                  <w:tcBorders>
                    <w:left w:val="single" w:color="auto" w:sz="4" w:space="0"/>
                    <w:right w:val="single" w:color="auto" w:sz="4" w:space="0"/>
                  </w:tcBorders>
                  <w:noWrap w:val="0"/>
                  <w:vAlign w:val="center"/>
                </w:tcPr>
                <w:p>
                  <w:pPr>
                    <w:pStyle w:val="5"/>
                    <w:keepNext w:val="0"/>
                    <w:keepLines w:val="0"/>
                    <w:autoSpaceDE w:val="0"/>
                    <w:autoSpaceDN w:val="0"/>
                    <w:adjustRightInd w:val="0"/>
                    <w:snapToGrid w:val="0"/>
                    <w:spacing w:line="240" w:lineRule="auto"/>
                    <w:jc w:val="center"/>
                    <w:textAlignment w:val="baseline"/>
                    <w:rPr>
                      <w:rFonts w:hint="default" w:ascii="Times New Roman" w:hAnsi="Times New Roman" w:eastAsia="宋体" w:cs="Times New Roman"/>
                      <w:b w:val="0"/>
                      <w:i w:val="0"/>
                      <w:iCs w:val="0"/>
                      <w:color w:val="auto"/>
                      <w:sz w:val="21"/>
                      <w:szCs w:val="21"/>
                      <w:highlight w:val="none"/>
                      <w:lang w:val="en-US" w:eastAsia="zh-CN"/>
                    </w:rPr>
                  </w:pPr>
                  <w:r>
                    <w:rPr>
                      <w:rFonts w:hint="eastAsia" w:cs="Times New Roman"/>
                      <w:b w:val="0"/>
                      <w:i w:val="0"/>
                      <w:iCs w:val="0"/>
                      <w:color w:val="auto"/>
                      <w:sz w:val="21"/>
                      <w:szCs w:val="21"/>
                      <w:highlight w:val="none"/>
                      <w:lang w:val="en-US" w:eastAsia="zh-CN"/>
                    </w:rPr>
                    <w:t>矿物油</w:t>
                  </w:r>
                </w:p>
              </w:tc>
              <w:tc>
                <w:tcPr>
                  <w:tcW w:w="566" w:type="dxa"/>
                  <w:tcBorders>
                    <w:left w:val="single" w:color="auto" w:sz="4" w:space="0"/>
                    <w:right w:val="single" w:color="auto" w:sz="4" w:space="0"/>
                  </w:tcBorders>
                  <w:noWrap w:val="0"/>
                  <w:vAlign w:val="center"/>
                </w:tcPr>
                <w:p>
                  <w:pPr>
                    <w:pStyle w:val="5"/>
                    <w:keepNext w:val="0"/>
                    <w:keepLines w:val="0"/>
                    <w:autoSpaceDE w:val="0"/>
                    <w:autoSpaceDN w:val="0"/>
                    <w:adjustRightInd w:val="0"/>
                    <w:snapToGrid w:val="0"/>
                    <w:spacing w:line="240" w:lineRule="auto"/>
                    <w:jc w:val="center"/>
                    <w:textAlignment w:val="baseline"/>
                    <w:rPr>
                      <w:rFonts w:hint="default" w:ascii="Times New Roman" w:hAnsi="Times New Roman" w:eastAsia="宋体" w:cs="Times New Roman"/>
                      <w:b w:val="0"/>
                      <w:i w:val="0"/>
                      <w:iCs w:val="0"/>
                      <w:color w:val="auto"/>
                      <w:sz w:val="21"/>
                      <w:szCs w:val="21"/>
                      <w:highlight w:val="none"/>
                      <w:lang w:val="en-US" w:eastAsia="zh-CN"/>
                    </w:rPr>
                  </w:pPr>
                  <w:r>
                    <w:rPr>
                      <w:rFonts w:hint="eastAsia" w:cs="Times New Roman"/>
                      <w:b w:val="0"/>
                      <w:i w:val="0"/>
                      <w:iCs w:val="0"/>
                      <w:color w:val="auto"/>
                      <w:sz w:val="21"/>
                      <w:szCs w:val="21"/>
                      <w:highlight w:val="none"/>
                      <w:lang w:val="en-US" w:eastAsia="zh-CN"/>
                    </w:rPr>
                    <w:t>废油</w:t>
                  </w:r>
                </w:p>
              </w:tc>
              <w:tc>
                <w:tcPr>
                  <w:tcW w:w="711" w:type="dxa"/>
                  <w:tcBorders>
                    <w:left w:val="single" w:color="auto" w:sz="4" w:space="0"/>
                    <w:right w:val="single" w:color="auto" w:sz="4" w:space="0"/>
                  </w:tcBorders>
                  <w:noWrap w:val="0"/>
                  <w:vAlign w:val="center"/>
                </w:tcPr>
                <w:p>
                  <w:pPr>
                    <w:pStyle w:val="5"/>
                    <w:keepNext w:val="0"/>
                    <w:keepLines w:val="0"/>
                    <w:autoSpaceDE w:val="0"/>
                    <w:autoSpaceDN w:val="0"/>
                    <w:adjustRightInd w:val="0"/>
                    <w:snapToGrid w:val="0"/>
                    <w:spacing w:line="240" w:lineRule="auto"/>
                    <w:jc w:val="center"/>
                    <w:textAlignment w:val="baseline"/>
                    <w:rPr>
                      <w:rFonts w:hint="default" w:ascii="Times New Roman" w:hAnsi="Times New Roman" w:eastAsia="宋体" w:cs="Times New Roman"/>
                      <w:b w:val="0"/>
                      <w:i w:val="0"/>
                      <w:iCs w:val="0"/>
                      <w:color w:val="auto"/>
                      <w:sz w:val="21"/>
                      <w:szCs w:val="21"/>
                      <w:highlight w:val="none"/>
                      <w:lang w:val="en-US" w:eastAsia="zh-CN"/>
                    </w:rPr>
                  </w:pPr>
                  <w:r>
                    <w:rPr>
                      <w:rFonts w:hint="eastAsia" w:cs="Times New Roman"/>
                      <w:b w:val="0"/>
                      <w:i w:val="0"/>
                      <w:iCs w:val="0"/>
                      <w:color w:val="auto"/>
                      <w:sz w:val="21"/>
                      <w:szCs w:val="21"/>
                      <w:highlight w:val="none"/>
                      <w:lang w:val="en-US" w:eastAsia="zh-CN"/>
                    </w:rPr>
                    <w:t>4</w:t>
                  </w:r>
                  <w:r>
                    <w:rPr>
                      <w:rFonts w:hint="default" w:ascii="Times New Roman" w:hAnsi="Times New Roman" w:eastAsia="宋体" w:cs="Times New Roman"/>
                      <w:b w:val="0"/>
                      <w:i w:val="0"/>
                      <w:iCs w:val="0"/>
                      <w:color w:val="auto"/>
                      <w:sz w:val="21"/>
                      <w:szCs w:val="21"/>
                      <w:highlight w:val="none"/>
                    </w:rPr>
                    <w:t>次/</w:t>
                  </w:r>
                  <w:r>
                    <w:rPr>
                      <w:rFonts w:hint="eastAsia" w:cs="Times New Roman"/>
                      <w:b w:val="0"/>
                      <w:i w:val="0"/>
                      <w:iCs w:val="0"/>
                      <w:color w:val="auto"/>
                      <w:sz w:val="21"/>
                      <w:szCs w:val="21"/>
                      <w:highlight w:val="none"/>
                      <w:lang w:val="en-US" w:eastAsia="zh-CN"/>
                    </w:rPr>
                    <w:t>a</w:t>
                  </w:r>
                </w:p>
              </w:tc>
              <w:tc>
                <w:tcPr>
                  <w:tcW w:w="605" w:type="dxa"/>
                  <w:tcBorders>
                    <w:left w:val="single" w:color="auto" w:sz="4" w:space="0"/>
                  </w:tcBorders>
                  <w:noWrap w:val="0"/>
                  <w:vAlign w:val="center"/>
                </w:tcPr>
                <w:p>
                  <w:pPr>
                    <w:bidi w:val="0"/>
                    <w:jc w:val="center"/>
                    <w:rPr>
                      <w:rFonts w:hint="default" w:ascii="Times New Roman" w:hAnsi="Times New Roman" w:eastAsia="宋体" w:cs="Times New Roman"/>
                      <w:b w:val="0"/>
                      <w:i w:val="0"/>
                      <w:iCs w:val="0"/>
                      <w:color w:val="auto"/>
                      <w:sz w:val="21"/>
                      <w:szCs w:val="21"/>
                      <w:highlight w:val="none"/>
                    </w:rPr>
                  </w:pPr>
                  <w:r>
                    <w:rPr>
                      <w:rFonts w:hint="default" w:ascii="Times New Roman" w:hAnsi="Times New Roman" w:eastAsia="宋体" w:cs="Times New Roman"/>
                      <w:i w:val="0"/>
                      <w:iCs w:val="0"/>
                      <w:color w:val="auto"/>
                      <w:kern w:val="2"/>
                      <w:sz w:val="21"/>
                      <w:szCs w:val="21"/>
                      <w:highlight w:val="none"/>
                      <w:u w:val="none"/>
                      <w:lang w:val="en-US" w:eastAsia="zh-CN"/>
                    </w:rPr>
                    <w:t>T/In</w:t>
                  </w:r>
                </w:p>
              </w:tc>
              <w:tc>
                <w:tcPr>
                  <w:tcW w:w="603" w:type="dxa"/>
                  <w:vMerge w:val="continue"/>
                  <w:tcBorders>
                    <w:right w:val="nil"/>
                  </w:tcBorders>
                  <w:noWrap w:val="0"/>
                  <w:vAlign w:val="center"/>
                </w:tcPr>
                <w:p>
                  <w:pPr>
                    <w:pStyle w:val="5"/>
                    <w:keepNext w:val="0"/>
                    <w:keepLines w:val="0"/>
                    <w:autoSpaceDE w:val="0"/>
                    <w:autoSpaceDN w:val="0"/>
                    <w:adjustRightInd w:val="0"/>
                    <w:snapToGrid w:val="0"/>
                    <w:spacing w:line="240" w:lineRule="auto"/>
                    <w:jc w:val="center"/>
                    <w:textAlignment w:val="baseline"/>
                    <w:rPr>
                      <w:rFonts w:hint="default" w:ascii="Times New Roman" w:hAnsi="Times New Roman" w:eastAsia="宋体" w:cs="Times New Roman"/>
                      <w:b w:val="0"/>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435" w:type="dxa"/>
                  <w:tcBorders>
                    <w:left w:val="nil"/>
                    <w:right w:val="single" w:color="auto" w:sz="4" w:space="0"/>
                  </w:tcBorders>
                  <w:noWrap w:val="0"/>
                  <w:vAlign w:val="center"/>
                </w:tcPr>
                <w:p>
                  <w:pPr>
                    <w:bidi w:val="0"/>
                    <w:jc w:val="center"/>
                    <w:rPr>
                      <w:rFonts w:hint="default" w:ascii="Times New Roman" w:hAnsi="Times New Roman" w:eastAsia="宋体" w:cs="Times New Roman"/>
                      <w:b w:val="0"/>
                      <w:i w:val="0"/>
                      <w:iCs w:val="0"/>
                      <w:color w:val="auto"/>
                      <w:sz w:val="21"/>
                      <w:szCs w:val="21"/>
                      <w:highlight w:val="none"/>
                    </w:rPr>
                  </w:pPr>
                  <w:r>
                    <w:rPr>
                      <w:rFonts w:hint="eastAsia"/>
                      <w:color w:val="auto"/>
                      <w:szCs w:val="21"/>
                      <w:highlight w:val="none"/>
                      <w:lang w:val="en-US" w:eastAsia="zh-CN"/>
                    </w:rPr>
                    <w:t>S9</w:t>
                  </w:r>
                </w:p>
              </w:tc>
              <w:tc>
                <w:tcPr>
                  <w:tcW w:w="883" w:type="dxa"/>
                  <w:tcBorders>
                    <w:left w:val="single" w:color="auto" w:sz="4" w:space="0"/>
                    <w:right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废活性炭</w:t>
                  </w:r>
                </w:p>
              </w:tc>
              <w:tc>
                <w:tcPr>
                  <w:tcW w:w="711" w:type="dxa"/>
                  <w:tcBorders>
                    <w:left w:val="single" w:color="auto" w:sz="4" w:space="0"/>
                    <w:right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HW49</w:t>
                  </w:r>
                </w:p>
              </w:tc>
              <w:tc>
                <w:tcPr>
                  <w:tcW w:w="987" w:type="dxa"/>
                  <w:tcBorders>
                    <w:left w:val="single" w:color="auto" w:sz="4" w:space="0"/>
                    <w:right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900-0</w:t>
                  </w:r>
                  <w:r>
                    <w:rPr>
                      <w:rFonts w:hint="eastAsia" w:ascii="Times New Roman" w:hAnsi="Times New Roman" w:cs="Times New Roman"/>
                      <w:color w:val="auto"/>
                      <w:highlight w:val="none"/>
                      <w:lang w:val="en-US" w:eastAsia="zh-CN"/>
                    </w:rPr>
                    <w:t>39</w:t>
                  </w:r>
                  <w:r>
                    <w:rPr>
                      <w:rFonts w:hint="default" w:ascii="Times New Roman" w:hAnsi="Times New Roman" w:cs="Times New Roman"/>
                      <w:color w:val="auto"/>
                      <w:highlight w:val="none"/>
                      <w:lang w:val="en-US" w:eastAsia="zh-CN"/>
                    </w:rPr>
                    <w:t>-49</w:t>
                  </w:r>
                </w:p>
              </w:tc>
              <w:tc>
                <w:tcPr>
                  <w:tcW w:w="815" w:type="dxa"/>
                  <w:tcBorders>
                    <w:left w:val="single" w:color="auto" w:sz="4" w:space="0"/>
                    <w:right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3.0</w:t>
                  </w:r>
                </w:p>
              </w:tc>
              <w:tc>
                <w:tcPr>
                  <w:tcW w:w="829" w:type="dxa"/>
                  <w:tcBorders>
                    <w:left w:val="single" w:color="auto" w:sz="4" w:space="0"/>
                    <w:right w:val="single" w:color="auto" w:sz="4" w:space="0"/>
                  </w:tcBorders>
                  <w:noWrap w:val="0"/>
                  <w:vAlign w:val="center"/>
                </w:tcPr>
                <w:p>
                  <w:pPr>
                    <w:bidi w:val="0"/>
                    <w:jc w:val="center"/>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污染</w:t>
                  </w:r>
                </w:p>
                <w:p>
                  <w:pPr>
                    <w:bidi w:val="0"/>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治理</w:t>
                  </w:r>
                </w:p>
              </w:tc>
              <w:tc>
                <w:tcPr>
                  <w:tcW w:w="500" w:type="dxa"/>
                  <w:tcBorders>
                    <w:left w:val="single" w:color="auto" w:sz="4" w:space="0"/>
                    <w:right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固</w:t>
                  </w:r>
                </w:p>
              </w:tc>
              <w:tc>
                <w:tcPr>
                  <w:tcW w:w="829" w:type="dxa"/>
                  <w:tcBorders>
                    <w:left w:val="single" w:color="auto" w:sz="4" w:space="0"/>
                    <w:right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有机废气</w:t>
                  </w:r>
                </w:p>
              </w:tc>
              <w:tc>
                <w:tcPr>
                  <w:tcW w:w="566" w:type="dxa"/>
                  <w:tcBorders>
                    <w:left w:val="single" w:color="auto" w:sz="4" w:space="0"/>
                    <w:right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有机废气</w:t>
                  </w:r>
                </w:p>
              </w:tc>
              <w:tc>
                <w:tcPr>
                  <w:tcW w:w="711" w:type="dxa"/>
                  <w:tcBorders>
                    <w:left w:val="single" w:color="auto" w:sz="4" w:space="0"/>
                    <w:right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3-4次/a</w:t>
                  </w:r>
                </w:p>
              </w:tc>
              <w:tc>
                <w:tcPr>
                  <w:tcW w:w="605" w:type="dxa"/>
                  <w:tcBorders>
                    <w:left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T/In</w:t>
                  </w:r>
                </w:p>
              </w:tc>
              <w:tc>
                <w:tcPr>
                  <w:tcW w:w="603" w:type="dxa"/>
                  <w:vMerge w:val="continue"/>
                  <w:tcBorders>
                    <w:right w:val="nil"/>
                  </w:tcBorders>
                  <w:noWrap w:val="0"/>
                  <w:vAlign w:val="center"/>
                </w:tcPr>
                <w:p>
                  <w:pPr>
                    <w:pStyle w:val="5"/>
                    <w:keepNext w:val="0"/>
                    <w:keepLines w:val="0"/>
                    <w:autoSpaceDE w:val="0"/>
                    <w:autoSpaceDN w:val="0"/>
                    <w:adjustRightInd w:val="0"/>
                    <w:snapToGrid w:val="0"/>
                    <w:spacing w:line="240" w:lineRule="auto"/>
                    <w:jc w:val="center"/>
                    <w:textAlignment w:val="baseline"/>
                    <w:rPr>
                      <w:rFonts w:hint="default" w:ascii="Times New Roman" w:hAnsi="Times New Roman" w:eastAsia="宋体" w:cs="Times New Roman"/>
                      <w:b w:val="0"/>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435" w:type="dxa"/>
                  <w:tcBorders>
                    <w:left w:val="nil"/>
                    <w:bottom w:val="single" w:color="auto" w:sz="12" w:space="0"/>
                    <w:right w:val="single" w:color="auto" w:sz="4" w:space="0"/>
                  </w:tcBorders>
                  <w:noWrap w:val="0"/>
                  <w:vAlign w:val="center"/>
                </w:tcPr>
                <w:p>
                  <w:pPr>
                    <w:bidi w:val="0"/>
                    <w:jc w:val="center"/>
                    <w:rPr>
                      <w:rFonts w:hint="default" w:ascii="Times New Roman" w:hAnsi="Times New Roman" w:eastAsia="宋体" w:cs="Times New Roman"/>
                      <w:b w:val="0"/>
                      <w:i w:val="0"/>
                      <w:iCs w:val="0"/>
                      <w:color w:val="auto"/>
                      <w:sz w:val="21"/>
                      <w:szCs w:val="21"/>
                      <w:highlight w:val="none"/>
                      <w:lang w:val="en-US"/>
                    </w:rPr>
                  </w:pPr>
                  <w:r>
                    <w:rPr>
                      <w:rFonts w:hint="eastAsia"/>
                      <w:color w:val="auto"/>
                      <w:szCs w:val="21"/>
                      <w:highlight w:val="none"/>
                      <w:lang w:val="en-US" w:eastAsia="zh-CN"/>
                    </w:rPr>
                    <w:t>S10</w:t>
                  </w:r>
                </w:p>
              </w:tc>
              <w:tc>
                <w:tcPr>
                  <w:tcW w:w="883" w:type="dxa"/>
                  <w:tcBorders>
                    <w:left w:val="single" w:color="auto" w:sz="4" w:space="0"/>
                    <w:bottom w:val="single" w:color="auto" w:sz="12" w:space="0"/>
                    <w:right w:val="single" w:color="auto" w:sz="4" w:space="0"/>
                  </w:tcBorders>
                  <w:noWrap w:val="0"/>
                  <w:vAlign w:val="center"/>
                </w:tcPr>
                <w:p>
                  <w:pPr>
                    <w:bidi w:val="0"/>
                    <w:jc w:val="center"/>
                    <w:rPr>
                      <w:rFonts w:hint="eastAsia" w:ascii="Times New Roman" w:hAnsi="Times New Roman" w:cs="Times New Roman"/>
                      <w:color w:val="auto"/>
                      <w:highlight w:val="none"/>
                      <w:lang w:val="en-US" w:eastAsia="zh-CN"/>
                    </w:rPr>
                  </w:pPr>
                  <w:r>
                    <w:rPr>
                      <w:rFonts w:hint="eastAsia" w:cs="Times New Roman"/>
                      <w:color w:val="auto"/>
                      <w:highlight w:val="none"/>
                      <w:lang w:val="en-US" w:eastAsia="zh-CN"/>
                    </w:rPr>
                    <w:t>沾染原料的废包装品</w:t>
                  </w:r>
                </w:p>
              </w:tc>
              <w:tc>
                <w:tcPr>
                  <w:tcW w:w="711" w:type="dxa"/>
                  <w:tcBorders>
                    <w:left w:val="single" w:color="auto" w:sz="4" w:space="0"/>
                    <w:bottom w:val="single" w:color="auto" w:sz="12" w:space="0"/>
                    <w:right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HW49</w:t>
                  </w:r>
                </w:p>
              </w:tc>
              <w:tc>
                <w:tcPr>
                  <w:tcW w:w="987" w:type="dxa"/>
                  <w:tcBorders>
                    <w:left w:val="single" w:color="auto" w:sz="4" w:space="0"/>
                    <w:bottom w:val="single" w:color="auto" w:sz="12" w:space="0"/>
                    <w:right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900-041-49</w:t>
                  </w:r>
                </w:p>
              </w:tc>
              <w:tc>
                <w:tcPr>
                  <w:tcW w:w="815" w:type="dxa"/>
                  <w:tcBorders>
                    <w:left w:val="single" w:color="auto" w:sz="4" w:space="0"/>
                    <w:bottom w:val="single" w:color="auto" w:sz="12" w:space="0"/>
                    <w:right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0.15</w:t>
                  </w:r>
                </w:p>
              </w:tc>
              <w:tc>
                <w:tcPr>
                  <w:tcW w:w="829" w:type="dxa"/>
                  <w:tcBorders>
                    <w:left w:val="single" w:color="auto" w:sz="4" w:space="0"/>
                    <w:bottom w:val="single" w:color="auto" w:sz="12" w:space="0"/>
                    <w:right w:val="single" w:color="auto" w:sz="4" w:space="0"/>
                  </w:tcBorders>
                  <w:noWrap w:val="0"/>
                  <w:vAlign w:val="center"/>
                </w:tcPr>
                <w:p>
                  <w:pPr>
                    <w:bidi w:val="0"/>
                    <w:jc w:val="center"/>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辅料</w:t>
                  </w:r>
                </w:p>
              </w:tc>
              <w:tc>
                <w:tcPr>
                  <w:tcW w:w="500" w:type="dxa"/>
                  <w:tcBorders>
                    <w:left w:val="single" w:color="auto" w:sz="4" w:space="0"/>
                    <w:bottom w:val="single" w:color="auto" w:sz="12" w:space="0"/>
                    <w:right w:val="single" w:color="auto" w:sz="4" w:space="0"/>
                  </w:tcBorders>
                  <w:noWrap w:val="0"/>
                  <w:vAlign w:val="center"/>
                </w:tcPr>
                <w:p>
                  <w:pPr>
                    <w:bidi w:val="0"/>
                    <w:jc w:val="center"/>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固</w:t>
                  </w:r>
                </w:p>
              </w:tc>
              <w:tc>
                <w:tcPr>
                  <w:tcW w:w="829" w:type="dxa"/>
                  <w:tcBorders>
                    <w:left w:val="single" w:color="auto" w:sz="4" w:space="0"/>
                    <w:bottom w:val="single" w:color="auto" w:sz="12" w:space="0"/>
                    <w:right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有机溶剂</w:t>
                  </w:r>
                </w:p>
              </w:tc>
              <w:tc>
                <w:tcPr>
                  <w:tcW w:w="566" w:type="dxa"/>
                  <w:tcBorders>
                    <w:left w:val="single" w:color="auto" w:sz="4" w:space="0"/>
                    <w:bottom w:val="single" w:color="auto" w:sz="12" w:space="0"/>
                    <w:right w:val="single" w:color="auto" w:sz="4" w:space="0"/>
                  </w:tcBorders>
                  <w:noWrap w:val="0"/>
                  <w:vAlign w:val="center"/>
                </w:tcPr>
                <w:p>
                  <w:pPr>
                    <w:bidi w:val="0"/>
                    <w:jc w:val="center"/>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有机溶剂</w:t>
                  </w:r>
                </w:p>
              </w:tc>
              <w:tc>
                <w:tcPr>
                  <w:tcW w:w="711" w:type="dxa"/>
                  <w:tcBorders>
                    <w:left w:val="single" w:color="auto" w:sz="4" w:space="0"/>
                    <w:bottom w:val="single" w:color="auto" w:sz="12" w:space="0"/>
                    <w:right w:val="single" w:color="auto" w:sz="4" w:space="0"/>
                  </w:tcBorders>
                  <w:noWrap w:val="0"/>
                  <w:vAlign w:val="center"/>
                </w:tcPr>
                <w:p>
                  <w:pPr>
                    <w:bidi w:val="0"/>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12次/a</w:t>
                  </w:r>
                </w:p>
              </w:tc>
              <w:tc>
                <w:tcPr>
                  <w:tcW w:w="605" w:type="dxa"/>
                  <w:tcBorders>
                    <w:left w:val="single" w:color="auto" w:sz="4" w:space="0"/>
                    <w:bottom w:val="single" w:color="auto" w:sz="12" w:space="0"/>
                  </w:tcBorders>
                  <w:noWrap w:val="0"/>
                  <w:vAlign w:val="center"/>
                </w:tcPr>
                <w:p>
                  <w:pPr>
                    <w:bidi w:val="0"/>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T/In</w:t>
                  </w:r>
                </w:p>
              </w:tc>
              <w:tc>
                <w:tcPr>
                  <w:tcW w:w="603" w:type="dxa"/>
                  <w:vMerge w:val="continue"/>
                  <w:tcBorders>
                    <w:bottom w:val="single" w:color="auto" w:sz="12" w:space="0"/>
                    <w:right w:val="nil"/>
                  </w:tcBorders>
                  <w:noWrap w:val="0"/>
                  <w:vAlign w:val="center"/>
                </w:tcPr>
                <w:p>
                  <w:pPr>
                    <w:pStyle w:val="5"/>
                    <w:keepNext w:val="0"/>
                    <w:keepLines w:val="0"/>
                    <w:autoSpaceDE w:val="0"/>
                    <w:autoSpaceDN w:val="0"/>
                    <w:adjustRightInd w:val="0"/>
                    <w:snapToGrid w:val="0"/>
                    <w:spacing w:line="240" w:lineRule="auto"/>
                    <w:jc w:val="center"/>
                    <w:textAlignment w:val="baseline"/>
                    <w:rPr>
                      <w:rFonts w:hint="default" w:ascii="Times New Roman" w:hAnsi="Times New Roman" w:eastAsia="宋体" w:cs="Times New Roman"/>
                      <w:b w:val="0"/>
                      <w:i w:val="0"/>
                      <w:iCs w:val="0"/>
                      <w:color w:val="auto"/>
                      <w:sz w:val="21"/>
                      <w:szCs w:val="21"/>
                      <w:highlight w:val="none"/>
                    </w:rPr>
                  </w:pPr>
                </w:p>
              </w:tc>
            </w:tr>
          </w:tbl>
          <w:p>
            <w:pPr>
              <w:widowControl/>
              <w:spacing w:line="240" w:lineRule="auto"/>
              <w:ind w:firstLine="420" w:firstLineChars="200"/>
              <w:rPr>
                <w:color w:val="auto"/>
                <w:highlight w:val="none"/>
              </w:rPr>
            </w:pPr>
          </w:p>
          <w:p>
            <w:pPr>
              <w:widowControl/>
              <w:spacing w:line="360" w:lineRule="auto"/>
              <w:ind w:firstLine="482" w:firstLineChars="200"/>
              <w:rPr>
                <w:b/>
                <w:bCs/>
                <w:color w:val="auto"/>
                <w:sz w:val="24"/>
                <w:highlight w:val="none"/>
              </w:rPr>
            </w:pPr>
            <w:r>
              <w:rPr>
                <w:b/>
                <w:bCs/>
                <w:color w:val="auto"/>
                <w:sz w:val="24"/>
                <w:highlight w:val="none"/>
              </w:rPr>
              <w:t>4.2环境管理要求</w:t>
            </w:r>
          </w:p>
          <w:p>
            <w:pPr>
              <w:widowControl/>
              <w:spacing w:line="360" w:lineRule="auto"/>
              <w:ind w:firstLine="482" w:firstLineChars="200"/>
              <w:rPr>
                <w:b/>
                <w:bCs/>
                <w:color w:val="auto"/>
                <w:sz w:val="24"/>
                <w:highlight w:val="none"/>
              </w:rPr>
            </w:pPr>
            <w:r>
              <w:rPr>
                <w:b/>
                <w:bCs/>
                <w:color w:val="auto"/>
                <w:sz w:val="24"/>
                <w:highlight w:val="none"/>
              </w:rPr>
              <w:t>4.2.1一般固废管理要求</w:t>
            </w:r>
          </w:p>
          <w:p>
            <w:pPr>
              <w:pStyle w:val="78"/>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left"/>
              <w:textAlignment w:val="auto"/>
              <w:rPr>
                <w:color w:val="auto"/>
                <w:sz w:val="24"/>
                <w:highlight w:val="none"/>
              </w:rPr>
            </w:pPr>
            <w:r>
              <w:rPr>
                <w:color w:val="auto"/>
                <w:sz w:val="24"/>
                <w:highlight w:val="none"/>
              </w:rPr>
              <w:t>项目产生的一般固废包括生活垃圾及一般工业固体废物。其中生活垃圾集中收集后暂存于垃圾箱内，定期交由环卫部门。项目产生的一般工业固废物包括</w:t>
            </w:r>
            <w:r>
              <w:rPr>
                <w:rFonts w:hint="eastAsia" w:ascii="Times New Roman" w:hAnsi="Times New Roman" w:cs="Times New Roman"/>
                <w:i w:val="0"/>
                <w:iCs w:val="0"/>
                <w:color w:val="auto"/>
                <w:highlight w:val="none"/>
                <w:u w:val="none"/>
                <w:lang w:val="en-US" w:eastAsia="zh-CN"/>
              </w:rPr>
              <w:t>不合格品（S1）、袋式除尘器废弃布袋及集尘粉（S3）及</w:t>
            </w:r>
            <w:r>
              <w:rPr>
                <w:rFonts w:hint="eastAsia"/>
                <w:i w:val="0"/>
                <w:iCs w:val="0"/>
                <w:color w:val="auto"/>
                <w:highlight w:val="none"/>
                <w:u w:val="none"/>
                <w:lang w:val="en-US" w:eastAsia="zh-CN"/>
              </w:rPr>
              <w:t>原料废包装袋</w:t>
            </w:r>
            <w:r>
              <w:rPr>
                <w:rFonts w:hint="eastAsia" w:ascii="Times New Roman" w:hAnsi="Times New Roman" w:cs="Times New Roman"/>
                <w:i w:val="0"/>
                <w:iCs w:val="0"/>
                <w:color w:val="auto"/>
                <w:highlight w:val="none"/>
                <w:u w:val="none"/>
                <w:lang w:val="en-US" w:eastAsia="zh-CN"/>
              </w:rPr>
              <w:t>（S4）</w:t>
            </w:r>
            <w:r>
              <w:rPr>
                <w:color w:val="auto"/>
                <w:sz w:val="24"/>
                <w:highlight w:val="none"/>
              </w:rPr>
              <w:t>。</w:t>
            </w:r>
          </w:p>
          <w:p>
            <w:pPr>
              <w:widowControl/>
              <w:spacing w:line="360" w:lineRule="auto"/>
              <w:ind w:firstLine="480" w:firstLineChars="200"/>
              <w:rPr>
                <w:color w:val="auto"/>
                <w:sz w:val="24"/>
                <w:highlight w:val="none"/>
              </w:rPr>
            </w:pPr>
            <w:r>
              <w:rPr>
                <w:color w:val="auto"/>
                <w:sz w:val="24"/>
                <w:highlight w:val="none"/>
              </w:rPr>
              <w:t>一般工业固体废物管理要求如下：</w:t>
            </w:r>
          </w:p>
          <w:p>
            <w:pPr>
              <w:widowControl/>
              <w:spacing w:line="360" w:lineRule="auto"/>
              <w:ind w:firstLine="480" w:firstLineChars="200"/>
              <w:rPr>
                <w:color w:val="auto"/>
                <w:sz w:val="24"/>
                <w:highlight w:val="none"/>
              </w:rPr>
            </w:pPr>
            <w:r>
              <w:rPr>
                <w:color w:val="auto"/>
                <w:sz w:val="24"/>
                <w:highlight w:val="none"/>
              </w:rPr>
              <w:t>A、按照《一般工业固体废物贮存和填埋污染控制标准》（GB18599-2020）的要求设置暂存场所。</w:t>
            </w:r>
          </w:p>
          <w:p>
            <w:pPr>
              <w:widowControl/>
              <w:spacing w:line="360" w:lineRule="auto"/>
              <w:ind w:firstLine="480" w:firstLineChars="200"/>
              <w:rPr>
                <w:color w:val="auto"/>
                <w:sz w:val="24"/>
                <w:highlight w:val="none"/>
              </w:rPr>
            </w:pPr>
            <w:r>
              <w:rPr>
                <w:color w:val="auto"/>
                <w:sz w:val="24"/>
                <w:highlight w:val="none"/>
              </w:rPr>
              <w:t>B、贮存、处置场的设置必须与将要堆放的一般工业固体废物的类别相一致。</w:t>
            </w:r>
          </w:p>
          <w:p>
            <w:pPr>
              <w:widowControl/>
              <w:spacing w:line="360" w:lineRule="auto"/>
              <w:ind w:firstLine="480" w:firstLineChars="200"/>
              <w:rPr>
                <w:color w:val="auto"/>
                <w:sz w:val="24"/>
                <w:highlight w:val="none"/>
              </w:rPr>
            </w:pPr>
            <w:r>
              <w:rPr>
                <w:color w:val="auto"/>
                <w:sz w:val="24"/>
                <w:highlight w:val="none"/>
              </w:rPr>
              <w:t>C、不得露天堆放，防止雨水进入产生二次污染。</w:t>
            </w:r>
          </w:p>
          <w:p>
            <w:pPr>
              <w:widowControl/>
              <w:spacing w:line="360" w:lineRule="auto"/>
              <w:ind w:firstLine="480" w:firstLineChars="200"/>
              <w:rPr>
                <w:color w:val="auto"/>
                <w:sz w:val="24"/>
                <w:highlight w:val="none"/>
              </w:rPr>
            </w:pPr>
            <w:r>
              <w:rPr>
                <w:color w:val="auto"/>
                <w:sz w:val="24"/>
                <w:highlight w:val="none"/>
              </w:rPr>
              <w:t>D、贮存、处置场使用单位，应建立检查维护制度，定期检查维护，发现有损坏可能或异常，应及时采取必要措施，以保障正常运行。</w:t>
            </w:r>
          </w:p>
          <w:p>
            <w:pPr>
              <w:widowControl/>
              <w:spacing w:line="360" w:lineRule="auto"/>
              <w:ind w:firstLine="480" w:firstLineChars="200"/>
              <w:rPr>
                <w:color w:val="auto"/>
                <w:sz w:val="24"/>
                <w:highlight w:val="none"/>
              </w:rPr>
            </w:pPr>
            <w:r>
              <w:rPr>
                <w:color w:val="auto"/>
                <w:sz w:val="24"/>
                <w:highlight w:val="none"/>
              </w:rPr>
              <w:t>E、单位须针对此对员工进行培训，加强安全及防止污染的意识，培训通过后方可上岗，对于固体废弃物的收集、运输要实施专人专职管理制度并建立工业固体废物管理台账。应将入场的一般工业固体废物的种类和数量以及下列资料，详细记录在案，长期保存，供随时查阅。</w:t>
            </w:r>
          </w:p>
          <w:p>
            <w:pPr>
              <w:pStyle w:val="23"/>
              <w:spacing w:line="360" w:lineRule="auto"/>
              <w:ind w:left="0" w:leftChars="0" w:firstLine="482" w:firstLineChars="200"/>
              <w:rPr>
                <w:b/>
                <w:bCs/>
                <w:color w:val="auto"/>
                <w:sz w:val="24"/>
                <w:highlight w:val="none"/>
              </w:rPr>
            </w:pPr>
            <w:r>
              <w:rPr>
                <w:b/>
                <w:bCs/>
                <w:color w:val="auto"/>
                <w:sz w:val="24"/>
                <w:highlight w:val="none"/>
              </w:rPr>
              <w:t>4.2.2危险废物管理要求</w:t>
            </w:r>
          </w:p>
          <w:p>
            <w:pPr>
              <w:pStyle w:val="63"/>
              <w:spacing w:line="360" w:lineRule="auto"/>
              <w:ind w:firstLine="480" w:firstLineChars="200"/>
              <w:rPr>
                <w:color w:val="auto"/>
                <w:highlight w:val="none"/>
              </w:rPr>
            </w:pPr>
            <w:r>
              <w:rPr>
                <w:bCs/>
                <w:iCs/>
                <w:color w:val="auto"/>
                <w:highlight w:val="none"/>
              </w:rPr>
              <w:t>本项目产生的危险废物暂存于</w:t>
            </w:r>
            <w:r>
              <w:rPr>
                <w:color w:val="auto"/>
                <w:kern w:val="0"/>
                <w:highlight w:val="none"/>
                <w:lang w:bidi="ar"/>
              </w:rPr>
              <w:t>危险废物暂存间，危险废物暂存间</w:t>
            </w:r>
            <w:r>
              <w:rPr>
                <w:rFonts w:hint="eastAsia"/>
                <w:color w:val="auto"/>
                <w:kern w:val="0"/>
                <w:highlight w:val="none"/>
                <w:lang w:val="en-US" w:eastAsia="zh-CN" w:bidi="ar"/>
              </w:rPr>
              <w:t>依托</w:t>
            </w:r>
            <w:r>
              <w:rPr>
                <w:color w:val="auto"/>
                <w:kern w:val="0"/>
                <w:highlight w:val="none"/>
                <w:lang w:bidi="ar"/>
              </w:rPr>
              <w:t>企业</w:t>
            </w:r>
            <w:r>
              <w:rPr>
                <w:rFonts w:hint="eastAsia"/>
                <w:color w:val="auto"/>
                <w:kern w:val="0"/>
                <w:highlight w:val="none"/>
                <w:lang w:val="en-US" w:eastAsia="zh-CN" w:bidi="ar"/>
              </w:rPr>
              <w:t>现有位于</w:t>
            </w:r>
            <w:r>
              <w:rPr>
                <w:color w:val="auto"/>
                <w:kern w:val="0"/>
                <w:highlight w:val="none"/>
                <w:lang w:bidi="ar"/>
              </w:rPr>
              <w:t>存储区</w:t>
            </w:r>
            <w:r>
              <w:rPr>
                <w:rFonts w:hint="eastAsia"/>
                <w:color w:val="auto"/>
                <w:kern w:val="0"/>
                <w:highlight w:val="none"/>
                <w:lang w:val="en-US" w:eastAsia="zh-CN" w:bidi="ar"/>
              </w:rPr>
              <w:t>西侧</w:t>
            </w:r>
            <w:r>
              <w:rPr>
                <w:color w:val="auto"/>
                <w:kern w:val="0"/>
                <w:highlight w:val="none"/>
                <w:lang w:bidi="ar"/>
              </w:rPr>
              <w:t>的危险废物暂存间，面积</w:t>
            </w:r>
            <w:r>
              <w:rPr>
                <w:rFonts w:hint="eastAsia"/>
                <w:color w:val="auto"/>
                <w:kern w:val="0"/>
                <w:highlight w:val="none"/>
                <w:lang w:val="en-US" w:eastAsia="zh-CN" w:bidi="ar"/>
              </w:rPr>
              <w:t>约为</w:t>
            </w:r>
            <w:r>
              <w:rPr>
                <w:color w:val="auto"/>
                <w:kern w:val="0"/>
                <w:highlight w:val="none"/>
                <w:lang w:bidi="ar"/>
              </w:rPr>
              <w:t>10m</w:t>
            </w:r>
            <w:r>
              <w:rPr>
                <w:color w:val="auto"/>
                <w:kern w:val="0"/>
                <w:highlight w:val="none"/>
                <w:vertAlign w:val="superscript"/>
                <w:lang w:bidi="ar"/>
              </w:rPr>
              <w:t>2</w:t>
            </w:r>
            <w:r>
              <w:rPr>
                <w:color w:val="auto"/>
                <w:kern w:val="0"/>
                <w:highlight w:val="none"/>
                <w:lang w:bidi="ar"/>
              </w:rPr>
              <w:t>，贮存能力约为50t，</w:t>
            </w:r>
          </w:p>
          <w:p>
            <w:pPr>
              <w:pStyle w:val="63"/>
              <w:spacing w:line="360" w:lineRule="auto"/>
              <w:ind w:firstLine="480" w:firstLineChars="200"/>
              <w:rPr>
                <w:color w:val="auto"/>
                <w:sz w:val="24"/>
                <w:highlight w:val="none"/>
              </w:rPr>
            </w:pPr>
            <w:r>
              <w:rPr>
                <w:color w:val="auto"/>
                <w:kern w:val="0"/>
                <w:highlight w:val="none"/>
                <w:lang w:bidi="ar"/>
              </w:rPr>
              <w:t>暂存间地面</w:t>
            </w:r>
            <w:r>
              <w:rPr>
                <w:rFonts w:hint="eastAsia"/>
                <w:color w:val="auto"/>
                <w:kern w:val="0"/>
                <w:highlight w:val="none"/>
                <w:lang w:val="en-US" w:eastAsia="zh-CN" w:bidi="ar"/>
              </w:rPr>
              <w:t>已经做好</w:t>
            </w:r>
            <w:r>
              <w:rPr>
                <w:color w:val="auto"/>
                <w:kern w:val="0"/>
                <w:highlight w:val="none"/>
                <w:lang w:bidi="ar"/>
              </w:rPr>
              <w:t>防渗处理，</w:t>
            </w:r>
            <w:r>
              <w:rPr>
                <w:rFonts w:hint="eastAsia" w:ascii="Times New Roman" w:hAnsi="Times New Roman" w:cs="Times New Roman"/>
                <w:color w:val="auto"/>
                <w:kern w:val="0"/>
                <w:highlight w:val="none"/>
                <w:lang w:val="en-US" w:eastAsia="zh-CN" w:bidi="ar"/>
              </w:rPr>
              <w:t>暂存间</w:t>
            </w:r>
            <w:r>
              <w:rPr>
                <w:rFonts w:ascii="Times New Roman" w:hAnsi="Times New Roman" w:cs="Times New Roman"/>
                <w:color w:val="auto"/>
                <w:kern w:val="0"/>
                <w:highlight w:val="none"/>
                <w:lang w:bidi="ar"/>
              </w:rPr>
              <w:t>防风、防晒、防雨、防漏</w:t>
            </w:r>
            <w:r>
              <w:rPr>
                <w:rFonts w:hint="eastAsia"/>
                <w:color w:val="auto"/>
                <w:kern w:val="0"/>
                <w:highlight w:val="none"/>
                <w:lang w:val="en-US" w:eastAsia="zh-CN" w:bidi="ar"/>
              </w:rPr>
              <w:t>，危险废物分类存放，每个区域</w:t>
            </w:r>
            <w:r>
              <w:rPr>
                <w:color w:val="auto"/>
                <w:kern w:val="0"/>
                <w:highlight w:val="none"/>
                <w:lang w:bidi="ar"/>
              </w:rPr>
              <w:t>四周设置0.5m高防渗围堰，</w:t>
            </w:r>
            <w:r>
              <w:rPr>
                <w:rFonts w:hint="eastAsia"/>
                <w:color w:val="auto"/>
                <w:kern w:val="0"/>
                <w:highlight w:val="none"/>
                <w:lang w:val="en-US" w:eastAsia="zh-CN" w:bidi="ar"/>
              </w:rPr>
              <w:t>地面</w:t>
            </w:r>
            <w:r>
              <w:rPr>
                <w:color w:val="auto"/>
                <w:kern w:val="0"/>
                <w:highlight w:val="none"/>
                <w:lang w:bidi="ar"/>
              </w:rPr>
              <w:t>渗透系数≤10</w:t>
            </w:r>
            <w:r>
              <w:rPr>
                <w:color w:val="auto"/>
                <w:kern w:val="0"/>
                <w:highlight w:val="none"/>
                <w:vertAlign w:val="superscript"/>
                <w:lang w:bidi="ar"/>
              </w:rPr>
              <w:t>-10</w:t>
            </w:r>
            <w:r>
              <w:rPr>
                <w:color w:val="auto"/>
                <w:kern w:val="0"/>
                <w:highlight w:val="none"/>
                <w:lang w:bidi="ar"/>
              </w:rPr>
              <w:t>cm/s</w:t>
            </w:r>
            <w:r>
              <w:rPr>
                <w:rFonts w:hint="eastAsia"/>
                <w:color w:val="auto"/>
                <w:kern w:val="0"/>
                <w:highlight w:val="none"/>
                <w:lang w:eastAsia="zh-CN" w:bidi="ar"/>
              </w:rPr>
              <w:t>；</w:t>
            </w:r>
            <w:r>
              <w:rPr>
                <w:rFonts w:hint="eastAsia"/>
                <w:color w:val="auto"/>
                <w:sz w:val="24"/>
                <w:highlight w:val="none"/>
                <w:lang w:val="en-US" w:eastAsia="zh-CN"/>
              </w:rPr>
              <w:t>已经按照</w:t>
            </w:r>
            <w:r>
              <w:rPr>
                <w:color w:val="auto"/>
                <w:sz w:val="24"/>
                <w:highlight w:val="none"/>
              </w:rPr>
              <w:t>GB15562.2的规定设置</w:t>
            </w:r>
            <w:r>
              <w:rPr>
                <w:rFonts w:hint="eastAsia"/>
                <w:color w:val="auto"/>
                <w:sz w:val="24"/>
                <w:highlight w:val="none"/>
                <w:lang w:val="en-US" w:eastAsia="zh-CN"/>
              </w:rPr>
              <w:t>了</w:t>
            </w:r>
            <w:r>
              <w:rPr>
                <w:color w:val="auto"/>
                <w:sz w:val="24"/>
                <w:highlight w:val="none"/>
              </w:rPr>
              <w:t>警示标志。</w:t>
            </w:r>
          </w:p>
          <w:p>
            <w:pPr>
              <w:widowControl/>
              <w:spacing w:line="360" w:lineRule="auto"/>
              <w:ind w:firstLine="480" w:firstLineChars="200"/>
              <w:rPr>
                <w:rFonts w:ascii="Times New Roman" w:hAnsi="Times New Roman" w:eastAsia="宋体" w:cs="Times New Roman"/>
                <w:color w:val="auto"/>
                <w:kern w:val="2"/>
                <w:sz w:val="24"/>
                <w:szCs w:val="24"/>
                <w:highlight w:val="none"/>
                <w:lang w:val="en-US" w:eastAsia="zh-CN" w:bidi="ar-SA"/>
              </w:rPr>
            </w:pPr>
            <w:r>
              <w:rPr>
                <w:rFonts w:ascii="Times New Roman" w:hAnsi="Times New Roman" w:eastAsia="宋体" w:cs="Times New Roman"/>
                <w:color w:val="auto"/>
                <w:kern w:val="2"/>
                <w:sz w:val="24"/>
                <w:szCs w:val="24"/>
                <w:highlight w:val="none"/>
                <w:lang w:val="en-US" w:eastAsia="zh-CN" w:bidi="ar-SA"/>
              </w:rPr>
              <w:t>暂存间配备</w:t>
            </w:r>
            <w:r>
              <w:rPr>
                <w:rFonts w:hint="eastAsia" w:ascii="Times New Roman" w:hAnsi="Times New Roman" w:eastAsia="宋体" w:cs="Times New Roman"/>
                <w:color w:val="auto"/>
                <w:kern w:val="2"/>
                <w:sz w:val="24"/>
                <w:szCs w:val="24"/>
                <w:highlight w:val="none"/>
                <w:lang w:val="en-US" w:eastAsia="zh-CN" w:bidi="ar-SA"/>
              </w:rPr>
              <w:t>了</w:t>
            </w:r>
            <w:r>
              <w:rPr>
                <w:rFonts w:ascii="Times New Roman" w:hAnsi="Times New Roman" w:eastAsia="宋体" w:cs="Times New Roman"/>
                <w:color w:val="auto"/>
                <w:kern w:val="2"/>
                <w:sz w:val="24"/>
                <w:szCs w:val="24"/>
                <w:highlight w:val="none"/>
                <w:lang w:val="en-US" w:eastAsia="zh-CN" w:bidi="ar-SA"/>
              </w:rPr>
              <w:t>通讯设备、照明设施、安全防护服装及工具，并设有应急防护设施。</w:t>
            </w:r>
          </w:p>
          <w:p>
            <w:pPr>
              <w:widowControl/>
              <w:spacing w:line="360" w:lineRule="auto"/>
              <w:ind w:firstLine="480" w:firstLineChars="200"/>
              <w:rPr>
                <w:color w:val="auto"/>
                <w:sz w:val="24"/>
                <w:highlight w:val="none"/>
              </w:rPr>
            </w:pPr>
            <w:r>
              <w:rPr>
                <w:color w:val="auto"/>
                <w:sz w:val="24"/>
                <w:highlight w:val="none"/>
              </w:rPr>
              <w:t>危险废物贮存设施内清理出来的泄漏物，一律按危险废物处理。</w:t>
            </w:r>
          </w:p>
          <w:p>
            <w:pPr>
              <w:widowControl/>
              <w:spacing w:line="360" w:lineRule="auto"/>
              <w:ind w:firstLine="480" w:firstLineChars="200"/>
              <w:rPr>
                <w:rFonts w:hint="eastAsia" w:ascii="Times New Roman" w:hAnsi="Times New Roman" w:eastAsia="宋体" w:cs="Times New Roman"/>
                <w:color w:val="auto"/>
                <w:sz w:val="24"/>
                <w:highlight w:val="none"/>
                <w:lang w:val="en-US" w:eastAsia="zh-CN"/>
              </w:rPr>
            </w:pPr>
            <w:r>
              <w:rPr>
                <w:color w:val="auto"/>
                <w:sz w:val="24"/>
                <w:highlight w:val="none"/>
              </w:rPr>
              <w:t>危险废物分区贮存，每个贮存区域之间宜设置挡墙间隔</w:t>
            </w:r>
            <w:r>
              <w:rPr>
                <w:rFonts w:hint="eastAsia"/>
                <w:color w:val="auto"/>
                <w:sz w:val="24"/>
                <w:highlight w:val="none"/>
                <w:lang w:eastAsia="zh-CN"/>
              </w:rPr>
              <w:t>；</w:t>
            </w:r>
            <w:r>
              <w:rPr>
                <w:rFonts w:hint="eastAsia"/>
                <w:color w:val="auto"/>
                <w:sz w:val="24"/>
                <w:highlight w:val="none"/>
                <w:lang w:val="en-US" w:eastAsia="zh-CN"/>
              </w:rPr>
              <w:t>已根据</w:t>
            </w:r>
            <w:r>
              <w:rPr>
                <w:color w:val="auto"/>
                <w:sz w:val="24"/>
                <w:highlight w:val="none"/>
              </w:rPr>
              <w:t>贮存的危废种类和特性设置标志。</w:t>
            </w:r>
            <w:r>
              <w:rPr>
                <w:rFonts w:ascii="Times New Roman" w:hAnsi="Times New Roman" w:cs="Times New Roman"/>
                <w:color w:val="auto"/>
                <w:sz w:val="24"/>
                <w:highlight w:val="none"/>
              </w:rPr>
              <w:drawing>
                <wp:inline distT="0" distB="0" distL="114300" distR="114300">
                  <wp:extent cx="5715" cy="5715"/>
                  <wp:effectExtent l="0" t="0" r="0" b="0"/>
                  <wp:docPr id="32" name="图片 1"/>
                  <wp:cNvGraphicFramePr/>
                  <a:graphic xmlns:a="http://schemas.openxmlformats.org/drawingml/2006/main">
                    <a:graphicData uri="http://schemas.openxmlformats.org/drawingml/2006/picture">
                      <pic:pic xmlns:pic="http://schemas.openxmlformats.org/drawingml/2006/picture">
                        <pic:nvPicPr>
                          <pic:cNvPr id="32" name="图片 1"/>
                          <pic:cNvPicPr/>
                        </pic:nvPicPr>
                        <pic:blipFill>
                          <a:blip r:embed="rId13"/>
                          <a:stretch>
                            <a:fillRect/>
                          </a:stretch>
                        </pic:blipFill>
                        <pic:spPr>
                          <a:xfrm>
                            <a:off x="0" y="0"/>
                            <a:ext cx="5715" cy="5715"/>
                          </a:xfrm>
                          <a:prstGeom prst="rect">
                            <a:avLst/>
                          </a:prstGeom>
                          <a:noFill/>
                          <a:ln>
                            <a:noFill/>
                          </a:ln>
                        </pic:spPr>
                      </pic:pic>
                    </a:graphicData>
                  </a:graphic>
                </wp:inline>
              </w:drawing>
            </w:r>
            <w:r>
              <w:rPr>
                <w:rFonts w:hint="eastAsia" w:ascii="Times New Roman" w:hAnsi="Times New Roman" w:cs="Times New Roman"/>
                <w:color w:val="auto"/>
                <w:sz w:val="24"/>
                <w:highlight w:val="none"/>
                <w:lang w:val="en-US" w:eastAsia="zh-CN"/>
              </w:rPr>
              <w:t>满足</w:t>
            </w:r>
            <w:r>
              <w:rPr>
                <w:rFonts w:ascii="Times New Roman" w:hAnsi="Times New Roman" w:cs="Times New Roman"/>
                <w:color w:val="auto"/>
                <w:sz w:val="24"/>
                <w:highlight w:val="none"/>
              </w:rPr>
              <w:t>《危险废物贮存污染控制标准》（</w:t>
            </w:r>
            <w:r>
              <w:rPr>
                <w:rFonts w:hint="eastAsia" w:ascii="Times New Roman" w:hAnsi="Times New Roman" w:cs="Times New Roman"/>
                <w:color w:val="auto"/>
                <w:sz w:val="24"/>
                <w:highlight w:val="none"/>
                <w:lang w:eastAsia="zh-CN"/>
              </w:rPr>
              <w:t>GB18597-2023</w:t>
            </w:r>
            <w:r>
              <w:rPr>
                <w:rFonts w:ascii="Times New Roman" w:hAnsi="Times New Roman" w:cs="Times New Roman"/>
                <w:color w:val="auto"/>
                <w:sz w:val="24"/>
                <w:highlight w:val="none"/>
              </w:rPr>
              <w:t>）相关要求</w:t>
            </w:r>
            <w:r>
              <w:rPr>
                <w:rFonts w:hint="eastAsia" w:ascii="Times New Roman" w:hAnsi="Times New Roman" w:cs="Times New Roman"/>
                <w:color w:val="auto"/>
                <w:sz w:val="24"/>
                <w:highlight w:val="none"/>
                <w:lang w:eastAsia="zh-CN"/>
              </w:rPr>
              <w:t>。</w:t>
            </w:r>
          </w:p>
          <w:p>
            <w:pPr>
              <w:pStyle w:val="63"/>
              <w:spacing w:line="360" w:lineRule="auto"/>
              <w:ind w:firstLine="480" w:firstLineChars="200"/>
              <w:rPr>
                <w:rFonts w:hint="default" w:ascii="Times New Roman" w:hAnsi="Times New Roman" w:cs="Times New Roman"/>
                <w:color w:val="auto"/>
                <w:kern w:val="0"/>
                <w:highlight w:val="none"/>
                <w:lang w:val="en-US" w:eastAsia="zh-CN" w:bidi="ar"/>
              </w:rPr>
            </w:pPr>
            <w:r>
              <w:rPr>
                <w:rFonts w:hint="eastAsia" w:ascii="Times New Roman" w:hAnsi="Times New Roman" w:cs="Times New Roman"/>
                <w:color w:val="auto"/>
                <w:kern w:val="0"/>
                <w:highlight w:val="none"/>
                <w:lang w:val="en-US" w:eastAsia="zh-CN" w:bidi="ar"/>
              </w:rPr>
              <w:t>因此，本项目依托原有项目危险废物暂存间可行。</w:t>
            </w:r>
          </w:p>
          <w:p>
            <w:pPr>
              <w:widowControl/>
              <w:spacing w:line="360" w:lineRule="auto"/>
              <w:ind w:firstLine="482" w:firstLineChars="200"/>
              <w:rPr>
                <w:b/>
                <w:bCs/>
                <w:color w:val="auto"/>
                <w:sz w:val="24"/>
                <w:highlight w:val="none"/>
              </w:rPr>
            </w:pPr>
            <w:r>
              <w:rPr>
                <w:b/>
                <w:bCs/>
                <w:color w:val="auto"/>
                <w:sz w:val="24"/>
                <w:highlight w:val="none"/>
              </w:rPr>
              <w:t>5.地下水、土壤环境影响分析</w:t>
            </w:r>
          </w:p>
          <w:p>
            <w:pPr>
              <w:spacing w:line="360" w:lineRule="auto"/>
              <w:ind w:firstLine="482"/>
              <w:rPr>
                <w:rFonts w:hint="eastAsia" w:ascii="Times New Roman" w:hAnsi="Times New Roman" w:eastAsia="宋体" w:cs="Times New Roman"/>
                <w:i w:val="0"/>
                <w:iCs w:val="0"/>
                <w:color w:val="auto"/>
                <w:sz w:val="24"/>
                <w:highlight w:val="none"/>
                <w:shd w:val="clear" w:color="auto" w:fill="auto"/>
                <w:lang w:val="en-US" w:eastAsia="zh-CN"/>
              </w:rPr>
            </w:pPr>
            <w:r>
              <w:rPr>
                <w:rFonts w:hint="default" w:ascii="Times New Roman" w:hAnsi="Times New Roman" w:eastAsia="宋体" w:cs="Times New Roman"/>
                <w:i w:val="0"/>
                <w:iCs w:val="0"/>
                <w:color w:val="auto"/>
                <w:sz w:val="24"/>
                <w:highlight w:val="none"/>
                <w:shd w:val="clear" w:color="auto" w:fill="auto"/>
                <w:lang w:val="en-US" w:eastAsia="zh-CN"/>
              </w:rPr>
              <w:t>根据《环境影响评价技术导则-地下水环境》（HJ610-2016）。</w:t>
            </w:r>
            <w:r>
              <w:rPr>
                <w:rFonts w:hint="eastAsia" w:cs="Times New Roman"/>
                <w:i w:val="0"/>
                <w:iCs w:val="0"/>
                <w:color w:val="auto"/>
                <w:sz w:val="24"/>
                <w:highlight w:val="none"/>
                <w:shd w:val="clear" w:color="auto" w:fill="auto"/>
                <w:lang w:val="en-US" w:eastAsia="zh-CN"/>
              </w:rPr>
              <w:t>”</w:t>
            </w:r>
            <w:r>
              <w:rPr>
                <w:rFonts w:hint="default" w:ascii="Times New Roman" w:hAnsi="Times New Roman" w:eastAsia="宋体" w:cs="Times New Roman"/>
                <w:i w:val="0"/>
                <w:iCs w:val="0"/>
                <w:color w:val="auto"/>
                <w:sz w:val="24"/>
                <w:highlight w:val="none"/>
                <w:shd w:val="clear" w:color="auto" w:fill="auto"/>
                <w:lang w:val="en-US" w:eastAsia="zh-CN"/>
              </w:rPr>
              <w:t>本项目属于Ⅳ类</w:t>
            </w:r>
            <w:r>
              <w:rPr>
                <w:rFonts w:hint="eastAsia" w:ascii="Times New Roman" w:hAnsi="Times New Roman" w:eastAsia="宋体" w:cs="Times New Roman"/>
                <w:i w:val="0"/>
                <w:iCs w:val="0"/>
                <w:color w:val="auto"/>
                <w:sz w:val="24"/>
                <w:highlight w:val="none"/>
                <w:shd w:val="clear" w:color="auto" w:fill="auto"/>
                <w:lang w:val="en-US" w:eastAsia="zh-CN"/>
              </w:rPr>
              <w:t>项目；</w:t>
            </w:r>
            <w:r>
              <w:rPr>
                <w:rFonts w:hint="default" w:ascii="Times New Roman" w:hAnsi="Times New Roman" w:eastAsia="宋体" w:cs="Times New Roman"/>
                <w:i w:val="0"/>
                <w:iCs w:val="0"/>
                <w:color w:val="auto"/>
                <w:sz w:val="24"/>
                <w:highlight w:val="none"/>
                <w:shd w:val="clear" w:color="auto" w:fill="auto"/>
                <w:lang w:val="en-US" w:eastAsia="zh-CN"/>
              </w:rPr>
              <w:t>根据《环境影响评价技术导则-土壤环境（试行）》（HJ964-2018）中Ⅳ类</w:t>
            </w:r>
            <w:r>
              <w:rPr>
                <w:rFonts w:hint="eastAsia" w:ascii="Times New Roman" w:hAnsi="Times New Roman" w:eastAsia="宋体" w:cs="Times New Roman"/>
                <w:i w:val="0"/>
                <w:iCs w:val="0"/>
                <w:color w:val="auto"/>
                <w:sz w:val="24"/>
                <w:highlight w:val="none"/>
                <w:shd w:val="clear" w:color="auto" w:fill="auto"/>
                <w:lang w:val="en-US" w:eastAsia="zh-CN"/>
              </w:rPr>
              <w:t>项目，</w:t>
            </w:r>
            <w:r>
              <w:rPr>
                <w:rFonts w:hint="default" w:ascii="Times New Roman" w:hAnsi="Times New Roman" w:eastAsia="宋体" w:cs="Times New Roman"/>
                <w:i w:val="0"/>
                <w:iCs w:val="0"/>
                <w:color w:val="auto"/>
                <w:sz w:val="24"/>
                <w:highlight w:val="none"/>
                <w:shd w:val="clear" w:color="auto" w:fill="auto"/>
                <w:lang w:val="en-US" w:eastAsia="zh-CN"/>
              </w:rPr>
              <w:t>故本项目并不开展</w:t>
            </w:r>
            <w:r>
              <w:rPr>
                <w:rFonts w:hint="eastAsia" w:ascii="Times New Roman" w:hAnsi="Times New Roman" w:eastAsia="宋体" w:cs="Times New Roman"/>
                <w:i w:val="0"/>
                <w:iCs w:val="0"/>
                <w:color w:val="auto"/>
                <w:sz w:val="24"/>
                <w:highlight w:val="none"/>
                <w:shd w:val="clear" w:color="auto" w:fill="auto"/>
                <w:lang w:val="en-US" w:eastAsia="zh-CN"/>
              </w:rPr>
              <w:t>地下水、土壤</w:t>
            </w:r>
            <w:r>
              <w:rPr>
                <w:rFonts w:hint="default" w:ascii="Times New Roman" w:hAnsi="Times New Roman" w:eastAsia="宋体" w:cs="Times New Roman"/>
                <w:i w:val="0"/>
                <w:iCs w:val="0"/>
                <w:color w:val="auto"/>
                <w:sz w:val="24"/>
                <w:highlight w:val="none"/>
                <w:shd w:val="clear" w:color="auto" w:fill="auto"/>
                <w:lang w:val="en-US" w:eastAsia="zh-CN"/>
              </w:rPr>
              <w:t>环境影响评价工作。</w:t>
            </w:r>
          </w:p>
          <w:p>
            <w:pPr>
              <w:widowControl/>
              <w:spacing w:line="360" w:lineRule="auto"/>
              <w:ind w:firstLine="482" w:firstLineChars="200"/>
              <w:rPr>
                <w:b/>
                <w:bCs/>
                <w:color w:val="auto"/>
                <w:sz w:val="24"/>
                <w:highlight w:val="none"/>
              </w:rPr>
            </w:pPr>
            <w:r>
              <w:rPr>
                <w:b/>
                <w:bCs/>
                <w:color w:val="auto"/>
                <w:sz w:val="24"/>
                <w:highlight w:val="none"/>
              </w:rPr>
              <w:t>6、环境风险</w:t>
            </w:r>
          </w:p>
          <w:p>
            <w:pPr>
              <w:widowControl/>
              <w:spacing w:line="360" w:lineRule="auto"/>
              <w:ind w:firstLine="480" w:firstLineChars="200"/>
              <w:rPr>
                <w:b w:val="0"/>
                <w:bCs w:val="0"/>
                <w:color w:val="auto"/>
                <w:sz w:val="24"/>
                <w:highlight w:val="none"/>
              </w:rPr>
            </w:pPr>
            <w:r>
              <w:rPr>
                <w:b w:val="0"/>
                <w:bCs w:val="0"/>
                <w:color w:val="auto"/>
                <w:sz w:val="24"/>
                <w:highlight w:val="none"/>
              </w:rPr>
              <w:t>6.1风险物质和风险源分布情况</w:t>
            </w:r>
          </w:p>
          <w:p>
            <w:pPr>
              <w:pStyle w:val="100"/>
              <w:spacing w:line="360" w:lineRule="auto"/>
              <w:ind w:firstLine="480" w:firstLineChars="200"/>
              <w:rPr>
                <w:rFonts w:hint="eastAsia" w:ascii="Times New Roman" w:hAnsi="Times New Roman" w:eastAsia="宋体"/>
                <w:color w:val="auto"/>
                <w:spacing w:val="0"/>
                <w:sz w:val="24"/>
                <w:szCs w:val="20"/>
                <w:highlight w:val="none"/>
                <w:lang w:eastAsia="zh-CN"/>
              </w:rPr>
            </w:pPr>
            <w:r>
              <w:rPr>
                <w:rFonts w:hint="eastAsia" w:ascii="Times New Roman" w:hAnsi="Times New Roman" w:eastAsia="宋体"/>
                <w:color w:val="auto"/>
                <w:spacing w:val="0"/>
                <w:sz w:val="24"/>
                <w:szCs w:val="20"/>
                <w:highlight w:val="none"/>
                <w:lang w:eastAsia="zh-CN"/>
              </w:rPr>
              <w:t>（</w:t>
            </w:r>
            <w:r>
              <w:rPr>
                <w:rFonts w:hint="eastAsia" w:ascii="Times New Roman" w:hAnsi="Times New Roman" w:eastAsia="宋体"/>
                <w:color w:val="auto"/>
                <w:spacing w:val="0"/>
                <w:sz w:val="24"/>
                <w:szCs w:val="20"/>
                <w:highlight w:val="none"/>
                <w:lang w:val="en-US" w:eastAsia="zh-CN"/>
              </w:rPr>
              <w:t>1</w:t>
            </w:r>
            <w:r>
              <w:rPr>
                <w:rFonts w:hint="eastAsia" w:ascii="Times New Roman" w:hAnsi="Times New Roman" w:eastAsia="宋体"/>
                <w:color w:val="auto"/>
                <w:spacing w:val="0"/>
                <w:sz w:val="24"/>
                <w:szCs w:val="20"/>
                <w:highlight w:val="none"/>
                <w:lang w:eastAsia="zh-CN"/>
              </w:rPr>
              <w:t>）</w:t>
            </w:r>
            <w:r>
              <w:rPr>
                <w:rFonts w:hint="default" w:ascii="Times New Roman" w:hAnsi="Times New Roman" w:cs="Times New Roman"/>
                <w:b w:val="0"/>
                <w:bCs w:val="0"/>
                <w:color w:val="auto"/>
                <w:sz w:val="24"/>
                <w:szCs w:val="24"/>
                <w:highlight w:val="none"/>
                <w:lang w:eastAsia="zh-CN"/>
              </w:rPr>
              <w:t>风险</w:t>
            </w:r>
            <w:r>
              <w:rPr>
                <w:rFonts w:hint="eastAsia" w:ascii="Times New Roman" w:hAnsi="Times New Roman" w:cs="Times New Roman"/>
                <w:b w:val="0"/>
                <w:bCs w:val="0"/>
                <w:color w:val="auto"/>
                <w:sz w:val="24"/>
                <w:szCs w:val="24"/>
                <w:highlight w:val="none"/>
                <w:lang w:eastAsia="zh-CN"/>
              </w:rPr>
              <w:t>物质和风险源分布情况</w:t>
            </w:r>
          </w:p>
          <w:p>
            <w:pPr>
              <w:pStyle w:val="100"/>
              <w:spacing w:line="360" w:lineRule="auto"/>
              <w:ind w:firstLine="480" w:firstLineChars="200"/>
              <w:rPr>
                <w:rFonts w:ascii="Times New Roman" w:hAnsi="Times New Roman" w:eastAsia="Times New Roman"/>
                <w:color w:val="auto"/>
                <w:spacing w:val="0"/>
                <w:sz w:val="24"/>
                <w:szCs w:val="20"/>
                <w:highlight w:val="none"/>
              </w:rPr>
            </w:pPr>
            <w:r>
              <w:rPr>
                <w:rFonts w:ascii="Times New Roman" w:hAnsi="Times New Roman" w:eastAsia="Times New Roman"/>
                <w:color w:val="auto"/>
                <w:spacing w:val="0"/>
                <w:sz w:val="24"/>
                <w:szCs w:val="20"/>
                <w:highlight w:val="none"/>
              </w:rPr>
              <w:t>本项目主要风险物质为</w:t>
            </w:r>
            <w:r>
              <w:rPr>
                <w:rFonts w:hint="eastAsia" w:ascii="Times New Roman" w:hAnsi="Times New Roman" w:eastAsia="宋体"/>
                <w:color w:val="auto"/>
                <w:spacing w:val="0"/>
                <w:sz w:val="24"/>
                <w:szCs w:val="20"/>
                <w:highlight w:val="none"/>
                <w:lang w:val="en-US" w:eastAsia="zh-CN"/>
              </w:rPr>
              <w:t>生产过程</w:t>
            </w:r>
            <w:r>
              <w:rPr>
                <w:rFonts w:ascii="Times New Roman" w:hAnsi="Times New Roman" w:eastAsia="Times New Roman"/>
                <w:color w:val="auto"/>
                <w:spacing w:val="0"/>
                <w:sz w:val="24"/>
                <w:szCs w:val="20"/>
                <w:highlight w:val="none"/>
              </w:rPr>
              <w:t>使用</w:t>
            </w:r>
            <w:r>
              <w:rPr>
                <w:rFonts w:hint="eastAsia" w:ascii="Times New Roman" w:hAnsi="Times New Roman" w:eastAsia="宋体"/>
                <w:color w:val="auto"/>
                <w:spacing w:val="0"/>
                <w:sz w:val="24"/>
                <w:szCs w:val="20"/>
                <w:highlight w:val="none"/>
                <w:lang w:val="en-US" w:eastAsia="zh-CN"/>
              </w:rPr>
              <w:t>的</w:t>
            </w:r>
            <w:r>
              <w:rPr>
                <w:rFonts w:ascii="Times New Roman" w:hAnsi="Times New Roman" w:eastAsia="Times New Roman"/>
                <w:color w:val="auto"/>
                <w:spacing w:val="0"/>
                <w:sz w:val="24"/>
                <w:szCs w:val="20"/>
                <w:highlight w:val="none"/>
              </w:rPr>
              <w:t>危险化学品</w:t>
            </w:r>
            <w:r>
              <w:rPr>
                <w:rFonts w:hint="eastAsia" w:ascii="Times New Roman" w:hAnsi="Times New Roman" w:eastAsia="Times New Roman"/>
                <w:color w:val="auto"/>
                <w:spacing w:val="0"/>
                <w:sz w:val="24"/>
                <w:szCs w:val="20"/>
                <w:highlight w:val="none"/>
              </w:rPr>
              <w:t>及试剂</w:t>
            </w:r>
            <w:r>
              <w:rPr>
                <w:rFonts w:hint="eastAsia" w:ascii="Times New Roman" w:hAnsi="Times New Roman" w:eastAsia="宋体"/>
                <w:color w:val="auto"/>
                <w:spacing w:val="0"/>
                <w:sz w:val="24"/>
                <w:szCs w:val="20"/>
                <w:highlight w:val="none"/>
                <w:lang w:eastAsia="zh-CN"/>
              </w:rPr>
              <w:t>、</w:t>
            </w:r>
            <w:r>
              <w:rPr>
                <w:rFonts w:hint="eastAsia" w:ascii="Times New Roman" w:hAnsi="Times New Roman" w:eastAsia="宋体"/>
                <w:color w:val="auto"/>
                <w:spacing w:val="0"/>
                <w:sz w:val="24"/>
                <w:szCs w:val="20"/>
                <w:highlight w:val="none"/>
                <w:lang w:val="en-US" w:eastAsia="zh-CN"/>
              </w:rPr>
              <w:t>危险废物</w:t>
            </w:r>
            <w:r>
              <w:rPr>
                <w:rFonts w:ascii="Times New Roman" w:hAnsi="Times New Roman" w:eastAsia="Times New Roman"/>
                <w:color w:val="auto"/>
                <w:spacing w:val="0"/>
                <w:sz w:val="24"/>
                <w:szCs w:val="20"/>
                <w:highlight w:val="none"/>
              </w:rPr>
              <w:t>。</w:t>
            </w:r>
          </w:p>
          <w:p>
            <w:pPr>
              <w:pStyle w:val="23"/>
              <w:ind w:left="0" w:leftChars="0" w:firstLine="0" w:firstLineChars="0"/>
              <w:jc w:val="center"/>
              <w:rPr>
                <w:rFonts w:hint="default" w:ascii="Times New Roman" w:hAnsi="Times New Roman" w:cs="Times New Roman"/>
                <w:b/>
                <w:bCs/>
                <w:color w:val="auto"/>
                <w:sz w:val="24"/>
                <w:szCs w:val="32"/>
                <w:highlight w:val="none"/>
                <w:lang w:val="en-US" w:eastAsia="zh-CN"/>
              </w:rPr>
            </w:pPr>
            <w:r>
              <w:rPr>
                <w:rFonts w:hint="default" w:ascii="Times New Roman" w:hAnsi="Times New Roman" w:cs="Times New Roman"/>
                <w:b/>
                <w:bCs/>
                <w:color w:val="auto"/>
                <w:sz w:val="24"/>
                <w:szCs w:val="32"/>
                <w:highlight w:val="none"/>
                <w:lang w:val="en-US" w:eastAsia="zh-CN"/>
              </w:rPr>
              <w:t>表4-</w:t>
            </w:r>
            <w:r>
              <w:rPr>
                <w:rFonts w:hint="eastAsia" w:cs="Times New Roman"/>
                <w:b/>
                <w:bCs/>
                <w:color w:val="auto"/>
                <w:sz w:val="24"/>
                <w:szCs w:val="32"/>
                <w:highlight w:val="none"/>
                <w:lang w:val="en-US" w:eastAsia="zh-CN"/>
              </w:rPr>
              <w:t>13</w:t>
            </w:r>
            <w:r>
              <w:rPr>
                <w:rFonts w:hint="default" w:ascii="Times New Roman" w:hAnsi="Times New Roman" w:cs="Times New Roman"/>
                <w:b/>
                <w:bCs/>
                <w:color w:val="auto"/>
                <w:sz w:val="24"/>
                <w:szCs w:val="32"/>
                <w:highlight w:val="none"/>
                <w:lang w:val="en-US" w:eastAsia="zh-CN"/>
              </w:rPr>
              <w:t xml:space="preserve">   风险物质数量及分布情况表</w:t>
            </w:r>
          </w:p>
          <w:tbl>
            <w:tblPr>
              <w:tblStyle w:val="31"/>
              <w:tblW w:w="825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782"/>
              <w:gridCol w:w="948"/>
              <w:gridCol w:w="1294"/>
              <w:gridCol w:w="1156"/>
              <w:gridCol w:w="1649"/>
              <w:gridCol w:w="8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26" w:type="dxa"/>
                  <w:tcBorders>
                    <w:tl2br w:val="nil"/>
                    <w:tr2bl w:val="nil"/>
                  </w:tcBorders>
                  <w:noWrap w:val="0"/>
                  <w:vAlign w:val="center"/>
                </w:tcPr>
                <w:p>
                  <w:pPr>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vertAlign w:val="baseline"/>
                      <w:lang w:val="en-US" w:eastAsia="zh-CN"/>
                    </w:rPr>
                    <w:t>序号</w:t>
                  </w:r>
                </w:p>
              </w:tc>
              <w:tc>
                <w:tcPr>
                  <w:tcW w:w="1782" w:type="dxa"/>
                  <w:tcBorders>
                    <w:tl2br w:val="nil"/>
                    <w:tr2bl w:val="nil"/>
                  </w:tcBorders>
                  <w:noWrap w:val="0"/>
                  <w:vAlign w:val="center"/>
                </w:tcPr>
                <w:p>
                  <w:pPr>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vertAlign w:val="baseline"/>
                      <w:lang w:val="en-US" w:eastAsia="zh-CN"/>
                    </w:rPr>
                    <w:t>名称</w:t>
                  </w:r>
                </w:p>
              </w:tc>
              <w:tc>
                <w:tcPr>
                  <w:tcW w:w="948" w:type="dxa"/>
                  <w:tcBorders>
                    <w:tl2br w:val="nil"/>
                    <w:tr2bl w:val="nil"/>
                  </w:tcBorders>
                  <w:noWrap w:val="0"/>
                  <w:vAlign w:val="center"/>
                </w:tcPr>
                <w:p>
                  <w:pPr>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vertAlign w:val="baseline"/>
                      <w:lang w:val="en-US" w:eastAsia="zh-CN"/>
                    </w:rPr>
                    <w:t>危险性类别</w:t>
                  </w:r>
                </w:p>
              </w:tc>
              <w:tc>
                <w:tcPr>
                  <w:tcW w:w="1294"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位置</w:t>
                  </w:r>
                </w:p>
              </w:tc>
              <w:tc>
                <w:tcPr>
                  <w:tcW w:w="1156" w:type="dxa"/>
                  <w:tcBorders>
                    <w:tl2br w:val="nil"/>
                    <w:tr2bl w:val="nil"/>
                  </w:tcBorders>
                  <w:noWrap w:val="0"/>
                  <w:vAlign w:val="center"/>
                </w:tcPr>
                <w:p>
                  <w:pPr>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vertAlign w:val="baseline"/>
                      <w:lang w:val="en-US" w:eastAsia="zh-CN"/>
                    </w:rPr>
                    <w:t>最大暂存量（t/a）</w:t>
                  </w:r>
                </w:p>
              </w:tc>
              <w:tc>
                <w:tcPr>
                  <w:tcW w:w="1649" w:type="dxa"/>
                  <w:tcBorders>
                    <w:tl2br w:val="nil"/>
                    <w:tr2bl w:val="nil"/>
                  </w:tcBorders>
                  <w:noWrap w:val="0"/>
                  <w:vAlign w:val="center"/>
                </w:tcPr>
                <w:p>
                  <w:pPr>
                    <w:jc w:val="center"/>
                    <w:rPr>
                      <w:rFonts w:hint="default"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风险源</w:t>
                  </w:r>
                </w:p>
              </w:tc>
              <w:tc>
                <w:tcPr>
                  <w:tcW w:w="801" w:type="dxa"/>
                  <w:tcBorders>
                    <w:tl2br w:val="nil"/>
                    <w:tr2bl w:val="nil"/>
                  </w:tcBorders>
                  <w:noWrap w:val="0"/>
                  <w:vAlign w:val="center"/>
                </w:tcPr>
                <w:p>
                  <w:pPr>
                    <w:jc w:val="center"/>
                    <w:rPr>
                      <w:rFonts w:hint="eastAsia" w:ascii="Times New Roman" w:hAnsi="Times New Roman" w:cs="Times New Roman"/>
                      <w:color w:val="auto"/>
                      <w:kern w:val="2"/>
                      <w:sz w:val="21"/>
                      <w:szCs w:val="21"/>
                      <w:highlight w:val="none"/>
                      <w:vertAlign w:val="baseline"/>
                      <w:lang w:val="en-US" w:eastAsia="zh-CN" w:bidi="ar-SA"/>
                    </w:rPr>
                  </w:pPr>
                  <w:r>
                    <w:rPr>
                      <w:rFonts w:hint="eastAsia" w:ascii="Times New Roman" w:hAnsi="Times New Roman" w:eastAsia="宋体" w:cs="Times New Roman"/>
                      <w:color w:val="auto"/>
                      <w:highlight w:val="none"/>
                      <w:lang w:val="en-US" w:eastAsia="zh-CN"/>
                    </w:rPr>
                    <w:t>风险类型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626" w:type="dxa"/>
                  <w:tcBorders>
                    <w:tl2br w:val="nil"/>
                    <w:tr2bl w:val="nil"/>
                  </w:tcBorders>
                  <w:noWrap w:val="0"/>
                  <w:vAlign w:val="center"/>
                </w:tcPr>
                <w:p>
                  <w:pPr>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vertAlign w:val="baseline"/>
                      <w:lang w:val="en-US" w:eastAsia="zh-CN"/>
                    </w:rPr>
                    <w:t>1</w:t>
                  </w:r>
                </w:p>
              </w:tc>
              <w:tc>
                <w:tcPr>
                  <w:tcW w:w="178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2"/>
                      <w:sz w:val="21"/>
                      <w:szCs w:val="21"/>
                      <w:highlight w:val="none"/>
                      <w:shd w:val="clear" w:color="auto" w:fill="auto"/>
                      <w:lang w:val="en-US" w:eastAsia="zh-CN" w:bidi="ar-SA"/>
                    </w:rPr>
                  </w:pPr>
                  <w:r>
                    <w:rPr>
                      <w:rFonts w:hint="eastAsia" w:ascii="Times New Roman" w:hAnsi="Times New Roman" w:eastAsia="宋体" w:cs="Times New Roman"/>
                      <w:i w:val="0"/>
                      <w:iCs w:val="0"/>
                      <w:color w:val="auto"/>
                      <w:kern w:val="0"/>
                      <w:sz w:val="21"/>
                      <w:szCs w:val="21"/>
                      <w:highlight w:val="none"/>
                      <w:u w:val="none"/>
                      <w:shd w:val="clear" w:color="auto" w:fill="auto"/>
                      <w:lang w:val="en-US" w:eastAsia="zh-CN" w:bidi="ar"/>
                    </w:rPr>
                    <w:t>导热油</w:t>
                  </w:r>
                </w:p>
              </w:tc>
              <w:tc>
                <w:tcPr>
                  <w:tcW w:w="948" w:type="dxa"/>
                  <w:tcBorders>
                    <w:tl2br w:val="nil"/>
                    <w:tr2bl w:val="nil"/>
                  </w:tcBorders>
                  <w:noWrap w:val="0"/>
                  <w:vAlign w:val="center"/>
                </w:tcPr>
                <w:p>
                  <w:pPr>
                    <w:jc w:val="center"/>
                    <w:rPr>
                      <w:rFonts w:hint="default" w:ascii="Times New Roman" w:hAnsi="Times New Roman" w:cs="Times New Roman"/>
                      <w:color w:val="auto"/>
                      <w:sz w:val="21"/>
                      <w:szCs w:val="21"/>
                      <w:highlight w:val="none"/>
                      <w:u w:val="none"/>
                      <w:vertAlign w:val="baseline"/>
                      <w:lang w:val="en-US" w:eastAsia="zh-CN"/>
                    </w:rPr>
                  </w:pPr>
                  <w:r>
                    <w:rPr>
                      <w:color w:val="auto"/>
                      <w:szCs w:val="21"/>
                      <w:highlight w:val="none"/>
                      <w:u w:val="none"/>
                    </w:rPr>
                    <w:t>易燃</w:t>
                  </w:r>
                </w:p>
              </w:tc>
              <w:tc>
                <w:tcPr>
                  <w:tcW w:w="1294" w:type="dxa"/>
                  <w:tcBorders>
                    <w:tl2br w:val="nil"/>
                    <w:tr2bl w:val="nil"/>
                  </w:tcBorders>
                  <w:noWrap w:val="0"/>
                  <w:vAlign w:val="center"/>
                </w:tcPr>
                <w:p>
                  <w:pPr>
                    <w:jc w:val="center"/>
                    <w:rPr>
                      <w:rFonts w:hint="default"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原料贮存区</w:t>
                  </w:r>
                </w:p>
              </w:tc>
              <w:tc>
                <w:tcPr>
                  <w:tcW w:w="1156" w:type="dxa"/>
                  <w:tcBorders>
                    <w:tl2br w:val="nil"/>
                    <w:tr2bl w:val="nil"/>
                  </w:tcBorders>
                  <w:noWrap w:val="0"/>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2.0</w:t>
                  </w:r>
                </w:p>
              </w:tc>
              <w:tc>
                <w:tcPr>
                  <w:tcW w:w="1649" w:type="dxa"/>
                  <w:vMerge w:val="restart"/>
                  <w:tcBorders>
                    <w:tl2br w:val="nil"/>
                    <w:tr2bl w:val="nil"/>
                  </w:tcBorders>
                  <w:noWrap w:val="0"/>
                  <w:vAlign w:val="center"/>
                </w:tcPr>
                <w:p>
                  <w:pPr>
                    <w:jc w:val="center"/>
                    <w:rPr>
                      <w:rFonts w:hint="eastAsia" w:ascii="Times New Roman" w:hAnsi="Times New Roman" w:eastAsia="宋体" w:cs="Times New Roman"/>
                      <w:color w:val="auto"/>
                      <w:highlight w:val="none"/>
                      <w:lang w:val="en-US" w:eastAsia="zh-CN"/>
                    </w:rPr>
                  </w:pPr>
                  <w:r>
                    <w:rPr>
                      <w:rFonts w:hint="eastAsia" w:ascii="Times New Roman" w:hAnsi="Times New Roman" w:cs="Times New Roman"/>
                      <w:color w:val="auto"/>
                      <w:sz w:val="21"/>
                      <w:szCs w:val="21"/>
                      <w:highlight w:val="none"/>
                      <w:vertAlign w:val="baseline"/>
                      <w:lang w:val="en-US" w:eastAsia="zh-CN"/>
                    </w:rPr>
                    <w:t>贮存</w:t>
                  </w:r>
                  <w:r>
                    <w:rPr>
                      <w:rFonts w:hint="eastAsia" w:ascii="Times New Roman" w:hAnsi="Times New Roman" w:eastAsia="宋体" w:cs="Times New Roman"/>
                      <w:color w:val="auto"/>
                      <w:highlight w:val="none"/>
                      <w:lang w:val="en-US" w:eastAsia="zh-CN"/>
                    </w:rPr>
                    <w:t>、运输途中</w:t>
                  </w:r>
                </w:p>
                <w:p>
                  <w:pPr>
                    <w:jc w:val="center"/>
                    <w:rPr>
                      <w:rFonts w:hint="eastAsia" w:ascii="Times New Roman" w:hAnsi="Times New Roman" w:eastAsia="宋体" w:cs="Times New Roman"/>
                      <w:color w:val="auto"/>
                      <w:highlight w:val="none"/>
                      <w:lang w:val="en-US" w:eastAsia="zh-CN"/>
                    </w:rPr>
                  </w:pPr>
                </w:p>
              </w:tc>
              <w:tc>
                <w:tcPr>
                  <w:tcW w:w="801" w:type="dxa"/>
                  <w:vMerge w:val="restart"/>
                  <w:tcBorders>
                    <w:tl2br w:val="nil"/>
                    <w:tr2bl w:val="nil"/>
                  </w:tcBorders>
                  <w:noWrap w:val="0"/>
                  <w:vAlign w:val="center"/>
                </w:tcPr>
                <w:p>
                  <w:pPr>
                    <w:jc w:val="center"/>
                    <w:rPr>
                      <w:color w:val="auto"/>
                      <w:highlight w:val="none"/>
                    </w:rPr>
                  </w:pPr>
                  <w:r>
                    <w:rPr>
                      <w:rFonts w:hint="eastAsia" w:ascii="Times New Roman" w:hAnsi="Times New Roman" w:eastAsia="宋体" w:cs="Times New Roman"/>
                      <w:color w:val="auto"/>
                      <w:highlight w:val="none"/>
                      <w:lang w:val="en-US" w:eastAsia="zh-CN"/>
                    </w:rPr>
                    <w:t>泄漏、火灾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626" w:type="dxa"/>
                  <w:tcBorders>
                    <w:tl2br w:val="nil"/>
                    <w:tr2bl w:val="nil"/>
                  </w:tcBorders>
                  <w:noWrap w:val="0"/>
                  <w:vAlign w:val="center"/>
                </w:tcPr>
                <w:p>
                  <w:pPr>
                    <w:jc w:val="center"/>
                    <w:rPr>
                      <w:rFonts w:hint="default" w:ascii="Times New Roman" w:hAnsi="Times New Roman"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2</w:t>
                  </w:r>
                </w:p>
              </w:tc>
              <w:tc>
                <w:tcPr>
                  <w:tcW w:w="178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液压油</w:t>
                  </w:r>
                </w:p>
              </w:tc>
              <w:tc>
                <w:tcPr>
                  <w:tcW w:w="948" w:type="dxa"/>
                  <w:tcBorders>
                    <w:tl2br w:val="nil"/>
                    <w:tr2bl w:val="nil"/>
                  </w:tcBorders>
                  <w:noWrap w:val="0"/>
                  <w:vAlign w:val="center"/>
                </w:tcPr>
                <w:p>
                  <w:pPr>
                    <w:jc w:val="center"/>
                    <w:rPr>
                      <w:rFonts w:hint="default" w:ascii="Times New Roman" w:hAnsi="Times New Roman" w:cs="Times New Roman"/>
                      <w:color w:val="auto"/>
                      <w:sz w:val="21"/>
                      <w:szCs w:val="21"/>
                      <w:highlight w:val="none"/>
                      <w:u w:val="none"/>
                      <w:vertAlign w:val="baseline"/>
                      <w:lang w:val="en-US" w:eastAsia="zh-CN"/>
                    </w:rPr>
                  </w:pPr>
                  <w:r>
                    <w:rPr>
                      <w:color w:val="auto"/>
                      <w:szCs w:val="21"/>
                      <w:highlight w:val="none"/>
                      <w:u w:val="none"/>
                    </w:rPr>
                    <w:t>易燃</w:t>
                  </w:r>
                </w:p>
              </w:tc>
              <w:tc>
                <w:tcPr>
                  <w:tcW w:w="1294" w:type="dxa"/>
                  <w:tcBorders>
                    <w:tl2br w:val="nil"/>
                    <w:tr2bl w:val="nil"/>
                  </w:tcBorders>
                  <w:noWrap w:val="0"/>
                  <w:vAlign w:val="center"/>
                </w:tcPr>
                <w:p>
                  <w:pPr>
                    <w:jc w:val="center"/>
                    <w:rPr>
                      <w:rFonts w:hint="default"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原料贮存区</w:t>
                  </w:r>
                </w:p>
              </w:tc>
              <w:tc>
                <w:tcPr>
                  <w:tcW w:w="1156" w:type="dxa"/>
                  <w:tcBorders>
                    <w:tl2br w:val="nil"/>
                    <w:tr2bl w:val="nil"/>
                  </w:tcBorders>
                  <w:noWrap w:val="0"/>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0.6</w:t>
                  </w:r>
                </w:p>
              </w:tc>
              <w:tc>
                <w:tcPr>
                  <w:tcW w:w="1649" w:type="dxa"/>
                  <w:vMerge w:val="continue"/>
                  <w:tcBorders>
                    <w:tl2br w:val="nil"/>
                    <w:tr2bl w:val="nil"/>
                  </w:tcBorders>
                  <w:noWrap w:val="0"/>
                  <w:vAlign w:val="center"/>
                </w:tcPr>
                <w:p>
                  <w:pPr>
                    <w:jc w:val="center"/>
                    <w:rPr>
                      <w:rFonts w:hint="eastAsia" w:ascii="Times New Roman" w:hAnsi="Times New Roman" w:eastAsia="宋体" w:cs="Times New Roman"/>
                      <w:color w:val="auto"/>
                      <w:highlight w:val="none"/>
                      <w:lang w:val="en-US" w:eastAsia="zh-CN"/>
                    </w:rPr>
                  </w:pPr>
                </w:p>
              </w:tc>
              <w:tc>
                <w:tcPr>
                  <w:tcW w:w="801" w:type="dxa"/>
                  <w:vMerge w:val="continue"/>
                  <w:tcBorders>
                    <w:tl2br w:val="nil"/>
                    <w:tr2bl w:val="nil"/>
                  </w:tcBorders>
                  <w:noWrap w:val="0"/>
                  <w:vAlign w:val="center"/>
                </w:tcPr>
                <w:p>
                  <w:pPr>
                    <w:jc w:val="center"/>
                    <w:rPr>
                      <w:rFonts w:hint="eastAsia" w:ascii="Times New Roman" w:hAnsi="Times New Roman" w:eastAsia="宋体" w:cs="Times New Roman"/>
                      <w:color w:val="auto"/>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26"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cs="Times New Roman"/>
                      <w:color w:val="auto"/>
                      <w:sz w:val="21"/>
                      <w:szCs w:val="21"/>
                      <w:highlight w:val="none"/>
                      <w:vertAlign w:val="baseline"/>
                      <w:lang w:val="en-US" w:eastAsia="zh-CN"/>
                    </w:rPr>
                    <w:t>3</w:t>
                  </w:r>
                </w:p>
              </w:tc>
              <w:tc>
                <w:tcPr>
                  <w:tcW w:w="178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顶针油</w:t>
                  </w:r>
                </w:p>
              </w:tc>
              <w:tc>
                <w:tcPr>
                  <w:tcW w:w="948" w:type="dxa"/>
                  <w:tcBorders>
                    <w:tl2br w:val="nil"/>
                    <w:tr2bl w:val="nil"/>
                  </w:tcBorders>
                  <w:noWrap w:val="0"/>
                  <w:vAlign w:val="center"/>
                </w:tcPr>
                <w:p>
                  <w:pPr>
                    <w:jc w:val="center"/>
                    <w:rPr>
                      <w:rFonts w:hint="eastAsia" w:ascii="Times New Roman" w:hAnsi="Times New Roman" w:eastAsia="宋体" w:cs="Times New Roman"/>
                      <w:color w:val="auto"/>
                      <w:kern w:val="2"/>
                      <w:sz w:val="21"/>
                      <w:szCs w:val="21"/>
                      <w:highlight w:val="none"/>
                      <w:u w:val="none"/>
                      <w:vertAlign w:val="baseline"/>
                      <w:lang w:val="en-US" w:eastAsia="zh-CN" w:bidi="ar-SA"/>
                    </w:rPr>
                  </w:pPr>
                  <w:r>
                    <w:rPr>
                      <w:color w:val="auto"/>
                      <w:szCs w:val="21"/>
                      <w:highlight w:val="none"/>
                      <w:u w:val="none"/>
                    </w:rPr>
                    <w:t>易燃</w:t>
                  </w:r>
                </w:p>
              </w:tc>
              <w:tc>
                <w:tcPr>
                  <w:tcW w:w="1294" w:type="dxa"/>
                  <w:tcBorders>
                    <w:tl2br w:val="nil"/>
                    <w:tr2bl w:val="nil"/>
                  </w:tcBorders>
                  <w:noWrap w:val="0"/>
                  <w:vAlign w:val="center"/>
                </w:tcPr>
                <w:p>
                  <w:pPr>
                    <w:jc w:val="center"/>
                    <w:rPr>
                      <w:rFonts w:hint="eastAsia" w:ascii="Times New Roman" w:hAnsi="Times New Roman" w:cs="Times New Roman"/>
                      <w:color w:val="auto"/>
                      <w:kern w:val="2"/>
                      <w:sz w:val="21"/>
                      <w:szCs w:val="21"/>
                      <w:highlight w:val="none"/>
                      <w:vertAlign w:val="baseline"/>
                      <w:lang w:val="en-US" w:eastAsia="zh-CN" w:bidi="ar-SA"/>
                    </w:rPr>
                  </w:pPr>
                  <w:r>
                    <w:rPr>
                      <w:rFonts w:hint="eastAsia" w:ascii="Times New Roman" w:hAnsi="Times New Roman" w:cs="Times New Roman"/>
                      <w:color w:val="auto"/>
                      <w:sz w:val="21"/>
                      <w:szCs w:val="21"/>
                      <w:highlight w:val="none"/>
                      <w:vertAlign w:val="baseline"/>
                      <w:lang w:val="en-US" w:eastAsia="zh-CN"/>
                    </w:rPr>
                    <w:t>原料贮存区</w:t>
                  </w:r>
                </w:p>
              </w:tc>
              <w:tc>
                <w:tcPr>
                  <w:tcW w:w="1156"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0.005</w:t>
                  </w:r>
                </w:p>
              </w:tc>
              <w:tc>
                <w:tcPr>
                  <w:tcW w:w="1649" w:type="dxa"/>
                  <w:vMerge w:val="continue"/>
                  <w:tcBorders>
                    <w:tl2br w:val="nil"/>
                    <w:tr2bl w:val="nil"/>
                  </w:tcBorders>
                  <w:noWrap w:val="0"/>
                  <w:vAlign w:val="center"/>
                </w:tcPr>
                <w:p>
                  <w:pPr>
                    <w:jc w:val="center"/>
                    <w:rPr>
                      <w:rFonts w:hint="eastAsia" w:ascii="Times New Roman" w:hAnsi="Times New Roman" w:eastAsia="宋体" w:cs="Times New Roman"/>
                      <w:color w:val="auto"/>
                      <w:highlight w:val="none"/>
                      <w:lang w:val="en-US" w:eastAsia="zh-CN"/>
                    </w:rPr>
                  </w:pPr>
                </w:p>
              </w:tc>
              <w:tc>
                <w:tcPr>
                  <w:tcW w:w="801" w:type="dxa"/>
                  <w:vMerge w:val="continue"/>
                  <w:tcBorders>
                    <w:tl2br w:val="nil"/>
                    <w:tr2bl w:val="nil"/>
                  </w:tcBorders>
                  <w:noWrap w:val="0"/>
                  <w:vAlign w:val="center"/>
                </w:tcPr>
                <w:p>
                  <w:pPr>
                    <w:jc w:val="center"/>
                    <w:rPr>
                      <w:rFonts w:hint="eastAsia" w:ascii="Times New Roman" w:hAnsi="Times New Roman" w:eastAsia="宋体" w:cs="Times New Roman"/>
                      <w:color w:val="auto"/>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26" w:type="dxa"/>
                  <w:tcBorders>
                    <w:tl2br w:val="nil"/>
                    <w:tr2bl w:val="nil"/>
                  </w:tcBorders>
                  <w:noWrap w:val="0"/>
                  <w:vAlign w:val="center"/>
                </w:tcPr>
                <w:p>
                  <w:pPr>
                    <w:jc w:val="center"/>
                    <w:rPr>
                      <w:rFonts w:hint="eastAsia" w:ascii="Times New Roman" w:hAnsi="Times New Roman" w:eastAsia="宋体" w:cs="Times New Roman"/>
                      <w:color w:val="auto"/>
                      <w:kern w:val="2"/>
                      <w:sz w:val="21"/>
                      <w:szCs w:val="21"/>
                      <w:highlight w:val="none"/>
                      <w:vertAlign w:val="baseline"/>
                      <w:lang w:val="en-US" w:eastAsia="zh-CN" w:bidi="ar-SA"/>
                    </w:rPr>
                  </w:pPr>
                  <w:r>
                    <w:rPr>
                      <w:rFonts w:hint="eastAsia" w:ascii="Times New Roman" w:hAnsi="Times New Roman" w:cs="Times New Roman"/>
                      <w:color w:val="auto"/>
                      <w:sz w:val="21"/>
                      <w:szCs w:val="21"/>
                      <w:highlight w:val="none"/>
                      <w:vertAlign w:val="baseline"/>
                      <w:lang w:val="en-US" w:eastAsia="zh-CN"/>
                    </w:rPr>
                    <w:t>4</w:t>
                  </w:r>
                </w:p>
              </w:tc>
              <w:tc>
                <w:tcPr>
                  <w:tcW w:w="1782" w:type="dxa"/>
                  <w:tcBorders>
                    <w:tl2br w:val="nil"/>
                    <w:tr2bl w:val="nil"/>
                  </w:tcBorders>
                  <w:noWrap w:val="0"/>
                  <w:vAlign w:val="center"/>
                </w:tcPr>
                <w:p>
                  <w:pPr>
                    <w:jc w:val="center"/>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i w:val="0"/>
                      <w:iCs w:val="0"/>
                      <w:color w:val="auto"/>
                      <w:kern w:val="0"/>
                      <w:sz w:val="21"/>
                      <w:szCs w:val="21"/>
                      <w:highlight w:val="none"/>
                      <w:u w:val="none"/>
                      <w:shd w:val="clear" w:color="auto" w:fill="auto"/>
                      <w:lang w:val="en-US" w:eastAsia="zh-CN" w:bidi="ar"/>
                    </w:rPr>
                    <w:t>模具清洗剂WD-40</w:t>
                  </w:r>
                </w:p>
              </w:tc>
              <w:tc>
                <w:tcPr>
                  <w:tcW w:w="948" w:type="dxa"/>
                  <w:tcBorders>
                    <w:tl2br w:val="nil"/>
                    <w:tr2bl w:val="nil"/>
                  </w:tcBorders>
                  <w:noWrap w:val="0"/>
                  <w:vAlign w:val="center"/>
                </w:tcPr>
                <w:p>
                  <w:pPr>
                    <w:jc w:val="center"/>
                    <w:rPr>
                      <w:rFonts w:hint="eastAsia" w:ascii="Times New Roman" w:hAnsi="Times New Roman" w:eastAsia="宋体" w:cs="Times New Roman"/>
                      <w:color w:val="auto"/>
                      <w:kern w:val="2"/>
                      <w:sz w:val="21"/>
                      <w:szCs w:val="21"/>
                      <w:highlight w:val="none"/>
                      <w:vertAlign w:val="baseline"/>
                      <w:lang w:val="en-US" w:eastAsia="zh-CN" w:bidi="ar-SA"/>
                    </w:rPr>
                  </w:pPr>
                  <w:r>
                    <w:rPr>
                      <w:rFonts w:hint="eastAsia" w:ascii="Times New Roman" w:hAnsi="Times New Roman" w:cs="Times New Roman"/>
                      <w:color w:val="auto"/>
                      <w:sz w:val="21"/>
                      <w:szCs w:val="21"/>
                      <w:highlight w:val="none"/>
                      <w:vertAlign w:val="baseline"/>
                      <w:lang w:val="en-US" w:eastAsia="zh-CN"/>
                    </w:rPr>
                    <w:t>有毒</w:t>
                  </w:r>
                </w:p>
              </w:tc>
              <w:tc>
                <w:tcPr>
                  <w:tcW w:w="1294" w:type="dxa"/>
                  <w:tcBorders>
                    <w:tl2br w:val="nil"/>
                    <w:tr2bl w:val="nil"/>
                  </w:tcBorders>
                  <w:noWrap w:val="0"/>
                  <w:vAlign w:val="center"/>
                </w:tcPr>
                <w:p>
                  <w:pPr>
                    <w:jc w:val="center"/>
                    <w:rPr>
                      <w:rFonts w:hint="default" w:ascii="Times New Roman" w:hAnsi="Times New Roman" w:cs="Times New Roman"/>
                      <w:color w:val="auto"/>
                      <w:kern w:val="2"/>
                      <w:sz w:val="21"/>
                      <w:szCs w:val="21"/>
                      <w:highlight w:val="none"/>
                      <w:vertAlign w:val="baseline"/>
                      <w:lang w:val="en-US" w:eastAsia="zh-CN" w:bidi="ar-SA"/>
                    </w:rPr>
                  </w:pPr>
                  <w:r>
                    <w:rPr>
                      <w:rFonts w:hint="eastAsia" w:ascii="Times New Roman" w:hAnsi="Times New Roman" w:cs="Times New Roman"/>
                      <w:color w:val="auto"/>
                      <w:sz w:val="21"/>
                      <w:szCs w:val="21"/>
                      <w:highlight w:val="none"/>
                      <w:vertAlign w:val="baseline"/>
                      <w:lang w:val="en-US" w:eastAsia="zh-CN"/>
                    </w:rPr>
                    <w:t>原料贮存区</w:t>
                  </w:r>
                </w:p>
              </w:tc>
              <w:tc>
                <w:tcPr>
                  <w:tcW w:w="1156" w:type="dxa"/>
                  <w:tcBorders>
                    <w:tl2br w:val="nil"/>
                    <w:tr2bl w:val="nil"/>
                  </w:tcBorders>
                  <w:noWrap w:val="0"/>
                  <w:vAlign w:val="center"/>
                </w:tcPr>
                <w:p>
                  <w:pPr>
                    <w:pStyle w:val="12"/>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0.0036</w:t>
                  </w:r>
                </w:p>
              </w:tc>
              <w:tc>
                <w:tcPr>
                  <w:tcW w:w="1649" w:type="dxa"/>
                  <w:vMerge w:val="continue"/>
                  <w:tcBorders>
                    <w:tl2br w:val="nil"/>
                    <w:tr2bl w:val="nil"/>
                  </w:tcBorders>
                  <w:noWrap w:val="0"/>
                  <w:vAlign w:val="center"/>
                </w:tcPr>
                <w:p>
                  <w:pPr>
                    <w:jc w:val="center"/>
                    <w:rPr>
                      <w:rFonts w:hint="default" w:ascii="Times New Roman" w:hAnsi="Times New Roman" w:eastAsia="宋体" w:cs="Times New Roman"/>
                      <w:color w:val="auto"/>
                      <w:highlight w:val="none"/>
                      <w:lang w:val="en-US" w:eastAsia="zh-CN"/>
                    </w:rPr>
                  </w:pPr>
                </w:p>
              </w:tc>
              <w:tc>
                <w:tcPr>
                  <w:tcW w:w="801" w:type="dxa"/>
                  <w:tcBorders>
                    <w:tl2br w:val="nil"/>
                    <w:tr2bl w:val="nil"/>
                  </w:tcBorders>
                  <w:noWrap w:val="0"/>
                  <w:vAlign w:val="center"/>
                </w:tcPr>
                <w:p>
                  <w:pPr>
                    <w:jc w:val="center"/>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highlight w:val="none"/>
                      <w:lang w:val="en-US" w:eastAsia="zh-CN"/>
                    </w:rPr>
                    <w:t>泄漏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626"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ascii="Times New Roman" w:hAnsi="Times New Roman" w:cs="Times New Roman"/>
                      <w:color w:val="auto"/>
                      <w:sz w:val="21"/>
                      <w:szCs w:val="21"/>
                      <w:highlight w:val="none"/>
                      <w:vertAlign w:val="baseline"/>
                      <w:lang w:val="en-US" w:eastAsia="zh-CN"/>
                    </w:rPr>
                    <w:t>5</w:t>
                  </w:r>
                </w:p>
              </w:tc>
              <w:tc>
                <w:tcPr>
                  <w:tcW w:w="178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color w:val="auto"/>
                      <w:kern w:val="2"/>
                      <w:sz w:val="21"/>
                      <w:szCs w:val="21"/>
                      <w:highlight w:val="none"/>
                      <w:shd w:val="clear" w:color="auto" w:fill="auto"/>
                      <w:lang w:val="en-US" w:eastAsia="zh-CN"/>
                    </w:rPr>
                    <w:t>银晶</w:t>
                  </w:r>
                  <w:r>
                    <w:rPr>
                      <w:rFonts w:hint="eastAsia" w:ascii="Times New Roman" w:hAnsi="Times New Roman" w:eastAsia="宋体" w:cs="Times New Roman"/>
                      <w:i w:val="0"/>
                      <w:iCs w:val="0"/>
                      <w:color w:val="auto"/>
                      <w:kern w:val="0"/>
                      <w:sz w:val="21"/>
                      <w:szCs w:val="21"/>
                      <w:highlight w:val="none"/>
                      <w:u w:val="none"/>
                      <w:shd w:val="clear" w:color="auto" w:fill="auto"/>
                      <w:lang w:val="en-US" w:eastAsia="zh-CN" w:bidi="ar"/>
                    </w:rPr>
                    <w:t>模具清洗剂</w:t>
                  </w:r>
                </w:p>
              </w:tc>
              <w:tc>
                <w:tcPr>
                  <w:tcW w:w="948" w:type="dxa"/>
                  <w:tcBorders>
                    <w:tl2br w:val="nil"/>
                    <w:tr2bl w:val="nil"/>
                  </w:tcBorders>
                  <w:noWrap w:val="0"/>
                  <w:vAlign w:val="center"/>
                </w:tcPr>
                <w:p>
                  <w:pPr>
                    <w:jc w:val="center"/>
                    <w:rPr>
                      <w:rFonts w:hint="eastAsia" w:ascii="Times New Roman" w:hAnsi="Times New Roman" w:cs="Times New Roman"/>
                      <w:color w:val="auto"/>
                      <w:kern w:val="2"/>
                      <w:sz w:val="21"/>
                      <w:szCs w:val="21"/>
                      <w:highlight w:val="none"/>
                      <w:vertAlign w:val="baseline"/>
                      <w:lang w:val="en-US" w:eastAsia="zh-CN" w:bidi="ar-SA"/>
                    </w:rPr>
                  </w:pPr>
                  <w:r>
                    <w:rPr>
                      <w:rFonts w:hint="eastAsia" w:ascii="Times New Roman" w:hAnsi="Times New Roman" w:cs="Times New Roman"/>
                      <w:color w:val="auto"/>
                      <w:sz w:val="21"/>
                      <w:szCs w:val="21"/>
                      <w:highlight w:val="none"/>
                      <w:vertAlign w:val="baseline"/>
                      <w:lang w:val="en-US" w:eastAsia="zh-CN"/>
                    </w:rPr>
                    <w:t>有毒</w:t>
                  </w:r>
                </w:p>
              </w:tc>
              <w:tc>
                <w:tcPr>
                  <w:tcW w:w="1294" w:type="dxa"/>
                  <w:tcBorders>
                    <w:tl2br w:val="nil"/>
                    <w:tr2bl w:val="nil"/>
                  </w:tcBorders>
                  <w:noWrap w:val="0"/>
                  <w:vAlign w:val="center"/>
                </w:tcPr>
                <w:p>
                  <w:pPr>
                    <w:jc w:val="center"/>
                    <w:rPr>
                      <w:rFonts w:hint="eastAsia" w:ascii="Times New Roman" w:hAnsi="Times New Roman" w:cs="Times New Roman"/>
                      <w:color w:val="auto"/>
                      <w:kern w:val="2"/>
                      <w:sz w:val="21"/>
                      <w:szCs w:val="21"/>
                      <w:highlight w:val="none"/>
                      <w:vertAlign w:val="baseline"/>
                      <w:lang w:val="en-US" w:eastAsia="zh-CN" w:bidi="ar-SA"/>
                    </w:rPr>
                  </w:pPr>
                  <w:r>
                    <w:rPr>
                      <w:rFonts w:hint="eastAsia" w:ascii="Times New Roman" w:hAnsi="Times New Roman" w:cs="Times New Roman"/>
                      <w:color w:val="auto"/>
                      <w:sz w:val="21"/>
                      <w:szCs w:val="21"/>
                      <w:highlight w:val="none"/>
                      <w:vertAlign w:val="baseline"/>
                      <w:lang w:val="en-US" w:eastAsia="zh-CN"/>
                    </w:rPr>
                    <w:t>原料贮存区</w:t>
                  </w:r>
                </w:p>
              </w:tc>
              <w:tc>
                <w:tcPr>
                  <w:tcW w:w="1156" w:type="dxa"/>
                  <w:tcBorders>
                    <w:tl2br w:val="nil"/>
                    <w:tr2bl w:val="nil"/>
                  </w:tcBorders>
                  <w:noWrap w:val="0"/>
                  <w:vAlign w:val="center"/>
                </w:tcPr>
                <w:p>
                  <w:pPr>
                    <w:pStyle w:val="12"/>
                    <w:spacing w:line="240" w:lineRule="auto"/>
                    <w:jc w:val="center"/>
                    <w:rPr>
                      <w:rFonts w:hint="default" w:ascii="Times New Roman" w:hAnsi="Times New Roman" w:eastAsia="宋体" w:cs="Times New Roman"/>
                      <w:color w:val="auto"/>
                      <w:kern w:val="2"/>
                      <w:sz w:val="21"/>
                      <w:szCs w:val="21"/>
                      <w:highlight w:val="none"/>
                      <w:shd w:val="clear" w:color="auto" w:fill="auto"/>
                      <w:lang w:val="en-US" w:eastAsia="zh-CN" w:bidi="ar-SA"/>
                    </w:rPr>
                  </w:pPr>
                  <w:r>
                    <w:rPr>
                      <w:rFonts w:hint="default" w:ascii="Times New Roman" w:hAnsi="Times New Roman" w:eastAsia="宋体" w:cs="Times New Roman"/>
                      <w:color w:val="auto"/>
                      <w:kern w:val="2"/>
                      <w:sz w:val="21"/>
                      <w:szCs w:val="21"/>
                      <w:highlight w:val="none"/>
                      <w:shd w:val="clear" w:color="auto" w:fill="auto"/>
                      <w:lang w:val="en-US" w:eastAsia="zh-CN"/>
                    </w:rPr>
                    <w:t>0.05</w:t>
                  </w:r>
                </w:p>
              </w:tc>
              <w:tc>
                <w:tcPr>
                  <w:tcW w:w="1649" w:type="dxa"/>
                  <w:vMerge w:val="continue"/>
                  <w:tcBorders>
                    <w:tl2br w:val="nil"/>
                    <w:tr2bl w:val="nil"/>
                  </w:tcBorders>
                  <w:noWrap w:val="0"/>
                  <w:vAlign w:val="center"/>
                </w:tcPr>
                <w:p>
                  <w:pPr>
                    <w:jc w:val="center"/>
                    <w:rPr>
                      <w:rFonts w:hint="eastAsia" w:ascii="Times New Roman" w:hAnsi="Times New Roman" w:eastAsia="宋体" w:cs="Times New Roman"/>
                      <w:color w:val="auto"/>
                      <w:highlight w:val="none"/>
                      <w:lang w:val="en-US" w:eastAsia="zh-CN"/>
                    </w:rPr>
                  </w:pPr>
                </w:p>
              </w:tc>
              <w:tc>
                <w:tcPr>
                  <w:tcW w:w="801" w:type="dxa"/>
                  <w:tcBorders>
                    <w:tl2br w:val="nil"/>
                    <w:tr2bl w:val="nil"/>
                  </w:tcBorders>
                  <w:noWrap w:val="0"/>
                  <w:vAlign w:val="center"/>
                </w:tcPr>
                <w:p>
                  <w:pPr>
                    <w:jc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泄漏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26" w:type="dxa"/>
                  <w:vAlign w:val="center"/>
                </w:tcPr>
                <w:p>
                  <w:pPr>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ascii="Times New Roman" w:hAnsi="Times New Roman" w:cs="Times New Roman"/>
                      <w:color w:val="auto"/>
                      <w:sz w:val="21"/>
                      <w:szCs w:val="21"/>
                      <w:highlight w:val="none"/>
                      <w:vertAlign w:val="baseline"/>
                      <w:lang w:val="en-US" w:eastAsia="zh-CN"/>
                    </w:rPr>
                    <w:t>6</w:t>
                  </w:r>
                </w:p>
              </w:tc>
              <w:tc>
                <w:tcPr>
                  <w:tcW w:w="178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eastAsia" w:ascii="Times New Roman" w:hAnsi="Times New Roman" w:eastAsia="宋体" w:cs="Times New Roman"/>
                      <w:i w:val="0"/>
                      <w:iCs w:val="0"/>
                      <w:color w:val="auto"/>
                      <w:kern w:val="0"/>
                      <w:sz w:val="21"/>
                      <w:szCs w:val="21"/>
                      <w:highlight w:val="none"/>
                      <w:u w:val="none"/>
                      <w:shd w:val="clear" w:color="auto" w:fill="auto"/>
                      <w:lang w:val="en-US" w:eastAsia="zh-CN" w:bidi="ar"/>
                    </w:rPr>
                    <w:t>防锈剂</w:t>
                  </w:r>
                </w:p>
              </w:tc>
              <w:tc>
                <w:tcPr>
                  <w:tcW w:w="948" w:type="dxa"/>
                </w:tcPr>
                <w:p>
                  <w:pPr>
                    <w:jc w:val="center"/>
                    <w:rPr>
                      <w:rFonts w:hint="eastAsia"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有毒</w:t>
                  </w:r>
                </w:p>
              </w:tc>
              <w:tc>
                <w:tcPr>
                  <w:tcW w:w="1294" w:type="dxa"/>
                </w:tcPr>
                <w:p>
                  <w:pPr>
                    <w:jc w:val="center"/>
                    <w:rPr>
                      <w:rFonts w:hint="eastAsia" w:ascii="Times New Roman" w:hAnsi="Times New Roman" w:cs="Times New Roman"/>
                      <w:color w:val="auto"/>
                      <w:kern w:val="2"/>
                      <w:sz w:val="21"/>
                      <w:szCs w:val="21"/>
                      <w:highlight w:val="none"/>
                      <w:vertAlign w:val="baseline"/>
                      <w:lang w:val="en-US" w:eastAsia="zh-CN" w:bidi="ar-SA"/>
                    </w:rPr>
                  </w:pPr>
                  <w:r>
                    <w:rPr>
                      <w:rFonts w:hint="eastAsia" w:ascii="Times New Roman" w:hAnsi="Times New Roman" w:cs="Times New Roman"/>
                      <w:color w:val="auto"/>
                      <w:sz w:val="21"/>
                      <w:szCs w:val="21"/>
                      <w:highlight w:val="none"/>
                      <w:vertAlign w:val="baseline"/>
                      <w:lang w:val="en-US" w:eastAsia="zh-CN"/>
                    </w:rPr>
                    <w:t>原料贮存区</w:t>
                  </w:r>
                </w:p>
              </w:tc>
              <w:tc>
                <w:tcPr>
                  <w:tcW w:w="0" w:type="auto"/>
                </w:tcPr>
                <w:p>
                  <w:pPr>
                    <w:jc w:val="center"/>
                    <w:rPr>
                      <w:rFonts w:hint="default"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kern w:val="2"/>
                      <w:sz w:val="21"/>
                      <w:szCs w:val="24"/>
                      <w:highlight w:val="none"/>
                      <w:lang w:val="en-US" w:eastAsia="zh-CN" w:bidi="ar-SA"/>
                    </w:rPr>
                    <w:t>0.01</w:t>
                  </w:r>
                </w:p>
              </w:tc>
              <w:tc>
                <w:tcPr>
                  <w:tcW w:w="1649" w:type="dxa"/>
                  <w:vMerge w:val="continue"/>
                </w:tcPr>
                <w:p>
                  <w:pPr>
                    <w:jc w:val="center"/>
                    <w:rPr>
                      <w:rFonts w:hint="default" w:ascii="Times New Roman" w:hAnsi="Times New Roman" w:eastAsia="宋体" w:cs="Times New Roman"/>
                      <w:color w:val="auto"/>
                      <w:highlight w:val="none"/>
                      <w:lang w:val="en-US" w:eastAsia="zh-CN"/>
                    </w:rPr>
                  </w:pPr>
                </w:p>
              </w:tc>
              <w:tc>
                <w:tcPr>
                  <w:tcW w:w="0" w:type="auto"/>
                </w:tcPr>
                <w:p>
                  <w:pPr>
                    <w:jc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泄漏</w:t>
                  </w:r>
                </w:p>
              </w:tc>
            </w:tr>
          </w:tbl>
          <w:p>
            <w:pPr>
              <w:pStyle w:val="63"/>
              <w:spacing w:line="240" w:lineRule="auto"/>
              <w:ind w:firstLine="480" w:firstLineChars="200"/>
              <w:rPr>
                <w:rFonts w:hint="eastAsia" w:ascii="Times New Roman" w:hAnsi="Times New Roman" w:eastAsia="宋体" w:cs="Times New Roman"/>
                <w:color w:val="auto"/>
                <w:spacing w:val="0"/>
                <w:kern w:val="0"/>
                <w:sz w:val="24"/>
                <w:szCs w:val="20"/>
                <w:highlight w:val="none"/>
                <w:lang w:val="en-US" w:eastAsia="zh-CN" w:bidi="ar-SA"/>
              </w:rPr>
            </w:pPr>
          </w:p>
          <w:p>
            <w:pPr>
              <w:pStyle w:val="63"/>
              <w:spacing w:line="360" w:lineRule="auto"/>
              <w:ind w:firstLine="480" w:firstLineChars="200"/>
              <w:rPr>
                <w:rFonts w:hint="eastAsia" w:ascii="Times New Roman" w:hAnsi="Times New Roman" w:eastAsia="宋体" w:cs="Times New Roman"/>
                <w:color w:val="auto"/>
                <w:spacing w:val="0"/>
                <w:kern w:val="0"/>
                <w:sz w:val="24"/>
                <w:szCs w:val="20"/>
                <w:highlight w:val="none"/>
                <w:lang w:val="en-US" w:eastAsia="zh-CN" w:bidi="ar-SA"/>
              </w:rPr>
            </w:pPr>
            <w:r>
              <w:rPr>
                <w:rFonts w:hint="eastAsia" w:ascii="Times New Roman" w:hAnsi="Times New Roman" w:eastAsia="宋体" w:cs="Times New Roman"/>
                <w:color w:val="auto"/>
                <w:spacing w:val="0"/>
                <w:kern w:val="0"/>
                <w:sz w:val="24"/>
                <w:szCs w:val="20"/>
                <w:highlight w:val="none"/>
                <w:lang w:val="en-US" w:eastAsia="zh-CN" w:bidi="ar-SA"/>
              </w:rPr>
              <w:t>（2）Q值确定</w:t>
            </w:r>
          </w:p>
          <w:p>
            <w:pPr>
              <w:pStyle w:val="63"/>
              <w:spacing w:line="240" w:lineRule="auto"/>
              <w:ind w:firstLine="480" w:firstLineChars="200"/>
              <w:rPr>
                <w:rFonts w:hint="eastAsia" w:ascii="Times New Roman" w:hAnsi="Times New Roman" w:eastAsia="宋体" w:cs="Times New Roman"/>
                <w:b/>
                <w:smallCaps/>
                <w:color w:val="auto"/>
                <w:kern w:val="0"/>
                <w:sz w:val="24"/>
                <w:szCs w:val="20"/>
                <w:highlight w:val="none"/>
                <w:lang w:val="en-US" w:eastAsia="zh-CN" w:bidi="ar-SA"/>
              </w:rPr>
            </w:pPr>
            <w:r>
              <w:rPr>
                <w:rFonts w:hint="eastAsia" w:ascii="Times New Roman" w:hAnsi="Times New Roman" w:eastAsia="宋体" w:cs="Times New Roman"/>
                <w:color w:val="auto"/>
                <w:spacing w:val="0"/>
                <w:kern w:val="0"/>
                <w:sz w:val="24"/>
                <w:szCs w:val="20"/>
                <w:highlight w:val="none"/>
                <w:lang w:val="en-US" w:eastAsia="zh-CN" w:bidi="ar-SA"/>
              </w:rPr>
              <w:t xml:space="preserve"> </w:t>
            </w:r>
            <w:r>
              <w:rPr>
                <w:rFonts w:hint="eastAsia" w:ascii="Times New Roman" w:hAnsi="Times New Roman" w:eastAsia="宋体" w:cs="Times New Roman"/>
                <w:b/>
                <w:smallCaps/>
                <w:color w:val="auto"/>
                <w:kern w:val="0"/>
                <w:sz w:val="24"/>
                <w:szCs w:val="20"/>
                <w:highlight w:val="none"/>
                <w:lang w:val="en-US" w:eastAsia="zh-CN" w:bidi="ar-SA"/>
              </w:rPr>
              <w:t>表4-</w:t>
            </w:r>
            <w:r>
              <w:rPr>
                <w:rFonts w:hint="eastAsia" w:cs="Times New Roman"/>
                <w:b/>
                <w:smallCaps/>
                <w:color w:val="auto"/>
                <w:kern w:val="0"/>
                <w:sz w:val="24"/>
                <w:szCs w:val="20"/>
                <w:highlight w:val="none"/>
                <w:lang w:val="en-US" w:eastAsia="zh-CN" w:bidi="ar-SA"/>
              </w:rPr>
              <w:t>14</w:t>
            </w:r>
            <w:r>
              <w:rPr>
                <w:rFonts w:hint="eastAsia" w:ascii="Times New Roman" w:hAnsi="Times New Roman" w:eastAsia="宋体" w:cs="Times New Roman"/>
                <w:b/>
                <w:smallCaps/>
                <w:color w:val="auto"/>
                <w:kern w:val="0"/>
                <w:sz w:val="24"/>
                <w:szCs w:val="20"/>
                <w:highlight w:val="none"/>
                <w:lang w:val="en-US" w:eastAsia="zh-CN" w:bidi="ar-SA"/>
              </w:rPr>
              <w:t xml:space="preserve">  本项目危险物质数量与临界量比值（Q）计算结果一览表</w:t>
            </w:r>
          </w:p>
          <w:tbl>
            <w:tblPr>
              <w:tblStyle w:val="30"/>
              <w:tblW w:w="8419"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685"/>
              <w:gridCol w:w="1108"/>
              <w:gridCol w:w="1425"/>
              <w:gridCol w:w="1459"/>
              <w:gridCol w:w="1283"/>
              <w:gridCol w:w="1107"/>
              <w:gridCol w:w="135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blHeader/>
                <w:jc w:val="center"/>
              </w:trPr>
              <w:tc>
                <w:tcPr>
                  <w:tcW w:w="406" w:type="pct"/>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contextualSpacing/>
                    <w:jc w:val="center"/>
                    <w:rPr>
                      <w:rFonts w:hint="default" w:ascii="Times New Roman" w:hAnsi="Times New Roman" w:eastAsia="宋体" w:cs="Times New Roman"/>
                      <w:i w:val="0"/>
                      <w:iCs w:val="0"/>
                      <w:color w:val="auto"/>
                      <w:sz w:val="21"/>
                      <w:szCs w:val="21"/>
                      <w:highlight w:val="none"/>
                    </w:rPr>
                  </w:pPr>
                  <w:r>
                    <w:rPr>
                      <w:rFonts w:hint="default" w:ascii="Times New Roman" w:hAnsi="Times New Roman" w:eastAsia="宋体" w:cs="Times New Roman"/>
                      <w:i w:val="0"/>
                      <w:iCs w:val="0"/>
                      <w:color w:val="auto"/>
                      <w:sz w:val="21"/>
                      <w:szCs w:val="21"/>
                      <w:highlight w:val="none"/>
                    </w:rPr>
                    <w:t>序号</w:t>
                  </w:r>
                </w:p>
              </w:tc>
              <w:tc>
                <w:tcPr>
                  <w:tcW w:w="1504" w:type="pct"/>
                  <w:gridSpan w:val="2"/>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contextualSpacing/>
                    <w:jc w:val="center"/>
                    <w:rPr>
                      <w:rFonts w:hint="default" w:ascii="Times New Roman" w:hAnsi="Times New Roman" w:eastAsia="宋体" w:cs="Times New Roman"/>
                      <w:i w:val="0"/>
                      <w:iCs w:val="0"/>
                      <w:color w:val="auto"/>
                      <w:sz w:val="21"/>
                      <w:szCs w:val="21"/>
                      <w:highlight w:val="none"/>
                    </w:rPr>
                  </w:pPr>
                  <w:r>
                    <w:rPr>
                      <w:rFonts w:hint="default" w:ascii="Times New Roman" w:hAnsi="Times New Roman" w:eastAsia="宋体" w:cs="Times New Roman"/>
                      <w:i w:val="0"/>
                      <w:iCs w:val="0"/>
                      <w:color w:val="auto"/>
                      <w:sz w:val="21"/>
                      <w:szCs w:val="21"/>
                      <w:highlight w:val="none"/>
                    </w:rPr>
                    <w:t>危险物质名称</w:t>
                  </w:r>
                </w:p>
              </w:tc>
              <w:tc>
                <w:tcPr>
                  <w:tcW w:w="866" w:type="pct"/>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contextualSpacing/>
                    <w:jc w:val="center"/>
                    <w:rPr>
                      <w:rFonts w:hint="default" w:ascii="Times New Roman" w:hAnsi="Times New Roman" w:eastAsia="宋体" w:cs="Times New Roman"/>
                      <w:i w:val="0"/>
                      <w:iCs w:val="0"/>
                      <w:color w:val="auto"/>
                      <w:sz w:val="21"/>
                      <w:szCs w:val="21"/>
                      <w:highlight w:val="none"/>
                    </w:rPr>
                  </w:pPr>
                  <w:r>
                    <w:rPr>
                      <w:rFonts w:hint="default" w:ascii="Times New Roman" w:hAnsi="Times New Roman" w:eastAsia="宋体" w:cs="Times New Roman"/>
                      <w:i w:val="0"/>
                      <w:iCs w:val="0"/>
                      <w:color w:val="auto"/>
                      <w:sz w:val="21"/>
                      <w:szCs w:val="21"/>
                      <w:highlight w:val="none"/>
                    </w:rPr>
                    <w:t>CAS号</w:t>
                  </w:r>
                </w:p>
              </w:tc>
              <w:tc>
                <w:tcPr>
                  <w:tcW w:w="761" w:type="pct"/>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contextualSpacing/>
                    <w:jc w:val="center"/>
                    <w:rPr>
                      <w:rFonts w:hint="default" w:ascii="Times New Roman" w:hAnsi="Times New Roman" w:eastAsia="宋体" w:cs="Times New Roman"/>
                      <w:i w:val="0"/>
                      <w:iCs w:val="0"/>
                      <w:color w:val="auto"/>
                      <w:sz w:val="21"/>
                      <w:szCs w:val="21"/>
                      <w:highlight w:val="none"/>
                    </w:rPr>
                  </w:pPr>
                  <w:r>
                    <w:rPr>
                      <w:rFonts w:hint="default" w:ascii="Times New Roman" w:hAnsi="Times New Roman" w:eastAsia="宋体" w:cs="Times New Roman"/>
                      <w:i w:val="0"/>
                      <w:iCs w:val="0"/>
                      <w:color w:val="auto"/>
                      <w:sz w:val="21"/>
                      <w:szCs w:val="21"/>
                      <w:highlight w:val="none"/>
                    </w:rPr>
                    <w:t>最大存在</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contextualSpacing/>
                    <w:jc w:val="center"/>
                    <w:rPr>
                      <w:rFonts w:hint="default" w:ascii="Times New Roman" w:hAnsi="Times New Roman" w:eastAsia="宋体" w:cs="Times New Roman"/>
                      <w:i w:val="0"/>
                      <w:iCs w:val="0"/>
                      <w:color w:val="auto"/>
                      <w:sz w:val="21"/>
                      <w:szCs w:val="21"/>
                      <w:highlight w:val="none"/>
                    </w:rPr>
                  </w:pPr>
                  <w:r>
                    <w:rPr>
                      <w:rFonts w:hint="default" w:ascii="Times New Roman" w:hAnsi="Times New Roman" w:eastAsia="宋体" w:cs="Times New Roman"/>
                      <w:i w:val="0"/>
                      <w:iCs w:val="0"/>
                      <w:color w:val="auto"/>
                      <w:sz w:val="21"/>
                      <w:szCs w:val="21"/>
                      <w:highlight w:val="none"/>
                    </w:rPr>
                    <w:t>总量q</w:t>
                  </w:r>
                  <w:r>
                    <w:rPr>
                      <w:rFonts w:hint="default" w:ascii="Times New Roman" w:hAnsi="Times New Roman" w:eastAsia="宋体" w:cs="Times New Roman"/>
                      <w:i w:val="0"/>
                      <w:iCs w:val="0"/>
                      <w:color w:val="auto"/>
                      <w:sz w:val="21"/>
                      <w:szCs w:val="21"/>
                      <w:highlight w:val="none"/>
                      <w:vertAlign w:val="subscript"/>
                    </w:rPr>
                    <w:t>n</w:t>
                  </w:r>
                  <w:r>
                    <w:rPr>
                      <w:rFonts w:hint="default" w:ascii="Times New Roman" w:hAnsi="Times New Roman" w:eastAsia="宋体" w:cs="Times New Roman"/>
                      <w:i w:val="0"/>
                      <w:iCs w:val="0"/>
                      <w:color w:val="auto"/>
                      <w:sz w:val="21"/>
                      <w:szCs w:val="21"/>
                      <w:highlight w:val="none"/>
                    </w:rPr>
                    <w:t>/t</w:t>
                  </w:r>
                </w:p>
              </w:tc>
              <w:tc>
                <w:tcPr>
                  <w:tcW w:w="657" w:type="pct"/>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contextualSpacing/>
                    <w:jc w:val="center"/>
                    <w:rPr>
                      <w:rFonts w:hint="default" w:ascii="Times New Roman" w:hAnsi="Times New Roman" w:eastAsia="宋体" w:cs="Times New Roman"/>
                      <w:i w:val="0"/>
                      <w:iCs w:val="0"/>
                      <w:color w:val="auto"/>
                      <w:sz w:val="21"/>
                      <w:szCs w:val="21"/>
                      <w:highlight w:val="none"/>
                    </w:rPr>
                  </w:pPr>
                  <w:r>
                    <w:rPr>
                      <w:rFonts w:hint="default" w:ascii="Times New Roman" w:hAnsi="Times New Roman" w:eastAsia="宋体" w:cs="Times New Roman"/>
                      <w:i w:val="0"/>
                      <w:iCs w:val="0"/>
                      <w:color w:val="auto"/>
                      <w:sz w:val="21"/>
                      <w:szCs w:val="21"/>
                      <w:highlight w:val="none"/>
                    </w:rPr>
                    <w:t>临界量</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contextualSpacing/>
                    <w:jc w:val="center"/>
                    <w:rPr>
                      <w:rFonts w:hint="default" w:ascii="Times New Roman" w:hAnsi="Times New Roman" w:eastAsia="宋体" w:cs="Times New Roman"/>
                      <w:i w:val="0"/>
                      <w:iCs w:val="0"/>
                      <w:color w:val="auto"/>
                      <w:sz w:val="21"/>
                      <w:szCs w:val="21"/>
                      <w:highlight w:val="none"/>
                    </w:rPr>
                  </w:pPr>
                  <w:r>
                    <w:rPr>
                      <w:rFonts w:hint="default" w:ascii="Times New Roman" w:hAnsi="Times New Roman" w:eastAsia="宋体" w:cs="Times New Roman"/>
                      <w:i w:val="0"/>
                      <w:iCs w:val="0"/>
                      <w:color w:val="auto"/>
                      <w:sz w:val="21"/>
                      <w:szCs w:val="21"/>
                      <w:highlight w:val="none"/>
                    </w:rPr>
                    <w:t>Q</w:t>
                  </w:r>
                  <w:r>
                    <w:rPr>
                      <w:rFonts w:hint="default" w:ascii="Times New Roman" w:hAnsi="Times New Roman" w:eastAsia="宋体" w:cs="Times New Roman"/>
                      <w:i w:val="0"/>
                      <w:iCs w:val="0"/>
                      <w:color w:val="auto"/>
                      <w:sz w:val="21"/>
                      <w:szCs w:val="21"/>
                      <w:highlight w:val="none"/>
                      <w:vertAlign w:val="subscript"/>
                    </w:rPr>
                    <w:t>n</w:t>
                  </w:r>
                  <w:r>
                    <w:rPr>
                      <w:rFonts w:hint="default" w:ascii="Times New Roman" w:hAnsi="Times New Roman" w:eastAsia="宋体" w:cs="Times New Roman"/>
                      <w:i w:val="0"/>
                      <w:iCs w:val="0"/>
                      <w:color w:val="auto"/>
                      <w:sz w:val="21"/>
                      <w:szCs w:val="21"/>
                      <w:highlight w:val="none"/>
                    </w:rPr>
                    <w:t>/t</w:t>
                  </w:r>
                </w:p>
              </w:tc>
              <w:tc>
                <w:tcPr>
                  <w:tcW w:w="802" w:type="pct"/>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contextualSpacing/>
                    <w:jc w:val="center"/>
                    <w:rPr>
                      <w:rFonts w:hint="default" w:ascii="Times New Roman" w:hAnsi="Times New Roman" w:eastAsia="宋体" w:cs="Times New Roman"/>
                      <w:i w:val="0"/>
                      <w:iCs w:val="0"/>
                      <w:color w:val="auto"/>
                      <w:sz w:val="21"/>
                      <w:szCs w:val="21"/>
                      <w:highlight w:val="none"/>
                    </w:rPr>
                  </w:pPr>
                  <w:r>
                    <w:rPr>
                      <w:rFonts w:hint="default" w:ascii="Times New Roman" w:hAnsi="Times New Roman" w:eastAsia="宋体" w:cs="Times New Roman"/>
                      <w:i w:val="0"/>
                      <w:iCs w:val="0"/>
                      <w:color w:val="auto"/>
                      <w:sz w:val="21"/>
                      <w:szCs w:val="21"/>
                      <w:highlight w:val="none"/>
                    </w:rPr>
                    <w:t>q/Q值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blHeader/>
                <w:jc w:val="center"/>
              </w:trPr>
              <w:tc>
                <w:tcPr>
                  <w:tcW w:w="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i w:val="0"/>
                      <w:iCs w:val="0"/>
                      <w:color w:val="auto"/>
                      <w:sz w:val="21"/>
                      <w:szCs w:val="21"/>
                      <w:highlight w:val="none"/>
                      <w:lang w:val="en-US" w:eastAsia="zh-CN"/>
                    </w:rPr>
                  </w:pPr>
                  <w:r>
                    <w:rPr>
                      <w:rFonts w:hint="eastAsia" w:ascii="Times New Roman" w:hAnsi="Times New Roman" w:eastAsia="宋体" w:cs="Times New Roman"/>
                      <w:i w:val="0"/>
                      <w:iCs w:val="0"/>
                      <w:color w:val="auto"/>
                      <w:kern w:val="0"/>
                      <w:sz w:val="21"/>
                      <w:szCs w:val="21"/>
                      <w:highlight w:val="none"/>
                      <w:u w:val="none"/>
                      <w:lang w:val="en-US" w:eastAsia="zh-CN" w:bidi="ar"/>
                    </w:rPr>
                    <w:t>1</w:t>
                  </w:r>
                </w:p>
              </w:tc>
              <w:tc>
                <w:tcPr>
                  <w:tcW w:w="1504"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1"/>
                      <w:szCs w:val="21"/>
                      <w:highlight w:val="none"/>
                      <w:shd w:val="clear" w:color="auto" w:fill="auto"/>
                      <w:lang w:val="en-US" w:eastAsia="zh-CN"/>
                    </w:rPr>
                  </w:pPr>
                  <w: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t>导热油</w:t>
                  </w:r>
                </w:p>
              </w:tc>
              <w:tc>
                <w:tcPr>
                  <w:tcW w:w="86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1"/>
                      <w:szCs w:val="21"/>
                      <w:highlight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761"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highlight w:val="none"/>
                      <w:lang w:val="en-US" w:eastAsia="zh-CN"/>
                    </w:rPr>
                  </w:pPr>
                  <w:r>
                    <w:rPr>
                      <w:rFonts w:hint="default" w:ascii="Times New Roman" w:hAnsi="Times New Roman" w:eastAsia="宋体" w:cs="Times New Roman"/>
                      <w:i w:val="0"/>
                      <w:iCs w:val="0"/>
                      <w:color w:val="auto"/>
                      <w:sz w:val="21"/>
                      <w:szCs w:val="21"/>
                      <w:highlight w:val="none"/>
                      <w:lang w:val="en-US" w:eastAsia="zh-CN"/>
                    </w:rPr>
                    <w:t>0.2</w:t>
                  </w:r>
                </w:p>
              </w:tc>
              <w:tc>
                <w:tcPr>
                  <w:tcW w:w="65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2500</w:t>
                  </w:r>
                </w:p>
              </w:tc>
              <w:tc>
                <w:tcPr>
                  <w:tcW w:w="802"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0.00008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blHeader/>
                <w:jc w:val="center"/>
              </w:trPr>
              <w:tc>
                <w:tcPr>
                  <w:tcW w:w="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2</w:t>
                  </w:r>
                </w:p>
              </w:tc>
              <w:tc>
                <w:tcPr>
                  <w:tcW w:w="1504"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液压油</w:t>
                  </w:r>
                </w:p>
              </w:tc>
              <w:tc>
                <w:tcPr>
                  <w:tcW w:w="86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761"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0.6</w:t>
                  </w:r>
                </w:p>
              </w:tc>
              <w:tc>
                <w:tcPr>
                  <w:tcW w:w="65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2500</w:t>
                  </w:r>
                </w:p>
              </w:tc>
              <w:tc>
                <w:tcPr>
                  <w:tcW w:w="802" w:type="pct"/>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0.00024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blHeader/>
                <w:jc w:val="center"/>
              </w:trPr>
              <w:tc>
                <w:tcPr>
                  <w:tcW w:w="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3</w:t>
                  </w:r>
                </w:p>
              </w:tc>
              <w:tc>
                <w:tcPr>
                  <w:tcW w:w="1504"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顶针油</w:t>
                  </w:r>
                </w:p>
              </w:tc>
              <w:tc>
                <w:tcPr>
                  <w:tcW w:w="86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761"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0.00</w:t>
                  </w:r>
                  <w:r>
                    <w:rPr>
                      <w:rFonts w:hint="default" w:ascii="Times New Roman" w:hAnsi="Times New Roman" w:cs="Times New Roman"/>
                      <w:i w:val="0"/>
                      <w:iCs w:val="0"/>
                      <w:color w:val="auto"/>
                      <w:kern w:val="0"/>
                      <w:sz w:val="21"/>
                      <w:szCs w:val="21"/>
                      <w:highlight w:val="none"/>
                      <w:u w:val="none"/>
                      <w:lang w:val="en-US" w:eastAsia="zh-CN" w:bidi="ar"/>
                    </w:rPr>
                    <w:t>5</w:t>
                  </w:r>
                </w:p>
              </w:tc>
              <w:tc>
                <w:tcPr>
                  <w:tcW w:w="65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2500</w:t>
                  </w:r>
                </w:p>
              </w:tc>
              <w:tc>
                <w:tcPr>
                  <w:tcW w:w="802" w:type="pct"/>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0.000002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76" w:hRule="atLeast"/>
                <w:tblHeader/>
                <w:jc w:val="center"/>
              </w:trPr>
              <w:tc>
                <w:tcPr>
                  <w:tcW w:w="406"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i w:val="0"/>
                      <w:iCs w:val="0"/>
                      <w:color w:val="auto"/>
                      <w:sz w:val="21"/>
                      <w:szCs w:val="21"/>
                      <w:highlight w:val="none"/>
                      <w:lang w:val="en-US" w:eastAsia="zh-CN"/>
                    </w:rPr>
                  </w:pPr>
                  <w:r>
                    <w:rPr>
                      <w:rFonts w:hint="eastAsia" w:ascii="Times New Roman" w:hAnsi="Times New Roman" w:eastAsia="宋体" w:cs="Times New Roman"/>
                      <w:i w:val="0"/>
                      <w:iCs w:val="0"/>
                      <w:color w:val="auto"/>
                      <w:kern w:val="0"/>
                      <w:sz w:val="21"/>
                      <w:szCs w:val="21"/>
                      <w:highlight w:val="none"/>
                      <w:u w:val="none"/>
                      <w:lang w:val="en-US" w:eastAsia="zh-CN" w:bidi="ar"/>
                    </w:rPr>
                    <w:t>4</w:t>
                  </w:r>
                </w:p>
              </w:tc>
              <w:tc>
                <w:tcPr>
                  <w:tcW w:w="658"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1"/>
                      <w:szCs w:val="21"/>
                      <w:highlight w:val="none"/>
                      <w:shd w:val="clear" w:color="auto" w:fill="auto"/>
                      <w:lang w:val="en-US" w:eastAsia="zh-CN"/>
                    </w:rPr>
                  </w:pPr>
                  <w: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t>模具清洗剂WD-40</w:t>
                  </w:r>
                </w:p>
              </w:tc>
              <w:tc>
                <w:tcPr>
                  <w:tcW w:w="8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t>脂肪烃</w:t>
                  </w:r>
                </w:p>
              </w:tc>
              <w:tc>
                <w:tcPr>
                  <w:tcW w:w="86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1"/>
                      <w:szCs w:val="21"/>
                      <w:highlight w:val="none"/>
                      <w:lang w:val="en-US" w:eastAsia="zh-CN"/>
                    </w:rPr>
                  </w:pPr>
                  <w:r>
                    <w:rPr>
                      <w:rFonts w:hint="default" w:ascii="Times New Roman" w:hAnsi="Times New Roman" w:eastAsia="宋体" w:cs="Times New Roman"/>
                      <w:i w:val="0"/>
                      <w:iCs w:val="0"/>
                      <w:color w:val="auto"/>
                      <w:sz w:val="21"/>
                      <w:szCs w:val="21"/>
                      <w:highlight w:val="none"/>
                      <w:lang w:val="en-US" w:eastAsia="zh-CN"/>
                    </w:rPr>
                    <w:t>-</w:t>
                  </w:r>
                </w:p>
              </w:tc>
              <w:tc>
                <w:tcPr>
                  <w:tcW w:w="761"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highlight w:val="none"/>
                      <w:lang w:val="en-US" w:eastAsia="zh-CN"/>
                    </w:rPr>
                  </w:pPr>
                  <w:r>
                    <w:rPr>
                      <w:rFonts w:hint="default" w:ascii="Times New Roman" w:hAnsi="Times New Roman" w:eastAsia="宋体" w:cs="Times New Roman"/>
                      <w:i w:val="0"/>
                      <w:iCs w:val="0"/>
                      <w:color w:val="auto"/>
                      <w:sz w:val="21"/>
                      <w:szCs w:val="21"/>
                      <w:highlight w:val="none"/>
                      <w:lang w:val="en-US" w:eastAsia="zh-CN"/>
                    </w:rPr>
                    <w:t>0.00252</w:t>
                  </w:r>
                </w:p>
              </w:tc>
              <w:tc>
                <w:tcPr>
                  <w:tcW w:w="65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1"/>
                      <w:szCs w:val="21"/>
                      <w:highlight w:val="none"/>
                      <w:lang w:val="en-US" w:eastAsia="zh-CN"/>
                    </w:rPr>
                  </w:pPr>
                  <w:r>
                    <w:rPr>
                      <w:rFonts w:hint="default" w:ascii="Times New Roman" w:hAnsi="Times New Roman" w:eastAsia="宋体" w:cs="Times New Roman"/>
                      <w:i w:val="0"/>
                      <w:iCs w:val="0"/>
                      <w:color w:val="auto"/>
                      <w:sz w:val="21"/>
                      <w:szCs w:val="21"/>
                      <w:highlight w:val="none"/>
                      <w:lang w:val="en-US" w:eastAsia="zh-CN"/>
                    </w:rPr>
                    <w:t>-</w:t>
                  </w:r>
                </w:p>
              </w:tc>
              <w:tc>
                <w:tcPr>
                  <w:tcW w:w="802"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highlight w:val="none"/>
                      <w:lang w:val="en-US" w:eastAsia="zh-CN"/>
                    </w:rPr>
                  </w:pPr>
                  <w:r>
                    <w:rPr>
                      <w:rFonts w:hint="default" w:ascii="Times New Roman" w:hAnsi="Times New Roman" w:eastAsia="宋体" w:cs="Times New Roman"/>
                      <w:i w:val="0"/>
                      <w:iCs w:val="0"/>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76" w:hRule="atLeast"/>
                <w:tblHeader/>
                <w:jc w:val="center"/>
              </w:trPr>
              <w:tc>
                <w:tcPr>
                  <w:tcW w:w="406"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color w:val="auto"/>
                      <w:highlight w:val="none"/>
                    </w:rPr>
                  </w:pPr>
                </w:p>
              </w:tc>
              <w:tc>
                <w:tcPr>
                  <w:tcW w:w="658"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highlight w:val="none"/>
                    </w:rPr>
                  </w:pPr>
                </w:p>
              </w:tc>
              <w:tc>
                <w:tcPr>
                  <w:tcW w:w="8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t>石油基油</w:t>
                  </w:r>
                </w:p>
              </w:tc>
              <w:tc>
                <w:tcPr>
                  <w:tcW w:w="86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t>-</w:t>
                  </w:r>
                </w:p>
              </w:tc>
              <w:tc>
                <w:tcPr>
                  <w:tcW w:w="76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t>0.00054</w:t>
                  </w:r>
                </w:p>
              </w:tc>
              <w:tc>
                <w:tcPr>
                  <w:tcW w:w="65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2500</w:t>
                  </w:r>
                </w:p>
              </w:tc>
              <w:tc>
                <w:tcPr>
                  <w:tcW w:w="80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t>0.000000216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76" w:hRule="atLeast"/>
                <w:tblHeader/>
                <w:jc w:val="center"/>
              </w:trPr>
              <w:tc>
                <w:tcPr>
                  <w:tcW w:w="406"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Times New Roman"/>
                      <w:i w:val="0"/>
                      <w:iCs w:val="0"/>
                      <w:color w:val="auto"/>
                      <w:kern w:val="0"/>
                      <w:sz w:val="21"/>
                      <w:szCs w:val="21"/>
                      <w:highlight w:val="none"/>
                      <w:u w:val="none"/>
                      <w:shd w:val="clear" w:color="auto" w:fill="auto"/>
                      <w:lang w:val="en-US" w:eastAsia="zh-CN" w:bidi="ar"/>
                    </w:rPr>
                  </w:pPr>
                </w:p>
              </w:tc>
              <w:tc>
                <w:tcPr>
                  <w:tcW w:w="658"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p>
              </w:tc>
              <w:tc>
                <w:tcPr>
                  <w:tcW w:w="8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t>二氧化碳</w:t>
                  </w:r>
                </w:p>
              </w:tc>
              <w:tc>
                <w:tcPr>
                  <w:tcW w:w="86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t>-</w:t>
                  </w:r>
                </w:p>
              </w:tc>
              <w:tc>
                <w:tcPr>
                  <w:tcW w:w="76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t>0.00054</w:t>
                  </w:r>
                </w:p>
              </w:tc>
              <w:tc>
                <w:tcPr>
                  <w:tcW w:w="65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t>-</w:t>
                  </w:r>
                </w:p>
              </w:tc>
              <w:tc>
                <w:tcPr>
                  <w:tcW w:w="80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76" w:hRule="atLeast"/>
                <w:tblHeader/>
                <w:jc w:val="center"/>
              </w:trPr>
              <w:tc>
                <w:tcPr>
                  <w:tcW w:w="406"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eastAsia" w:ascii="Times New Roman" w:hAnsi="Times New Roman" w:eastAsia="宋体" w:cs="Times New Roman"/>
                      <w:i w:val="0"/>
                      <w:iCs w:val="0"/>
                      <w:color w:val="auto"/>
                      <w:kern w:val="0"/>
                      <w:sz w:val="21"/>
                      <w:szCs w:val="21"/>
                      <w:highlight w:val="none"/>
                      <w:u w:val="none"/>
                      <w:shd w:val="clear" w:color="auto" w:fill="auto"/>
                      <w:lang w:val="en-US" w:eastAsia="zh-CN" w:bidi="ar"/>
                    </w:rPr>
                    <w:t>5</w:t>
                  </w:r>
                </w:p>
              </w:tc>
              <w:tc>
                <w:tcPr>
                  <w:tcW w:w="658"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t>模具清洗剂</w:t>
                  </w:r>
                </w:p>
              </w:tc>
              <w:tc>
                <w:tcPr>
                  <w:tcW w:w="8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t>丙酮</w:t>
                  </w:r>
                </w:p>
              </w:tc>
              <w:tc>
                <w:tcPr>
                  <w:tcW w:w="86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t>67-64-1</w:t>
                  </w:r>
                </w:p>
              </w:tc>
              <w:tc>
                <w:tcPr>
                  <w:tcW w:w="76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t>0.03</w:t>
                  </w:r>
                </w:p>
              </w:tc>
              <w:tc>
                <w:tcPr>
                  <w:tcW w:w="65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t>10</w:t>
                  </w:r>
                </w:p>
              </w:tc>
              <w:tc>
                <w:tcPr>
                  <w:tcW w:w="80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t>0.003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76" w:hRule="atLeast"/>
                <w:tblHeader/>
                <w:jc w:val="center"/>
              </w:trPr>
              <w:tc>
                <w:tcPr>
                  <w:tcW w:w="406"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Times New Roman"/>
                      <w:i w:val="0"/>
                      <w:iCs w:val="0"/>
                      <w:color w:val="auto"/>
                      <w:kern w:val="0"/>
                      <w:sz w:val="21"/>
                      <w:szCs w:val="21"/>
                      <w:highlight w:val="none"/>
                      <w:u w:val="none"/>
                      <w:shd w:val="clear" w:color="auto" w:fill="auto"/>
                      <w:lang w:val="en-US" w:eastAsia="zh-CN" w:bidi="ar"/>
                    </w:rPr>
                  </w:pPr>
                </w:p>
              </w:tc>
              <w:tc>
                <w:tcPr>
                  <w:tcW w:w="658"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p>
              </w:tc>
              <w:tc>
                <w:tcPr>
                  <w:tcW w:w="8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t>丁烷</w:t>
                  </w:r>
                </w:p>
              </w:tc>
              <w:tc>
                <w:tcPr>
                  <w:tcW w:w="86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t>106-97-8</w:t>
                  </w:r>
                </w:p>
              </w:tc>
              <w:tc>
                <w:tcPr>
                  <w:tcW w:w="76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t>0.02</w:t>
                  </w:r>
                </w:p>
              </w:tc>
              <w:tc>
                <w:tcPr>
                  <w:tcW w:w="65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t>10</w:t>
                  </w:r>
                </w:p>
              </w:tc>
              <w:tc>
                <w:tcPr>
                  <w:tcW w:w="80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t>0.002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8" w:hRule="atLeast"/>
                <w:tblHeader/>
                <w:jc w:val="center"/>
              </w:trPr>
              <w:tc>
                <w:tcPr>
                  <w:tcW w:w="406"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6</w:t>
                  </w:r>
                </w:p>
              </w:tc>
              <w:tc>
                <w:tcPr>
                  <w:tcW w:w="658"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t>防锈剂</w:t>
                  </w:r>
                </w:p>
              </w:tc>
              <w:tc>
                <w:tcPr>
                  <w:tcW w:w="8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t>丁醚</w:t>
                  </w:r>
                </w:p>
              </w:tc>
              <w:tc>
                <w:tcPr>
                  <w:tcW w:w="86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142-96-1</w:t>
                  </w:r>
                </w:p>
              </w:tc>
              <w:tc>
                <w:tcPr>
                  <w:tcW w:w="761"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highlight w:val="none"/>
                      <w:lang w:val="en-US" w:eastAsia="zh-CN"/>
                    </w:rPr>
                  </w:pPr>
                  <w:r>
                    <w:rPr>
                      <w:rFonts w:hint="default" w:ascii="Times New Roman" w:hAnsi="Times New Roman" w:eastAsia="宋体" w:cs="Times New Roman"/>
                      <w:i w:val="0"/>
                      <w:iCs w:val="0"/>
                      <w:color w:val="auto"/>
                      <w:sz w:val="21"/>
                      <w:szCs w:val="21"/>
                      <w:highlight w:val="none"/>
                      <w:lang w:val="en-US" w:eastAsia="zh-CN"/>
                    </w:rPr>
                    <w:t>0.00</w:t>
                  </w:r>
                  <w:r>
                    <w:rPr>
                      <w:rFonts w:hint="default" w:ascii="Times New Roman" w:hAnsi="Times New Roman" w:cs="Times New Roman"/>
                      <w:i w:val="0"/>
                      <w:iCs w:val="0"/>
                      <w:color w:val="auto"/>
                      <w:sz w:val="21"/>
                      <w:szCs w:val="21"/>
                      <w:highlight w:val="none"/>
                      <w:lang w:val="en-US" w:eastAsia="zh-CN"/>
                    </w:rPr>
                    <w:t>8</w:t>
                  </w:r>
                </w:p>
              </w:tc>
              <w:tc>
                <w:tcPr>
                  <w:tcW w:w="65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802" w:type="pct"/>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kern w:val="0"/>
                      <w:sz w:val="21"/>
                      <w:szCs w:val="21"/>
                      <w:highlight w:val="none"/>
                      <w:u w:val="none"/>
                      <w:lang w:val="en-US" w:eastAsia="zh-CN" w:bidi="ar"/>
                    </w:rPr>
                  </w:pPr>
                  <w:r>
                    <w:rPr>
                      <w:rFonts w:hint="default" w:ascii="Times New Roman" w:hAnsi="Times New Roman" w:eastAsia="等线" w:cs="Times New Roman"/>
                      <w:i w:val="0"/>
                      <w:color w:val="auto"/>
                      <w:kern w:val="0"/>
                      <w:sz w:val="21"/>
                      <w:szCs w:val="21"/>
                      <w:highlight w:val="none"/>
                      <w:u w:val="none"/>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blHeader/>
                <w:jc w:val="center"/>
              </w:trPr>
              <w:tc>
                <w:tcPr>
                  <w:tcW w:w="406"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eastAsia="宋体"/>
                      <w:color w:val="auto"/>
                      <w:highlight w:val="none"/>
                      <w:lang w:val="en-US" w:eastAsia="zh-CN"/>
                    </w:rPr>
                  </w:pPr>
                </w:p>
              </w:tc>
              <w:tc>
                <w:tcPr>
                  <w:tcW w:w="658"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highlight w:val="none"/>
                    </w:rPr>
                  </w:pPr>
                </w:p>
              </w:tc>
              <w:tc>
                <w:tcPr>
                  <w:tcW w:w="8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t>矽油</w:t>
                  </w:r>
                </w:p>
              </w:tc>
              <w:tc>
                <w:tcPr>
                  <w:tcW w:w="86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t>-</w:t>
                  </w:r>
                </w:p>
              </w:tc>
              <w:tc>
                <w:tcPr>
                  <w:tcW w:w="76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t>0.00</w:t>
                  </w:r>
                  <w:r>
                    <w:rPr>
                      <w:rFonts w:hint="default" w:ascii="Times New Roman" w:hAnsi="Times New Roman" w:cs="Times New Roman"/>
                      <w:i w:val="0"/>
                      <w:iCs w:val="0"/>
                      <w:color w:val="auto"/>
                      <w:kern w:val="0"/>
                      <w:sz w:val="21"/>
                      <w:szCs w:val="21"/>
                      <w:highlight w:val="none"/>
                      <w:u w:val="none"/>
                      <w:shd w:val="clear" w:color="auto" w:fill="auto"/>
                      <w:lang w:val="en-US" w:eastAsia="zh-CN" w:bidi="ar"/>
                    </w:rPr>
                    <w:t>2</w:t>
                  </w:r>
                </w:p>
              </w:tc>
              <w:tc>
                <w:tcPr>
                  <w:tcW w:w="65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t>2500</w:t>
                  </w:r>
                </w:p>
              </w:tc>
              <w:tc>
                <w:tcPr>
                  <w:tcW w:w="80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t>0.000000</w:t>
                  </w:r>
                  <w:r>
                    <w:rPr>
                      <w:rFonts w:hint="default" w:ascii="Times New Roman" w:hAnsi="Times New Roman" w:cs="Times New Roman"/>
                      <w:i w:val="0"/>
                      <w:iCs w:val="0"/>
                      <w:color w:val="auto"/>
                      <w:kern w:val="0"/>
                      <w:sz w:val="21"/>
                      <w:szCs w:val="21"/>
                      <w:highlight w:val="none"/>
                      <w:u w:val="none"/>
                      <w:shd w:val="clear" w:color="auto" w:fill="auto"/>
                      <w:lang w:val="en-US" w:eastAsia="zh-CN" w:bidi="ar"/>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blHeader/>
                <w:jc w:val="center"/>
              </w:trPr>
              <w:tc>
                <w:tcPr>
                  <w:tcW w:w="4197" w:type="pct"/>
                  <w:gridSpan w:val="6"/>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i w:val="0"/>
                      <w:iCs w:val="0"/>
                      <w:color w:val="auto"/>
                      <w:kern w:val="0"/>
                      <w:sz w:val="21"/>
                      <w:szCs w:val="21"/>
                      <w:highlight w:val="none"/>
                      <w:shd w:val="clear" w:color="auto" w:fill="auto"/>
                      <w:lang w:bidi="ar"/>
                    </w:rPr>
                  </w:pPr>
                  <w:r>
                    <w:rPr>
                      <w:rFonts w:hint="default" w:ascii="Times New Roman" w:hAnsi="Times New Roman" w:eastAsia="宋体" w:cs="Times New Roman"/>
                      <w:i w:val="0"/>
                      <w:iCs w:val="0"/>
                      <w:color w:val="auto"/>
                      <w:kern w:val="0"/>
                      <w:sz w:val="21"/>
                      <w:szCs w:val="21"/>
                      <w:highlight w:val="none"/>
                      <w:shd w:val="clear" w:color="auto" w:fill="auto"/>
                      <w:lang w:bidi="ar"/>
                    </w:rPr>
                    <w:t>项目Q值Σ</w:t>
                  </w:r>
                </w:p>
              </w:tc>
              <w:tc>
                <w:tcPr>
                  <w:tcW w:w="802"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cs="Times New Roman"/>
                      <w:i w:val="0"/>
                      <w:iCs w:val="0"/>
                      <w:color w:val="auto"/>
                      <w:kern w:val="0"/>
                      <w:sz w:val="21"/>
                      <w:szCs w:val="21"/>
                      <w:highlight w:val="none"/>
                      <w:u w:val="none"/>
                      <w:shd w:val="clear" w:color="auto" w:fill="auto"/>
                      <w:lang w:val="en-US" w:eastAsia="zh-CN" w:bidi="ar"/>
                    </w:rPr>
                    <w:t>0.005323016</w:t>
                  </w:r>
                </w:p>
              </w:tc>
            </w:tr>
          </w:tbl>
          <w:p>
            <w:pPr>
              <w:pStyle w:val="63"/>
              <w:spacing w:line="240" w:lineRule="auto"/>
              <w:ind w:firstLine="440" w:firstLineChars="200"/>
              <w:rPr>
                <w:rFonts w:hint="eastAsia" w:ascii="Times New Roman" w:hAnsi="Times New Roman" w:eastAsia="宋体" w:cs="Times New Roman"/>
                <w:color w:val="auto"/>
                <w:spacing w:val="0"/>
                <w:kern w:val="0"/>
                <w:sz w:val="22"/>
                <w:szCs w:val="18"/>
                <w:highlight w:val="none"/>
                <w:lang w:val="en-US" w:eastAsia="zh-CN" w:bidi="ar-SA"/>
              </w:rPr>
            </w:pPr>
          </w:p>
          <w:p>
            <w:pPr>
              <w:pStyle w:val="63"/>
              <w:spacing w:line="360" w:lineRule="auto"/>
              <w:ind w:firstLine="480" w:firstLineChars="200"/>
              <w:rPr>
                <w:rFonts w:hint="eastAsia" w:ascii="Times New Roman" w:hAnsi="Times New Roman" w:eastAsia="宋体" w:cs="Times New Roman"/>
                <w:color w:val="auto"/>
                <w:spacing w:val="0"/>
                <w:kern w:val="0"/>
                <w:sz w:val="24"/>
                <w:szCs w:val="20"/>
                <w:highlight w:val="none"/>
                <w:lang w:val="en-US" w:eastAsia="zh-CN" w:bidi="ar-SA"/>
              </w:rPr>
            </w:pPr>
            <w:r>
              <w:rPr>
                <w:rFonts w:hint="eastAsia" w:ascii="Times New Roman" w:hAnsi="Times New Roman" w:eastAsia="宋体" w:cs="Times New Roman"/>
                <w:color w:val="auto"/>
                <w:spacing w:val="0"/>
                <w:kern w:val="0"/>
                <w:sz w:val="24"/>
                <w:szCs w:val="20"/>
                <w:highlight w:val="none"/>
                <w:lang w:val="en-US" w:eastAsia="zh-CN" w:bidi="ar-SA"/>
              </w:rPr>
              <w:t>由表计算，Q值为</w:t>
            </w:r>
            <w:r>
              <w:rPr>
                <w:rFonts w:hint="eastAsia" w:ascii="Times New Roman" w:hAnsi="Times New Roman" w:cs="Times New Roman"/>
                <w:color w:val="auto"/>
                <w:highlight w:val="none"/>
                <w:lang w:val="en-US" w:eastAsia="zh-CN"/>
              </w:rPr>
              <w:t>0.005323016</w:t>
            </w:r>
            <w:r>
              <w:rPr>
                <w:rFonts w:hint="eastAsia" w:ascii="Times New Roman" w:hAnsi="Times New Roman" w:eastAsia="宋体" w:cs="Times New Roman"/>
                <w:color w:val="auto"/>
                <w:spacing w:val="0"/>
                <w:kern w:val="0"/>
                <w:sz w:val="24"/>
                <w:szCs w:val="20"/>
                <w:highlight w:val="none"/>
                <w:lang w:val="en-US" w:eastAsia="zh-CN" w:bidi="ar-SA"/>
              </w:rPr>
              <w:t>小于1，无需设置环境风险专项。</w:t>
            </w:r>
          </w:p>
          <w:p>
            <w:pPr>
              <w:pStyle w:val="63"/>
              <w:spacing w:line="360" w:lineRule="auto"/>
              <w:ind w:firstLine="480" w:firstLineChars="200"/>
              <w:rPr>
                <w:rFonts w:hint="eastAsia" w:ascii="Times New Roman" w:hAnsi="Times New Roman" w:eastAsia="宋体" w:cs="Times New Roman"/>
                <w:color w:val="auto"/>
                <w:spacing w:val="0"/>
                <w:kern w:val="0"/>
                <w:sz w:val="24"/>
                <w:szCs w:val="20"/>
                <w:highlight w:val="none"/>
                <w:lang w:val="en-US" w:eastAsia="zh-CN" w:bidi="ar-SA"/>
              </w:rPr>
            </w:pPr>
            <w:r>
              <w:rPr>
                <w:rFonts w:hint="eastAsia" w:ascii="Times New Roman" w:hAnsi="Times New Roman" w:cs="Times New Roman"/>
                <w:b w:val="0"/>
                <w:bCs w:val="0"/>
                <w:color w:val="auto"/>
                <w:sz w:val="24"/>
                <w:szCs w:val="24"/>
                <w:highlight w:val="none"/>
                <w:lang w:val="en-US" w:eastAsia="zh-CN"/>
              </w:rPr>
              <w:t>（3</w:t>
            </w:r>
            <w:r>
              <w:rPr>
                <w:rFonts w:hint="default" w:ascii="Times New Roman" w:hAnsi="Times New Roman" w:cs="Times New Roman"/>
                <w:b w:val="0"/>
                <w:bCs w:val="0"/>
                <w:color w:val="auto"/>
                <w:sz w:val="24"/>
                <w:szCs w:val="24"/>
                <w:highlight w:val="none"/>
                <w:lang w:eastAsia="zh-CN"/>
              </w:rPr>
              <w:t>）</w:t>
            </w:r>
            <w:r>
              <w:rPr>
                <w:rFonts w:hint="eastAsia" w:ascii="Times New Roman" w:hAnsi="Times New Roman" w:cs="Times New Roman"/>
                <w:b w:val="0"/>
                <w:bCs w:val="0"/>
                <w:color w:val="auto"/>
                <w:sz w:val="24"/>
                <w:szCs w:val="24"/>
                <w:highlight w:val="none"/>
                <w:lang w:eastAsia="zh-CN"/>
              </w:rPr>
              <w:t>风险物质理化性质</w:t>
            </w:r>
          </w:p>
          <w:p>
            <w:pPr>
              <w:pStyle w:val="63"/>
              <w:spacing w:line="360" w:lineRule="auto"/>
              <w:ind w:firstLine="480" w:firstLineChars="200"/>
              <w:rPr>
                <w:rFonts w:hint="eastAsia" w:ascii="Times New Roman" w:hAnsi="Times New Roman" w:eastAsia="宋体" w:cs="Times New Roman"/>
                <w:color w:val="auto"/>
                <w:spacing w:val="0"/>
                <w:kern w:val="0"/>
                <w:sz w:val="24"/>
                <w:szCs w:val="20"/>
                <w:highlight w:val="none"/>
                <w:lang w:val="en-US" w:eastAsia="zh-CN" w:bidi="ar-SA"/>
              </w:rPr>
            </w:pPr>
            <w:r>
              <w:rPr>
                <w:rFonts w:hint="eastAsia" w:ascii="Times New Roman" w:hAnsi="Times New Roman" w:eastAsia="宋体" w:cs="Times New Roman"/>
                <w:color w:val="auto"/>
                <w:spacing w:val="0"/>
                <w:kern w:val="0"/>
                <w:sz w:val="24"/>
                <w:szCs w:val="20"/>
                <w:highlight w:val="none"/>
                <w:lang w:val="en-US" w:eastAsia="zh-CN" w:bidi="ar-SA"/>
              </w:rPr>
              <w:t>本项目物质危险识别见下表。</w:t>
            </w:r>
          </w:p>
          <w:p>
            <w:pPr>
              <w:pStyle w:val="63"/>
              <w:spacing w:line="240" w:lineRule="auto"/>
              <w:ind w:firstLine="482" w:firstLineChars="200"/>
              <w:jc w:val="center"/>
              <w:rPr>
                <w:rFonts w:hint="eastAsia" w:ascii="Times New Roman" w:hAnsi="Times New Roman" w:eastAsia="宋体" w:cs="Times New Roman"/>
                <w:b/>
                <w:smallCaps/>
                <w:color w:val="auto"/>
                <w:kern w:val="0"/>
                <w:sz w:val="24"/>
                <w:szCs w:val="20"/>
                <w:highlight w:val="none"/>
                <w:lang w:val="en-US" w:eastAsia="zh-CN" w:bidi="ar-SA"/>
              </w:rPr>
            </w:pPr>
            <w:r>
              <w:rPr>
                <w:rFonts w:hint="eastAsia" w:ascii="Times New Roman" w:hAnsi="Times New Roman" w:eastAsia="宋体" w:cs="Times New Roman"/>
                <w:b/>
                <w:smallCaps/>
                <w:color w:val="auto"/>
                <w:kern w:val="0"/>
                <w:sz w:val="24"/>
                <w:szCs w:val="20"/>
                <w:highlight w:val="none"/>
                <w:lang w:val="en-US" w:eastAsia="zh-CN" w:bidi="ar-SA"/>
              </w:rPr>
              <w:t>表4-</w:t>
            </w:r>
            <w:r>
              <w:rPr>
                <w:rFonts w:hint="eastAsia" w:cs="Times New Roman"/>
                <w:b/>
                <w:smallCaps/>
                <w:color w:val="auto"/>
                <w:kern w:val="0"/>
                <w:sz w:val="24"/>
                <w:szCs w:val="20"/>
                <w:highlight w:val="none"/>
                <w:lang w:val="en-US" w:eastAsia="zh-CN" w:bidi="ar-SA"/>
              </w:rPr>
              <w:t>15</w:t>
            </w:r>
            <w:r>
              <w:rPr>
                <w:rFonts w:hint="eastAsia" w:ascii="Times New Roman" w:hAnsi="Times New Roman" w:eastAsia="宋体" w:cs="Times New Roman"/>
                <w:b/>
                <w:smallCaps/>
                <w:color w:val="auto"/>
                <w:kern w:val="0"/>
                <w:sz w:val="24"/>
                <w:szCs w:val="20"/>
                <w:highlight w:val="none"/>
                <w:lang w:val="en-US" w:eastAsia="zh-CN" w:bidi="ar-SA"/>
              </w:rPr>
              <w:t xml:space="preserve">  本项目物质危险性识别表</w:t>
            </w:r>
          </w:p>
          <w:tbl>
            <w:tblPr>
              <w:tblStyle w:val="30"/>
              <w:tblW w:w="4874"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503"/>
              <w:gridCol w:w="1048"/>
              <w:gridCol w:w="662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75" w:hRule="atLeast"/>
                <w:tblHeader/>
                <w:jc w:val="center"/>
              </w:trPr>
              <w:tc>
                <w:tcPr>
                  <w:tcW w:w="307" w:type="pct"/>
                  <w:noWrap w:val="0"/>
                  <w:vAlign w:val="center"/>
                </w:tcPr>
                <w:p>
                  <w:pPr>
                    <w:jc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序号</w:t>
                  </w:r>
                </w:p>
              </w:tc>
              <w:tc>
                <w:tcPr>
                  <w:tcW w:w="640" w:type="pct"/>
                  <w:noWrap w:val="0"/>
                  <w:vAlign w:val="center"/>
                </w:tcPr>
                <w:p>
                  <w:pPr>
                    <w:jc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危险物质名称</w:t>
                  </w:r>
                </w:p>
              </w:tc>
              <w:tc>
                <w:tcPr>
                  <w:tcW w:w="4051" w:type="pct"/>
                  <w:noWrap w:val="0"/>
                  <w:vAlign w:val="center"/>
                </w:tcPr>
                <w:p>
                  <w:pPr>
                    <w:jc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风险特征</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88" w:hRule="atLeast"/>
                <w:tblHeader/>
                <w:jc w:val="center"/>
              </w:trPr>
              <w:tc>
                <w:tcPr>
                  <w:tcW w:w="307" w:type="pct"/>
                  <w:noWrap w:val="0"/>
                  <w:vAlign w:val="center"/>
                </w:tcPr>
                <w:p>
                  <w:pPr>
                    <w:jc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w:t>
                  </w:r>
                </w:p>
              </w:tc>
              <w:tc>
                <w:tcPr>
                  <w:tcW w:w="640" w:type="pct"/>
                  <w:noWrap w:val="0"/>
                  <w:vAlign w:val="center"/>
                </w:tcPr>
                <w:p>
                  <w:pPr>
                    <w:jc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顶针油</w:t>
                  </w:r>
                </w:p>
              </w:tc>
              <w:tc>
                <w:tcPr>
                  <w:tcW w:w="4051" w:type="pct"/>
                  <w:noWrap w:val="0"/>
                  <w:vAlign w:val="center"/>
                </w:tcPr>
                <w:p>
                  <w:pPr>
                    <w:jc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透明至微黄液体。粘度130℃，65%至70%不挥发。耐高温300℃以上，环保无污染、</w:t>
                  </w:r>
                  <w:r>
                    <w:rPr>
                      <w:rFonts w:hint="default" w:ascii="Times New Roman" w:hAnsi="Times New Roman" w:eastAsia="宋体" w:cs="Times New Roman"/>
                      <w:color w:val="auto"/>
                      <w:highlight w:val="none"/>
                      <w:lang w:val="en-US" w:eastAsia="zh-CN"/>
                    </w:rPr>
                    <w:fldChar w:fldCharType="begin"/>
                  </w:r>
                  <w:r>
                    <w:rPr>
                      <w:rFonts w:hint="default" w:ascii="Times New Roman" w:hAnsi="Times New Roman" w:eastAsia="宋体" w:cs="Times New Roman"/>
                      <w:color w:val="auto"/>
                      <w:highlight w:val="none"/>
                      <w:lang w:val="en-US" w:eastAsia="zh-CN"/>
                    </w:rPr>
                    <w:instrText xml:space="preserve"> HYPERLINK "https://baike.baidu.com/item/%E6%97%A0%E6%AF%92" \t "https://baike.baidu.com/item/%E9%A1%B6%E9%92%88%E6%B2%B9/_blank" </w:instrText>
                  </w:r>
                  <w:r>
                    <w:rPr>
                      <w:rFonts w:hint="default" w:ascii="Times New Roman" w:hAnsi="Times New Roman" w:eastAsia="宋体" w:cs="Times New Roman"/>
                      <w:color w:val="auto"/>
                      <w:highlight w:val="none"/>
                      <w:lang w:val="en-US" w:eastAsia="zh-CN"/>
                    </w:rPr>
                    <w:fldChar w:fldCharType="separate"/>
                  </w:r>
                  <w:r>
                    <w:rPr>
                      <w:rFonts w:hint="default" w:ascii="Times New Roman" w:hAnsi="Times New Roman" w:eastAsia="宋体" w:cs="Times New Roman"/>
                      <w:color w:val="auto"/>
                      <w:highlight w:val="none"/>
                      <w:lang w:val="en-US" w:eastAsia="zh-CN"/>
                    </w:rPr>
                    <w:t>无毒</w:t>
                  </w:r>
                  <w:r>
                    <w:rPr>
                      <w:rFonts w:hint="default" w:ascii="Times New Roman" w:hAnsi="Times New Roman" w:eastAsia="宋体" w:cs="Times New Roman"/>
                      <w:color w:val="auto"/>
                      <w:highlight w:val="none"/>
                      <w:lang w:val="en-US" w:eastAsia="zh-CN"/>
                    </w:rPr>
                    <w:fldChar w:fldCharType="end"/>
                  </w:r>
                  <w:r>
                    <w:rPr>
                      <w:rFonts w:hint="default" w:ascii="Times New Roman" w:hAnsi="Times New Roman" w:eastAsia="宋体" w:cs="Times New Roman"/>
                      <w:color w:val="auto"/>
                      <w:highlight w:val="none"/>
                      <w:lang w:val="en-US" w:eastAsia="zh-CN"/>
                    </w:rPr>
                    <w:t>、</w:t>
                  </w:r>
                  <w:r>
                    <w:rPr>
                      <w:rFonts w:hint="default" w:ascii="Times New Roman" w:hAnsi="Times New Roman" w:eastAsia="宋体" w:cs="Times New Roman"/>
                      <w:color w:val="auto"/>
                      <w:highlight w:val="none"/>
                      <w:lang w:val="en-US" w:eastAsia="zh-CN"/>
                    </w:rPr>
                    <w:fldChar w:fldCharType="begin"/>
                  </w:r>
                  <w:r>
                    <w:rPr>
                      <w:rFonts w:hint="default" w:ascii="Times New Roman" w:hAnsi="Times New Roman" w:eastAsia="宋体" w:cs="Times New Roman"/>
                      <w:color w:val="auto"/>
                      <w:highlight w:val="none"/>
                      <w:lang w:val="en-US" w:eastAsia="zh-CN"/>
                    </w:rPr>
                    <w:instrText xml:space="preserve"> HYPERLINK "https://baike.baidu.com/item/%E6%97%A0%E5%AE%B3" \t "https://baike.baidu.com/item/%E9%A1%B6%E9%92%88%E6%B2%B9/_blank" </w:instrText>
                  </w:r>
                  <w:r>
                    <w:rPr>
                      <w:rFonts w:hint="default" w:ascii="Times New Roman" w:hAnsi="Times New Roman" w:eastAsia="宋体" w:cs="Times New Roman"/>
                      <w:color w:val="auto"/>
                      <w:highlight w:val="none"/>
                      <w:lang w:val="en-US" w:eastAsia="zh-CN"/>
                    </w:rPr>
                    <w:fldChar w:fldCharType="separate"/>
                  </w:r>
                  <w:r>
                    <w:rPr>
                      <w:rFonts w:hint="default" w:ascii="Times New Roman" w:hAnsi="Times New Roman" w:eastAsia="宋体" w:cs="Times New Roman"/>
                      <w:color w:val="auto"/>
                      <w:highlight w:val="none"/>
                      <w:lang w:val="en-US" w:eastAsia="zh-CN"/>
                    </w:rPr>
                    <w:t>无害</w:t>
                  </w:r>
                  <w:r>
                    <w:rPr>
                      <w:rFonts w:hint="default" w:ascii="Times New Roman" w:hAnsi="Times New Roman" w:eastAsia="宋体" w:cs="Times New Roman"/>
                      <w:color w:val="auto"/>
                      <w:highlight w:val="none"/>
                      <w:lang w:val="en-US" w:eastAsia="zh-CN"/>
                    </w:rPr>
                    <w:fldChar w:fldCharType="end"/>
                  </w:r>
                  <w:r>
                    <w:rPr>
                      <w:rFonts w:hint="default" w:ascii="Times New Roman" w:hAnsi="Times New Roman" w:eastAsia="宋体" w:cs="Times New Roman"/>
                      <w:color w:val="auto"/>
                      <w:highlight w:val="none"/>
                      <w:lang w:val="en-US" w:eastAsia="zh-CN"/>
                    </w:rPr>
                    <w:t>，本品遇明火，高温易燃，吸食会导致无力头晕、呕吐，严重会危机生命。</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363" w:hRule="atLeast"/>
                <w:tblHeader/>
                <w:jc w:val="center"/>
              </w:trPr>
              <w:tc>
                <w:tcPr>
                  <w:tcW w:w="307" w:type="pct"/>
                  <w:noWrap w:val="0"/>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2</w:t>
                  </w:r>
                </w:p>
              </w:tc>
              <w:tc>
                <w:tcPr>
                  <w:tcW w:w="640" w:type="pct"/>
                  <w:noWrap w:val="0"/>
                  <w:vAlign w:val="center"/>
                </w:tcPr>
                <w:p>
                  <w:pPr>
                    <w:jc w:val="center"/>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highlight w:val="none"/>
                      <w:lang w:val="en-US" w:eastAsia="zh-CN"/>
                    </w:rPr>
                    <w:t>液压油</w:t>
                  </w:r>
                </w:p>
              </w:tc>
              <w:tc>
                <w:tcPr>
                  <w:tcW w:w="4051" w:type="pct"/>
                  <w:noWrap w:val="0"/>
                  <w:vAlign w:val="center"/>
                </w:tcPr>
                <w:p>
                  <w:pPr>
                    <w:jc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eastAsia="宋体" w:cs="Times New Roman"/>
                      <w:color w:val="auto"/>
                      <w:highlight w:val="none"/>
                      <w:lang w:val="en-US" w:eastAsia="zh-CN"/>
                    </w:rPr>
                    <w:t>琥珀色液体。具有特有的气味，相对密度（15.6℃）：0.881，蒸汽密度（空气=1）：</w:t>
                  </w:r>
                  <w:r>
                    <w:rPr>
                      <w:rFonts w:hint="default" w:ascii="Times New Roman" w:hAnsi="Times New Roman" w:cs="Times New Roman"/>
                      <w:color w:val="auto"/>
                      <w:highlight w:val="none"/>
                      <w:lang w:val="en-US" w:eastAsia="zh-CN"/>
                    </w:rPr>
                    <w:t>＞</w:t>
                  </w:r>
                  <w:r>
                    <w:rPr>
                      <w:rFonts w:hint="default" w:ascii="Times New Roman" w:hAnsi="Times New Roman" w:eastAsia="宋体" w:cs="Times New Roman"/>
                      <w:color w:val="auto"/>
                      <w:highlight w:val="none"/>
                      <w:lang w:val="en-US" w:eastAsia="zh-CN"/>
                    </w:rPr>
                    <w:t>2，不溶于水，正常状况下物料稳定，避免过度的热，高能点火源，强氧化剂，不会发生聚合反应；吸入（大鼠）LC50＞5000mg/m</w:t>
                  </w:r>
                  <w:r>
                    <w:rPr>
                      <w:rFonts w:hint="default" w:ascii="Times New Roman" w:hAnsi="Times New Roman" w:eastAsia="宋体" w:cs="Times New Roman"/>
                      <w:color w:val="auto"/>
                      <w:highlight w:val="none"/>
                      <w:vertAlign w:val="superscript"/>
                      <w:lang w:val="en-US" w:eastAsia="zh-CN"/>
                    </w:rPr>
                    <w:t>3</w:t>
                  </w:r>
                  <w:r>
                    <w:rPr>
                      <w:rFonts w:hint="default" w:ascii="Times New Roman" w:hAnsi="Times New Roman" w:eastAsia="宋体" w:cs="Times New Roman"/>
                      <w:color w:val="auto"/>
                      <w:highlight w:val="none"/>
                      <w:lang w:val="en-US" w:eastAsia="zh-CN"/>
                    </w:rPr>
                    <w:t>极低毒性；食入毒性（老鼠）LD50＞2000mg/m</w:t>
                  </w:r>
                  <w:r>
                    <w:rPr>
                      <w:rFonts w:hint="default" w:ascii="Times New Roman" w:hAnsi="Times New Roman" w:eastAsia="宋体" w:cs="Times New Roman"/>
                      <w:color w:val="auto"/>
                      <w:highlight w:val="none"/>
                      <w:vertAlign w:val="superscript"/>
                      <w:lang w:val="en-US" w:eastAsia="zh-CN"/>
                    </w:rPr>
                    <w:t>3</w:t>
                  </w:r>
                  <w:r>
                    <w:rPr>
                      <w:rFonts w:hint="default" w:ascii="Times New Roman" w:hAnsi="Times New Roman" w:eastAsia="宋体" w:cs="Times New Roman"/>
                      <w:color w:val="auto"/>
                      <w:highlight w:val="none"/>
                      <w:lang w:val="en-US" w:eastAsia="zh-CN"/>
                    </w:rPr>
                    <w:t>，极低毒性。该物质被认为对水生生物无害，能自然生物降解</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25" w:hRule="atLeast"/>
                <w:tblHeader/>
                <w:jc w:val="center"/>
              </w:trPr>
              <w:tc>
                <w:tcPr>
                  <w:tcW w:w="307" w:type="pct"/>
                  <w:noWrap w:val="0"/>
                  <w:vAlign w:val="center"/>
                </w:tcPr>
                <w:p>
                  <w:pPr>
                    <w:jc w:val="center"/>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highlight w:val="none"/>
                      <w:lang w:val="en-US" w:eastAsia="zh-CN"/>
                    </w:rPr>
                    <w:t>3</w:t>
                  </w:r>
                </w:p>
              </w:tc>
              <w:tc>
                <w:tcPr>
                  <w:tcW w:w="640" w:type="pct"/>
                  <w:noWrap w:val="0"/>
                  <w:vAlign w:val="center"/>
                </w:tcPr>
                <w:p>
                  <w:pPr>
                    <w:jc w:val="center"/>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highlight w:val="none"/>
                      <w:lang w:val="en-US" w:eastAsia="zh-CN"/>
                    </w:rPr>
                    <w:t>导热油</w:t>
                  </w:r>
                </w:p>
              </w:tc>
              <w:tc>
                <w:tcPr>
                  <w:tcW w:w="4051" w:type="pct"/>
                  <w:noWrap w:val="0"/>
                  <w:vAlign w:val="center"/>
                </w:tcPr>
                <w:p>
                  <w:pPr>
                    <w:jc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琥珀色液体。闪点位216℃，燃烧上下极限为1%-10%，蒸汽压力＜0.5Pa（20℃），蒸汽密度（空气=1）＞1，性状稳定，正常情况下不会形成危险的分解物。在大多数环境条件下为液体。漂浮于水面。如果进入土壤将会被土壤颗粒吸收而无法流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156" w:hRule="atLeast"/>
                <w:tblHeader/>
                <w:jc w:val="center"/>
              </w:trPr>
              <w:tc>
                <w:tcPr>
                  <w:tcW w:w="307" w:type="pct"/>
                  <w:noWrap w:val="0"/>
                  <w:vAlign w:val="center"/>
                </w:tcPr>
                <w:p>
                  <w:pPr>
                    <w:jc w:val="center"/>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highlight w:val="none"/>
                      <w:lang w:val="en-US" w:eastAsia="zh-CN"/>
                    </w:rPr>
                    <w:t>4</w:t>
                  </w:r>
                </w:p>
              </w:tc>
              <w:tc>
                <w:tcPr>
                  <w:tcW w:w="640" w:type="pct"/>
                  <w:noWrap w:val="0"/>
                  <w:vAlign w:val="center"/>
                </w:tcPr>
                <w:p>
                  <w:pPr>
                    <w:jc w:val="center"/>
                    <w:rPr>
                      <w:rFonts w:hint="eastAsia"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模具清洗剂</w:t>
                  </w:r>
                </w:p>
              </w:tc>
              <w:tc>
                <w:tcPr>
                  <w:tcW w:w="4051" w:type="pct"/>
                  <w:noWrap w:val="0"/>
                  <w:vAlign w:val="center"/>
                </w:tcPr>
                <w:p>
                  <w:pPr>
                    <w:pStyle w:val="78"/>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kern w:val="2"/>
                      <w:sz w:val="21"/>
                      <w:szCs w:val="24"/>
                      <w:highlight w:val="none"/>
                      <w:lang w:val="en-US" w:eastAsia="zh-CN" w:bidi="ar-SA"/>
                    </w:rPr>
                    <w:t>理化性质详见前文。性状稳定，无毒，其蒸气与空气可形成爆炸性混合物，遇明火、高热极易燃烧爆炸。与氧化剂能发生强烈反应。其蒸气比空气重，能在较低处扩散到相当远的地方，遇火源会着火回燃。若遇高热，容器内压增大，有开裂和爆炸的危险。致敏效应：长时间皮肤接触可以引起皮肤病变。慢毒性或长期毒性：急性中毒主要表现为对中枢神经系统的麻醉作用，出现乏力、恶心、头痛、头晕、易激动。</w:t>
                  </w:r>
                </w:p>
              </w:tc>
            </w:tr>
          </w:tbl>
          <w:p>
            <w:pPr>
              <w:pStyle w:val="23"/>
              <w:spacing w:line="240" w:lineRule="auto"/>
              <w:rPr>
                <w:rFonts w:hint="eastAsia" w:ascii="Times New Roman" w:hAnsi="Times New Roman" w:eastAsia="宋体" w:cs="Times New Roman"/>
                <w:color w:val="auto"/>
                <w:spacing w:val="0"/>
                <w:kern w:val="0"/>
                <w:sz w:val="24"/>
                <w:szCs w:val="20"/>
                <w:highlight w:val="none"/>
                <w:lang w:val="en-US" w:eastAsia="zh-CN" w:bidi="ar-SA"/>
              </w:rPr>
            </w:pPr>
          </w:p>
          <w:p>
            <w:pPr>
              <w:pStyle w:val="63"/>
              <w:spacing w:line="360" w:lineRule="auto"/>
              <w:ind w:firstLine="480" w:firstLineChars="200"/>
              <w:rPr>
                <w:rFonts w:hint="eastAsia" w:ascii="Times New Roman" w:hAnsi="Times New Roman" w:eastAsia="宋体" w:cs="Times New Roman"/>
                <w:color w:val="auto"/>
                <w:spacing w:val="0"/>
                <w:kern w:val="0"/>
                <w:sz w:val="24"/>
                <w:szCs w:val="20"/>
                <w:highlight w:val="none"/>
                <w:lang w:val="en-US" w:eastAsia="zh-CN" w:bidi="ar-SA"/>
              </w:rPr>
            </w:pPr>
            <w:r>
              <w:rPr>
                <w:rFonts w:hint="eastAsia" w:ascii="Times New Roman" w:hAnsi="Times New Roman"/>
                <w:color w:val="auto"/>
                <w:spacing w:val="0"/>
                <w:sz w:val="24"/>
                <w:szCs w:val="20"/>
                <w:highlight w:val="none"/>
                <w:lang w:val="en-US" w:eastAsia="zh-CN"/>
              </w:rPr>
              <w:t>6.</w:t>
            </w:r>
            <w:r>
              <w:rPr>
                <w:rFonts w:hint="eastAsia" w:ascii="Times New Roman" w:hAnsi="Times New Roman" w:eastAsia="宋体"/>
                <w:color w:val="auto"/>
                <w:spacing w:val="0"/>
                <w:sz w:val="24"/>
                <w:szCs w:val="20"/>
                <w:highlight w:val="none"/>
                <w:lang w:val="en-US" w:eastAsia="zh-CN"/>
              </w:rPr>
              <w:t xml:space="preserve">2 </w:t>
            </w:r>
            <w:r>
              <w:rPr>
                <w:rFonts w:hint="eastAsia" w:ascii="Times New Roman" w:hAnsi="Times New Roman" w:cs="Times New Roman"/>
                <w:b w:val="0"/>
                <w:bCs w:val="0"/>
                <w:color w:val="auto"/>
                <w:sz w:val="24"/>
                <w:szCs w:val="24"/>
                <w:highlight w:val="none"/>
                <w:lang w:eastAsia="zh-CN"/>
              </w:rPr>
              <w:t>可能影响的途径</w:t>
            </w:r>
          </w:p>
          <w:p>
            <w:pPr>
              <w:pStyle w:val="23"/>
              <w:spacing w:line="360" w:lineRule="auto"/>
              <w:ind w:left="0" w:leftChars="0" w:firstLine="480" w:firstLineChars="200"/>
              <w:rPr>
                <w:color w:val="auto"/>
                <w:sz w:val="24"/>
                <w:szCs w:val="32"/>
                <w:highlight w:val="none"/>
              </w:rPr>
            </w:pPr>
            <w:r>
              <w:rPr>
                <w:rFonts w:hint="eastAsia" w:ascii="Times New Roman" w:hAnsi="Times New Roman" w:eastAsia="宋体" w:cs="Times New Roman"/>
                <w:smallCaps w:val="0"/>
                <w:color w:val="auto"/>
                <w:kern w:val="2"/>
                <w:sz w:val="24"/>
                <w:szCs w:val="24"/>
                <w:highlight w:val="none"/>
                <w:lang w:val="en-US" w:eastAsia="zh-CN" w:bidi="ar-SA"/>
              </w:rPr>
              <w:t>根据事故的类比调查和统计，结合对项目各工艺过程的分析，本项目可能发生</w:t>
            </w:r>
            <w:r>
              <w:rPr>
                <w:rFonts w:hint="eastAsia" w:ascii="Times New Roman" w:hAnsi="Times New Roman" w:cs="Times New Roman"/>
                <w:i w:val="0"/>
                <w:iCs w:val="0"/>
                <w:color w:val="auto"/>
                <w:sz w:val="24"/>
                <w:szCs w:val="24"/>
                <w:highlight w:val="none"/>
                <w:u w:val="none"/>
                <w:lang w:val="en-US" w:eastAsia="zh-CN"/>
              </w:rPr>
              <w:t>生产设备中</w:t>
            </w:r>
            <w:r>
              <w:rPr>
                <w:rFonts w:hint="default" w:ascii="Times New Roman" w:hAnsi="Times New Roman" w:cs="Times New Roman"/>
                <w:i w:val="0"/>
                <w:iCs w:val="0"/>
                <w:color w:val="auto"/>
                <w:sz w:val="24"/>
                <w:szCs w:val="24"/>
                <w:highlight w:val="none"/>
                <w:u w:val="none"/>
                <w:lang w:val="en-US" w:eastAsia="zh-CN"/>
              </w:rPr>
              <w:t>的</w:t>
            </w:r>
            <w:r>
              <w:rPr>
                <w:rFonts w:hint="eastAsia" w:ascii="Times New Roman" w:hAnsi="Times New Roman" w:cs="Times New Roman"/>
                <w:i w:val="0"/>
                <w:iCs w:val="0"/>
                <w:color w:val="auto"/>
                <w:sz w:val="24"/>
                <w:szCs w:val="24"/>
                <w:highlight w:val="none"/>
                <w:u w:val="none"/>
                <w:lang w:val="en-US" w:eastAsia="zh-CN"/>
              </w:rPr>
              <w:t>导热油、液压油及生产使用的模具清洗剂、防锈剂、脱模剂、顶针油</w:t>
            </w:r>
            <w:r>
              <w:rPr>
                <w:rFonts w:hint="eastAsia" w:ascii="Times New Roman" w:hAnsi="Times New Roman" w:eastAsia="宋体" w:cs="Times New Roman"/>
                <w:smallCaps w:val="0"/>
                <w:color w:val="auto"/>
                <w:kern w:val="2"/>
                <w:sz w:val="24"/>
                <w:szCs w:val="24"/>
                <w:highlight w:val="none"/>
                <w:lang w:val="en-US" w:eastAsia="zh-CN" w:bidi="ar-SA"/>
              </w:rPr>
              <w:t>等泄漏污染地表水体、地下水及土壤，泄漏导致火灾</w:t>
            </w:r>
            <w:r>
              <w:rPr>
                <w:rFonts w:hint="eastAsia" w:ascii="Times New Roman" w:hAnsi="Times New Roman" w:cs="Times New Roman"/>
                <w:smallCaps w:val="0"/>
                <w:color w:val="auto"/>
                <w:kern w:val="2"/>
                <w:sz w:val="24"/>
                <w:szCs w:val="24"/>
                <w:highlight w:val="none"/>
                <w:lang w:val="en-US" w:eastAsia="zh-CN" w:bidi="ar-SA"/>
              </w:rPr>
              <w:t>、爆炸</w:t>
            </w:r>
            <w:r>
              <w:rPr>
                <w:rFonts w:hint="eastAsia" w:ascii="Times New Roman" w:hAnsi="Times New Roman" w:eastAsia="宋体" w:cs="Times New Roman"/>
                <w:smallCaps w:val="0"/>
                <w:color w:val="auto"/>
                <w:kern w:val="2"/>
                <w:sz w:val="24"/>
                <w:szCs w:val="24"/>
                <w:highlight w:val="none"/>
                <w:lang w:val="en-US" w:eastAsia="zh-CN" w:bidi="ar-SA"/>
              </w:rPr>
              <w:t>。</w:t>
            </w:r>
          </w:p>
          <w:p>
            <w:pPr>
              <w:pStyle w:val="63"/>
              <w:numPr>
                <w:ilvl w:val="0"/>
                <w:numId w:val="6"/>
              </w:numPr>
              <w:spacing w:line="360" w:lineRule="auto"/>
              <w:ind w:firstLine="480" w:firstLineChars="200"/>
              <w:rPr>
                <w:rFonts w:hint="eastAsia" w:ascii="Times New Roman" w:hAnsi="Times New Roman" w:eastAsia="宋体" w:cs="Times New Roman"/>
                <w:color w:val="auto"/>
                <w:spacing w:val="0"/>
                <w:kern w:val="0"/>
                <w:sz w:val="24"/>
                <w:szCs w:val="20"/>
                <w:highlight w:val="none"/>
                <w:lang w:val="en-US" w:eastAsia="zh-CN" w:bidi="ar-SA"/>
              </w:rPr>
            </w:pPr>
            <w:r>
              <w:rPr>
                <w:rFonts w:hint="eastAsia" w:ascii="Times New Roman" w:hAnsi="Times New Roman" w:eastAsia="宋体" w:cs="Times New Roman"/>
                <w:color w:val="auto"/>
                <w:spacing w:val="0"/>
                <w:kern w:val="0"/>
                <w:sz w:val="24"/>
                <w:szCs w:val="20"/>
                <w:highlight w:val="none"/>
                <w:lang w:val="en-US" w:eastAsia="zh-CN" w:bidi="ar-SA"/>
              </w:rPr>
              <w:t>若</w:t>
            </w:r>
            <w:r>
              <w:rPr>
                <w:rFonts w:hint="eastAsia" w:ascii="Times New Roman" w:hAnsi="Times New Roman" w:cs="Times New Roman"/>
                <w:color w:val="auto"/>
                <w:spacing w:val="0"/>
                <w:kern w:val="0"/>
                <w:sz w:val="24"/>
                <w:szCs w:val="20"/>
                <w:highlight w:val="none"/>
                <w:lang w:val="en-US" w:eastAsia="zh-CN" w:bidi="ar-SA"/>
              </w:rPr>
              <w:t>上述化学品及产生的</w:t>
            </w:r>
            <w:r>
              <w:rPr>
                <w:rFonts w:hint="eastAsia" w:ascii="Times New Roman" w:hAnsi="Times New Roman" w:eastAsia="宋体" w:cs="Times New Roman"/>
                <w:color w:val="auto"/>
                <w:spacing w:val="0"/>
                <w:kern w:val="0"/>
                <w:sz w:val="24"/>
                <w:szCs w:val="20"/>
                <w:highlight w:val="none"/>
                <w:lang w:val="en-US" w:eastAsia="zh-CN" w:bidi="ar-SA"/>
              </w:rPr>
              <w:t>危险废物发生泄</w:t>
            </w:r>
            <w:r>
              <w:rPr>
                <w:rFonts w:hint="eastAsia" w:ascii="Times New Roman" w:hAnsi="Times New Roman" w:eastAsia="宋体" w:cs="Times New Roman"/>
                <w:smallCaps w:val="0"/>
                <w:color w:val="auto"/>
                <w:kern w:val="2"/>
                <w:sz w:val="24"/>
                <w:szCs w:val="24"/>
                <w:highlight w:val="none"/>
                <w:lang w:val="en-US" w:eastAsia="zh-CN" w:bidi="ar-SA"/>
              </w:rPr>
              <w:t>漏</w:t>
            </w:r>
            <w:r>
              <w:rPr>
                <w:rFonts w:hint="eastAsia" w:ascii="Times New Roman" w:hAnsi="Times New Roman" w:eastAsia="宋体" w:cs="Times New Roman"/>
                <w:color w:val="auto"/>
                <w:spacing w:val="0"/>
                <w:kern w:val="0"/>
                <w:sz w:val="24"/>
                <w:szCs w:val="20"/>
                <w:highlight w:val="none"/>
                <w:lang w:val="en-US" w:eastAsia="zh-CN" w:bidi="ar-SA"/>
              </w:rPr>
              <w:t>，污染事故若不及时处理可随雨水、地表水渗入地下，污染地下水，并且污染地表水体、土壤。</w:t>
            </w:r>
          </w:p>
          <w:p>
            <w:pPr>
              <w:pStyle w:val="78"/>
              <w:ind w:left="0" w:leftChars="0" w:firstLine="480" w:firstLineChars="200"/>
              <w:rPr>
                <w:rFonts w:hint="eastAsia" w:ascii="Times New Roman" w:hAnsi="Times New Roman" w:eastAsia="宋体" w:cs="Times New Roman"/>
                <w:color w:val="auto"/>
                <w:spacing w:val="0"/>
                <w:kern w:val="0"/>
                <w:sz w:val="24"/>
                <w:szCs w:val="20"/>
                <w:highlight w:val="none"/>
                <w:lang w:val="en-US" w:eastAsia="zh-CN" w:bidi="ar-SA"/>
              </w:rPr>
            </w:pPr>
            <w:r>
              <w:rPr>
                <w:rFonts w:hint="eastAsia" w:ascii="Times New Roman" w:hAnsi="Times New Roman" w:cs="Times New Roman"/>
                <w:color w:val="auto"/>
                <w:spacing w:val="0"/>
                <w:kern w:val="0"/>
                <w:sz w:val="24"/>
                <w:szCs w:val="20"/>
                <w:highlight w:val="none"/>
                <w:lang w:val="en-US" w:eastAsia="zh-CN" w:bidi="ar-SA"/>
              </w:rPr>
              <w:t>（2）</w:t>
            </w:r>
            <w:r>
              <w:rPr>
                <w:rFonts w:hint="eastAsia" w:ascii="Times New Roman" w:hAnsi="Times New Roman" w:eastAsia="宋体" w:cs="Times New Roman"/>
                <w:color w:val="auto"/>
                <w:spacing w:val="0"/>
                <w:kern w:val="0"/>
                <w:sz w:val="24"/>
                <w:szCs w:val="20"/>
                <w:highlight w:val="none"/>
                <w:lang w:val="en-US" w:eastAsia="zh-CN" w:bidi="ar-SA"/>
              </w:rPr>
              <w:t>原辅材料储运过程中发生物料泄漏、车辆侧翻等安全事故，导致事故周围地表水、土壤以及地下水环境受到污染。</w:t>
            </w:r>
          </w:p>
          <w:p>
            <w:pPr>
              <w:pStyle w:val="63"/>
              <w:spacing w:line="360" w:lineRule="auto"/>
              <w:ind w:firstLine="480" w:firstLineChars="200"/>
              <w:rPr>
                <w:rFonts w:hint="eastAsia" w:ascii="Times New Roman" w:hAnsi="Times New Roman" w:eastAsia="宋体" w:cs="Times New Roman"/>
                <w:color w:val="auto"/>
                <w:spacing w:val="0"/>
                <w:kern w:val="0"/>
                <w:sz w:val="24"/>
                <w:szCs w:val="20"/>
                <w:highlight w:val="none"/>
                <w:lang w:val="en-US" w:eastAsia="zh-CN" w:bidi="ar-SA"/>
              </w:rPr>
            </w:pPr>
            <w:r>
              <w:rPr>
                <w:rFonts w:hint="eastAsia" w:ascii="Times New Roman" w:hAnsi="Times New Roman" w:cs="Times New Roman"/>
                <w:color w:val="auto"/>
                <w:spacing w:val="0"/>
                <w:kern w:val="0"/>
                <w:sz w:val="24"/>
                <w:szCs w:val="20"/>
                <w:highlight w:val="none"/>
                <w:lang w:val="en-US" w:eastAsia="zh-CN" w:bidi="ar-SA"/>
              </w:rPr>
              <w:t>6</w:t>
            </w:r>
            <w:r>
              <w:rPr>
                <w:rFonts w:hint="eastAsia" w:ascii="Times New Roman" w:hAnsi="Times New Roman" w:eastAsia="宋体" w:cs="Times New Roman"/>
                <w:color w:val="auto"/>
                <w:spacing w:val="0"/>
                <w:kern w:val="0"/>
                <w:sz w:val="24"/>
                <w:szCs w:val="20"/>
                <w:highlight w:val="none"/>
                <w:lang w:val="en-US" w:eastAsia="zh-CN" w:bidi="ar-SA"/>
              </w:rPr>
              <w:t xml:space="preserve">.3 </w:t>
            </w:r>
            <w:r>
              <w:rPr>
                <w:rFonts w:hint="default" w:ascii="Times New Roman" w:hAnsi="Times New Roman" w:eastAsia="宋体" w:cs="Times New Roman"/>
                <w:color w:val="auto"/>
                <w:spacing w:val="0"/>
                <w:kern w:val="0"/>
                <w:sz w:val="24"/>
                <w:szCs w:val="20"/>
                <w:highlight w:val="none"/>
                <w:lang w:val="en-US" w:eastAsia="zh-CN" w:bidi="ar-SA"/>
              </w:rPr>
              <w:t>环境风险防治措施</w:t>
            </w:r>
          </w:p>
          <w:p>
            <w:pPr>
              <w:pStyle w:val="63"/>
              <w:spacing w:line="360" w:lineRule="auto"/>
              <w:ind w:firstLine="480" w:firstLineChars="200"/>
              <w:rPr>
                <w:rFonts w:hint="eastAsia" w:ascii="Times New Roman" w:hAnsi="Times New Roman" w:eastAsia="宋体" w:cs="Times New Roman"/>
                <w:color w:val="auto"/>
                <w:spacing w:val="0"/>
                <w:kern w:val="0"/>
                <w:sz w:val="24"/>
                <w:szCs w:val="20"/>
                <w:highlight w:val="none"/>
                <w:lang w:val="en-US" w:eastAsia="zh-CN" w:bidi="ar-SA"/>
              </w:rPr>
            </w:pPr>
            <w:r>
              <w:rPr>
                <w:rFonts w:hint="eastAsia" w:ascii="Times New Roman" w:hAnsi="Times New Roman" w:eastAsia="宋体" w:cs="Times New Roman"/>
                <w:color w:val="auto"/>
                <w:spacing w:val="0"/>
                <w:kern w:val="0"/>
                <w:sz w:val="24"/>
                <w:szCs w:val="20"/>
                <w:highlight w:val="none"/>
                <w:lang w:val="en-US" w:eastAsia="zh-CN" w:bidi="ar-SA"/>
              </w:rPr>
              <w:t xml:space="preserve">（1）危险化学品泄漏风险防范措施 </w:t>
            </w:r>
          </w:p>
          <w:p>
            <w:pPr>
              <w:pStyle w:val="63"/>
              <w:spacing w:line="360" w:lineRule="auto"/>
              <w:ind w:firstLine="480" w:firstLineChars="200"/>
              <w:rPr>
                <w:rFonts w:hint="eastAsia" w:ascii="Times New Roman" w:hAnsi="Times New Roman" w:eastAsia="宋体" w:cs="Times New Roman"/>
                <w:color w:val="auto"/>
                <w:spacing w:val="0"/>
                <w:kern w:val="0"/>
                <w:sz w:val="24"/>
                <w:szCs w:val="20"/>
                <w:highlight w:val="none"/>
                <w:lang w:val="en-US" w:eastAsia="zh-CN" w:bidi="ar-SA"/>
              </w:rPr>
            </w:pPr>
            <w:r>
              <w:rPr>
                <w:rFonts w:hint="eastAsia" w:ascii="Times New Roman" w:hAnsi="Times New Roman" w:eastAsia="宋体" w:cs="Times New Roman"/>
                <w:color w:val="auto"/>
                <w:spacing w:val="0"/>
                <w:kern w:val="0"/>
                <w:sz w:val="24"/>
                <w:szCs w:val="20"/>
                <w:highlight w:val="none"/>
                <w:lang w:val="en-US" w:eastAsia="zh-CN" w:bidi="ar-SA"/>
              </w:rPr>
              <w:t>所有危险化学品均需派专人保管，其处置、收集、暂存与管理必须严格按照《危险化学品安全管理条例》、《易制毒化学品管理条例》执行。</w:t>
            </w:r>
            <w:r>
              <w:rPr>
                <w:rFonts w:hint="eastAsia" w:cs="Times New Roman"/>
                <w:color w:val="auto"/>
                <w:spacing w:val="0"/>
                <w:kern w:val="0"/>
                <w:sz w:val="24"/>
                <w:szCs w:val="20"/>
                <w:highlight w:val="none"/>
                <w:lang w:val="en-US" w:eastAsia="zh-CN" w:bidi="ar-SA"/>
              </w:rPr>
              <w:t>危险废物</w:t>
            </w:r>
            <w:r>
              <w:rPr>
                <w:rFonts w:hint="eastAsia" w:ascii="Times New Roman" w:hAnsi="Times New Roman" w:eastAsia="宋体" w:cs="Times New Roman"/>
                <w:color w:val="auto"/>
                <w:spacing w:val="0"/>
                <w:kern w:val="0"/>
                <w:sz w:val="24"/>
                <w:szCs w:val="20"/>
                <w:highlight w:val="none"/>
                <w:lang w:val="en-US" w:eastAsia="zh-CN" w:bidi="ar-SA"/>
              </w:rPr>
              <w:t>贮存应满足《危险废物贮存污染控制标准》（</w:t>
            </w:r>
            <w:r>
              <w:rPr>
                <w:rFonts w:hint="eastAsia" w:cs="Times New Roman"/>
                <w:color w:val="auto"/>
                <w:spacing w:val="0"/>
                <w:kern w:val="0"/>
                <w:sz w:val="24"/>
                <w:szCs w:val="20"/>
                <w:highlight w:val="none"/>
                <w:lang w:val="en-US" w:eastAsia="zh-CN" w:bidi="ar-SA"/>
              </w:rPr>
              <w:t>GB18597-2023</w:t>
            </w:r>
            <w:r>
              <w:rPr>
                <w:rFonts w:hint="eastAsia" w:ascii="Times New Roman" w:hAnsi="Times New Roman" w:eastAsia="宋体" w:cs="Times New Roman"/>
                <w:color w:val="auto"/>
                <w:spacing w:val="0"/>
                <w:kern w:val="0"/>
                <w:sz w:val="24"/>
                <w:szCs w:val="20"/>
                <w:highlight w:val="none"/>
                <w:lang w:val="en-US" w:eastAsia="zh-CN" w:bidi="ar-SA"/>
              </w:rPr>
              <w:t>）相关要求。</w:t>
            </w:r>
          </w:p>
          <w:p>
            <w:pPr>
              <w:pStyle w:val="63"/>
              <w:spacing w:line="360" w:lineRule="auto"/>
              <w:ind w:firstLine="480" w:firstLineChars="200"/>
              <w:rPr>
                <w:rFonts w:hint="eastAsia" w:ascii="Times New Roman" w:hAnsi="Times New Roman" w:eastAsia="宋体" w:cs="Times New Roman"/>
                <w:color w:val="auto"/>
                <w:spacing w:val="0"/>
                <w:kern w:val="0"/>
                <w:sz w:val="24"/>
                <w:szCs w:val="20"/>
                <w:highlight w:val="none"/>
                <w:lang w:val="en-US" w:eastAsia="zh-CN" w:bidi="ar-SA"/>
              </w:rPr>
            </w:pPr>
            <w:r>
              <w:rPr>
                <w:rFonts w:hint="eastAsia" w:ascii="Times New Roman" w:hAnsi="Times New Roman" w:eastAsia="宋体" w:cs="Times New Roman"/>
                <w:color w:val="auto"/>
                <w:spacing w:val="0"/>
                <w:kern w:val="0"/>
                <w:sz w:val="24"/>
                <w:szCs w:val="20"/>
                <w:highlight w:val="none"/>
                <w:lang w:val="en-US" w:eastAsia="zh-CN" w:bidi="ar-SA"/>
              </w:rPr>
              <w:t>①</w:t>
            </w:r>
            <w:r>
              <w:rPr>
                <w:rFonts w:hint="eastAsia" w:ascii="Times New Roman" w:hAnsi="Times New Roman" w:cs="Times New Roman"/>
                <w:color w:val="auto"/>
                <w:spacing w:val="0"/>
                <w:kern w:val="0"/>
                <w:sz w:val="24"/>
                <w:szCs w:val="20"/>
                <w:highlight w:val="none"/>
                <w:lang w:val="en-US" w:eastAsia="zh-CN" w:bidi="ar-SA"/>
              </w:rPr>
              <w:t>原料贮存区</w:t>
            </w:r>
            <w:r>
              <w:rPr>
                <w:rFonts w:hint="eastAsia" w:ascii="Times New Roman" w:hAnsi="Times New Roman" w:eastAsia="宋体" w:cs="Times New Roman"/>
                <w:color w:val="auto"/>
                <w:spacing w:val="0"/>
                <w:kern w:val="0"/>
                <w:sz w:val="24"/>
                <w:szCs w:val="20"/>
                <w:highlight w:val="none"/>
                <w:lang w:val="en-US" w:eastAsia="zh-CN" w:bidi="ar-SA"/>
              </w:rPr>
              <w:t>内及危险废物暂存间地面进行防渗、防漏处理，设置防渗托盘，用于意外泄露时收集，并设置明显的标识及警示牌；对使用的化学品的名称、数量进行严格登记；凡储存、使用化学品的位置，都应配置合格的消防器材。</w:t>
            </w:r>
          </w:p>
          <w:p>
            <w:pPr>
              <w:pStyle w:val="63"/>
              <w:spacing w:line="360" w:lineRule="auto"/>
              <w:ind w:firstLine="480" w:firstLineChars="200"/>
              <w:rPr>
                <w:rFonts w:hint="eastAsia" w:ascii="Times New Roman" w:hAnsi="Times New Roman" w:eastAsia="宋体" w:cs="Times New Roman"/>
                <w:color w:val="auto"/>
                <w:spacing w:val="0"/>
                <w:kern w:val="0"/>
                <w:sz w:val="24"/>
                <w:szCs w:val="20"/>
                <w:highlight w:val="none"/>
                <w:lang w:val="en-US" w:eastAsia="zh-CN" w:bidi="ar-SA"/>
              </w:rPr>
            </w:pPr>
            <w:r>
              <w:rPr>
                <w:rFonts w:hint="eastAsia" w:ascii="Times New Roman" w:hAnsi="Times New Roman" w:eastAsia="宋体" w:cs="Times New Roman"/>
                <w:color w:val="auto"/>
                <w:spacing w:val="0"/>
                <w:kern w:val="0"/>
                <w:sz w:val="24"/>
                <w:szCs w:val="20"/>
                <w:highlight w:val="none"/>
                <w:lang w:val="en-US" w:eastAsia="zh-CN" w:bidi="ar-SA"/>
              </w:rPr>
              <w:t>②</w:t>
            </w:r>
            <w:r>
              <w:rPr>
                <w:rFonts w:hint="eastAsia" w:ascii="Times New Roman" w:hAnsi="Times New Roman" w:cs="Times New Roman"/>
                <w:color w:val="auto"/>
                <w:spacing w:val="0"/>
                <w:kern w:val="0"/>
                <w:sz w:val="24"/>
                <w:szCs w:val="20"/>
                <w:highlight w:val="none"/>
                <w:lang w:val="en-US" w:eastAsia="zh-CN" w:bidi="ar-SA"/>
              </w:rPr>
              <w:t>原料贮存区</w:t>
            </w:r>
            <w:r>
              <w:rPr>
                <w:rFonts w:hint="eastAsia" w:ascii="Times New Roman" w:hAnsi="Times New Roman" w:eastAsia="宋体" w:cs="Times New Roman"/>
                <w:color w:val="auto"/>
                <w:spacing w:val="0"/>
                <w:kern w:val="0"/>
                <w:sz w:val="24"/>
                <w:szCs w:val="20"/>
                <w:highlight w:val="none"/>
                <w:lang w:val="en-US" w:eastAsia="zh-CN" w:bidi="ar-SA"/>
              </w:rPr>
              <w:t xml:space="preserve">及危险废物暂存间地做到干燥、阴凉、通风，地面防潮、防渗，配备充足的消防器材。 </w:t>
            </w:r>
          </w:p>
          <w:p>
            <w:pPr>
              <w:pStyle w:val="63"/>
              <w:spacing w:line="360" w:lineRule="auto"/>
              <w:ind w:firstLine="480" w:firstLineChars="200"/>
              <w:rPr>
                <w:rFonts w:hint="eastAsia" w:ascii="Times New Roman" w:hAnsi="Times New Roman" w:eastAsia="宋体" w:cs="Times New Roman"/>
                <w:color w:val="auto"/>
                <w:spacing w:val="0"/>
                <w:kern w:val="0"/>
                <w:sz w:val="24"/>
                <w:szCs w:val="20"/>
                <w:highlight w:val="none"/>
                <w:lang w:val="en-US" w:eastAsia="zh-CN" w:bidi="ar-SA"/>
              </w:rPr>
            </w:pPr>
            <w:r>
              <w:rPr>
                <w:rFonts w:hint="eastAsia" w:ascii="Times New Roman" w:hAnsi="Times New Roman" w:eastAsia="宋体" w:cs="Times New Roman"/>
                <w:color w:val="auto"/>
                <w:spacing w:val="0"/>
                <w:kern w:val="0"/>
                <w:sz w:val="24"/>
                <w:szCs w:val="20"/>
                <w:highlight w:val="none"/>
                <w:lang w:val="en-US" w:eastAsia="zh-CN" w:bidi="ar-SA"/>
              </w:rPr>
              <w:t>③严禁火源进入</w:t>
            </w:r>
            <w:r>
              <w:rPr>
                <w:rFonts w:hint="eastAsia" w:ascii="Times New Roman" w:hAnsi="Times New Roman" w:cs="Times New Roman"/>
                <w:color w:val="auto"/>
                <w:spacing w:val="0"/>
                <w:kern w:val="0"/>
                <w:sz w:val="24"/>
                <w:szCs w:val="20"/>
                <w:highlight w:val="none"/>
                <w:lang w:val="en-US" w:eastAsia="zh-CN" w:bidi="ar-SA"/>
              </w:rPr>
              <w:t>原料贮存区</w:t>
            </w:r>
            <w:r>
              <w:rPr>
                <w:rFonts w:hint="eastAsia" w:ascii="Times New Roman" w:hAnsi="Times New Roman" w:eastAsia="宋体" w:cs="Times New Roman"/>
                <w:color w:val="auto"/>
                <w:spacing w:val="0"/>
                <w:kern w:val="0"/>
                <w:sz w:val="24"/>
                <w:szCs w:val="20"/>
                <w:highlight w:val="none"/>
                <w:lang w:val="en-US" w:eastAsia="zh-CN" w:bidi="ar-SA"/>
              </w:rPr>
              <w:t>及危险废物暂存间，对明火严格控制，明火发生源为火柴、打火机等。制定相应的惩罚制度，用以警示员工。</w:t>
            </w:r>
          </w:p>
          <w:p>
            <w:pPr>
              <w:pStyle w:val="63"/>
              <w:spacing w:line="360" w:lineRule="auto"/>
              <w:ind w:firstLine="480" w:firstLineChars="200"/>
              <w:rPr>
                <w:rFonts w:hint="default" w:ascii="Times New Roman" w:hAnsi="Times New Roman" w:eastAsia="宋体" w:cs="Times New Roman"/>
                <w:color w:val="auto"/>
                <w:spacing w:val="0"/>
                <w:kern w:val="0"/>
                <w:sz w:val="24"/>
                <w:szCs w:val="20"/>
                <w:highlight w:val="none"/>
                <w:lang w:val="en-US" w:eastAsia="zh-CN" w:bidi="ar-SA"/>
              </w:rPr>
            </w:pPr>
            <w:r>
              <w:rPr>
                <w:rFonts w:hint="eastAsia" w:ascii="Times New Roman" w:hAnsi="Times New Roman" w:eastAsia="宋体" w:cs="Times New Roman"/>
                <w:color w:val="auto"/>
                <w:spacing w:val="0"/>
                <w:kern w:val="0"/>
                <w:sz w:val="24"/>
                <w:szCs w:val="20"/>
                <w:highlight w:val="none"/>
                <w:lang w:val="en-US" w:eastAsia="zh-CN" w:bidi="ar-SA"/>
              </w:rPr>
              <w:t>④危险废物暂存区</w:t>
            </w:r>
            <w:r>
              <w:rPr>
                <w:rFonts w:hint="eastAsia" w:cs="Times New Roman"/>
                <w:color w:val="auto"/>
                <w:spacing w:val="0"/>
                <w:kern w:val="0"/>
                <w:sz w:val="24"/>
                <w:szCs w:val="20"/>
                <w:highlight w:val="none"/>
                <w:lang w:val="en-US" w:eastAsia="zh-CN" w:bidi="ar-SA"/>
              </w:rPr>
              <w:t>已经</w:t>
            </w:r>
            <w:r>
              <w:rPr>
                <w:rFonts w:hint="eastAsia" w:ascii="Times New Roman" w:hAnsi="Times New Roman" w:eastAsia="宋体" w:cs="Times New Roman"/>
                <w:color w:val="auto"/>
                <w:spacing w:val="0"/>
                <w:kern w:val="0"/>
                <w:sz w:val="24"/>
                <w:szCs w:val="20"/>
                <w:highlight w:val="none"/>
                <w:lang w:val="en-US" w:eastAsia="zh-CN" w:bidi="ar-SA"/>
              </w:rPr>
              <w:t>进行防渗、防漏处理，防渗硬化面积为10m</w:t>
            </w:r>
            <w:r>
              <w:rPr>
                <w:rFonts w:hint="eastAsia" w:ascii="Times New Roman" w:hAnsi="Times New Roman" w:eastAsia="宋体" w:cs="Times New Roman"/>
                <w:color w:val="auto"/>
                <w:spacing w:val="0"/>
                <w:kern w:val="0"/>
                <w:sz w:val="24"/>
                <w:szCs w:val="20"/>
                <w:highlight w:val="none"/>
                <w:vertAlign w:val="superscript"/>
                <w:lang w:val="en-US" w:eastAsia="zh-CN" w:bidi="ar-SA"/>
              </w:rPr>
              <w:t>2</w:t>
            </w:r>
            <w:r>
              <w:rPr>
                <w:rFonts w:hint="eastAsia" w:ascii="Times New Roman" w:hAnsi="Times New Roman" w:eastAsia="宋体" w:cs="Times New Roman"/>
                <w:color w:val="auto"/>
                <w:spacing w:val="0"/>
                <w:kern w:val="0"/>
                <w:sz w:val="24"/>
                <w:szCs w:val="20"/>
                <w:highlight w:val="none"/>
                <w:lang w:val="en-US" w:eastAsia="zh-CN" w:bidi="ar-SA"/>
              </w:rPr>
              <w:t>，</w:t>
            </w:r>
            <w:r>
              <w:rPr>
                <w:rFonts w:hint="eastAsia" w:cs="Times New Roman"/>
                <w:color w:val="auto"/>
                <w:spacing w:val="0"/>
                <w:kern w:val="0"/>
                <w:sz w:val="24"/>
                <w:szCs w:val="20"/>
                <w:highlight w:val="none"/>
                <w:lang w:val="en-US" w:eastAsia="zh-CN" w:bidi="ar-SA"/>
              </w:rPr>
              <w:t>危险废物</w:t>
            </w:r>
            <w:r>
              <w:rPr>
                <w:rFonts w:hint="eastAsia" w:ascii="Times New Roman" w:hAnsi="Times New Roman" w:eastAsia="宋体" w:cs="Times New Roman"/>
                <w:color w:val="auto"/>
                <w:spacing w:val="0"/>
                <w:kern w:val="0"/>
                <w:sz w:val="24"/>
                <w:szCs w:val="20"/>
                <w:highlight w:val="none"/>
                <w:lang w:val="en-US" w:eastAsia="zh-CN" w:bidi="ar-SA"/>
              </w:rPr>
              <w:t>分类收集后封装在密封容器桶内，放置在防渗托盘内，防渗技术要求达到《危险废物贮存污染控制标准》（</w:t>
            </w:r>
            <w:r>
              <w:rPr>
                <w:rFonts w:hint="eastAsia" w:cs="Times New Roman"/>
                <w:color w:val="auto"/>
                <w:spacing w:val="0"/>
                <w:kern w:val="0"/>
                <w:sz w:val="24"/>
                <w:szCs w:val="20"/>
                <w:highlight w:val="none"/>
                <w:lang w:val="en-US" w:eastAsia="zh-CN" w:bidi="ar-SA"/>
              </w:rPr>
              <w:t>GB18597-2023</w:t>
            </w:r>
            <w:r>
              <w:rPr>
                <w:rFonts w:hint="eastAsia" w:ascii="Times New Roman" w:hAnsi="Times New Roman" w:eastAsia="宋体" w:cs="Times New Roman"/>
                <w:color w:val="auto"/>
                <w:spacing w:val="0"/>
                <w:kern w:val="0"/>
                <w:sz w:val="24"/>
                <w:szCs w:val="20"/>
                <w:highlight w:val="none"/>
                <w:lang w:val="en-US" w:eastAsia="zh-CN" w:bidi="ar-SA"/>
              </w:rPr>
              <w:t>）中要求：防渗层为至少1m厚黏土层（渗透</w:t>
            </w:r>
            <w:r>
              <w:rPr>
                <w:rFonts w:hint="default" w:ascii="Times New Roman" w:hAnsi="Times New Roman" w:eastAsia="宋体" w:cs="Times New Roman"/>
                <w:color w:val="auto"/>
                <w:spacing w:val="0"/>
                <w:kern w:val="0"/>
                <w:sz w:val="24"/>
                <w:szCs w:val="20"/>
                <w:highlight w:val="none"/>
                <w:lang w:val="en-US" w:eastAsia="zh-CN" w:bidi="ar-SA"/>
              </w:rPr>
              <w:t>系数≤10</w:t>
            </w:r>
            <w:r>
              <w:rPr>
                <w:rFonts w:hint="default" w:ascii="Times New Roman" w:hAnsi="Times New Roman" w:eastAsia="宋体" w:cs="Times New Roman"/>
                <w:color w:val="auto"/>
                <w:spacing w:val="0"/>
                <w:kern w:val="0"/>
                <w:sz w:val="24"/>
                <w:szCs w:val="20"/>
                <w:highlight w:val="none"/>
                <w:vertAlign w:val="superscript"/>
                <w:lang w:val="en-US" w:eastAsia="zh-CN" w:bidi="ar-SA"/>
              </w:rPr>
              <w:t>-7</w:t>
            </w:r>
            <w:r>
              <w:rPr>
                <w:rFonts w:hint="default" w:ascii="Times New Roman" w:hAnsi="Times New Roman" w:eastAsia="宋体" w:cs="Times New Roman"/>
                <w:color w:val="auto"/>
                <w:spacing w:val="0"/>
                <w:kern w:val="0"/>
                <w:sz w:val="24"/>
                <w:szCs w:val="20"/>
                <w:highlight w:val="none"/>
                <w:lang w:val="en-US" w:eastAsia="zh-CN" w:bidi="ar-SA"/>
              </w:rPr>
              <w:t>cm/s）或2mm厚高密度聚乙烯，或至少2mm厚的其他人工材料，确保渗透系数≤10</w:t>
            </w:r>
            <w:r>
              <w:rPr>
                <w:rFonts w:hint="default" w:ascii="Times New Roman" w:hAnsi="Times New Roman" w:eastAsia="宋体" w:cs="Times New Roman"/>
                <w:color w:val="auto"/>
                <w:spacing w:val="0"/>
                <w:kern w:val="0"/>
                <w:sz w:val="24"/>
                <w:szCs w:val="20"/>
                <w:highlight w:val="none"/>
                <w:vertAlign w:val="superscript"/>
                <w:lang w:val="en-US" w:eastAsia="zh-CN" w:bidi="ar-SA"/>
              </w:rPr>
              <w:t>-10</w:t>
            </w:r>
            <w:r>
              <w:rPr>
                <w:rFonts w:hint="default" w:ascii="Times New Roman" w:hAnsi="Times New Roman" w:eastAsia="宋体" w:cs="Times New Roman"/>
                <w:color w:val="auto"/>
                <w:spacing w:val="0"/>
                <w:kern w:val="0"/>
                <w:sz w:val="24"/>
                <w:szCs w:val="20"/>
                <w:highlight w:val="none"/>
                <w:lang w:val="en-US" w:eastAsia="zh-CN" w:bidi="ar-SA"/>
              </w:rPr>
              <w:t>cm/s。</w:t>
            </w:r>
          </w:p>
          <w:p>
            <w:pPr>
              <w:pStyle w:val="63"/>
              <w:spacing w:line="360" w:lineRule="auto"/>
              <w:ind w:firstLine="480" w:firstLineChars="200"/>
              <w:rPr>
                <w:rFonts w:hint="default" w:ascii="Times New Roman" w:hAnsi="Times New Roman" w:eastAsia="宋体" w:cs="Times New Roman"/>
                <w:color w:val="auto"/>
                <w:spacing w:val="0"/>
                <w:kern w:val="0"/>
                <w:sz w:val="24"/>
                <w:szCs w:val="20"/>
                <w:highlight w:val="none"/>
                <w:lang w:val="en-US" w:eastAsia="zh-CN" w:bidi="ar-SA"/>
              </w:rPr>
            </w:pPr>
            <w:r>
              <w:rPr>
                <w:rFonts w:hint="default" w:ascii="Times New Roman" w:hAnsi="Times New Roman" w:eastAsia="宋体" w:cs="Times New Roman"/>
                <w:color w:val="auto"/>
                <w:spacing w:val="0"/>
                <w:kern w:val="0"/>
                <w:sz w:val="24"/>
                <w:szCs w:val="20"/>
                <w:highlight w:val="none"/>
                <w:lang w:val="en-US" w:eastAsia="zh-CN" w:bidi="ar-SA"/>
              </w:rPr>
              <w:t>（2）</w:t>
            </w:r>
            <w:r>
              <w:rPr>
                <w:rFonts w:hint="eastAsia" w:ascii="Times New Roman" w:hAnsi="Times New Roman" w:eastAsia="宋体" w:cs="Times New Roman"/>
                <w:color w:val="auto"/>
                <w:spacing w:val="0"/>
                <w:kern w:val="0"/>
                <w:sz w:val="24"/>
                <w:szCs w:val="20"/>
                <w:highlight w:val="none"/>
                <w:lang w:val="en-US" w:eastAsia="zh-CN" w:bidi="ar-SA"/>
              </w:rPr>
              <w:t>重视运输资质、运输路线、运输专用标志和辅助设备的配备，以及防火安全措施。需要注意的是：禁止用叉车、翻斗车、铲车搬运易燃易爆物品；禁止超装、超载，禁止混装不相容类别的危险化学品；运输车发生泄漏或翻车，必须立即报警，并建议有关部门在一定距离范围内设置警戒，作为影响范围，通知采取必要的防范措施；根据不同物料，提出吸附、覆盖、消除材料，用于应</w:t>
            </w:r>
            <w:r>
              <w:rPr>
                <w:rFonts w:hint="default" w:ascii="Times New Roman" w:hAnsi="Times New Roman" w:eastAsia="宋体" w:cs="Times New Roman"/>
                <w:color w:val="auto"/>
                <w:spacing w:val="0"/>
                <w:kern w:val="0"/>
                <w:sz w:val="24"/>
                <w:szCs w:val="20"/>
                <w:highlight w:val="none"/>
                <w:lang w:val="en-US" w:eastAsia="zh-CN" w:bidi="ar-SA"/>
              </w:rPr>
              <w:t>急处理。</w:t>
            </w:r>
          </w:p>
          <w:p>
            <w:pPr>
              <w:pStyle w:val="101"/>
              <w:ind w:firstLine="480"/>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cs="Times New Roman"/>
                <w:color w:val="auto"/>
                <w:spacing w:val="0"/>
                <w:kern w:val="0"/>
                <w:sz w:val="24"/>
                <w:szCs w:val="20"/>
                <w:highlight w:val="none"/>
                <w:lang w:val="en-US" w:eastAsia="zh-CN" w:bidi="ar-SA"/>
              </w:rPr>
              <w:t>6</w:t>
            </w:r>
            <w:r>
              <w:rPr>
                <w:rFonts w:hint="default" w:ascii="Times New Roman" w:hAnsi="Times New Roman" w:eastAsia="宋体" w:cs="Times New Roman"/>
                <w:color w:val="auto"/>
                <w:spacing w:val="0"/>
                <w:kern w:val="0"/>
                <w:sz w:val="24"/>
                <w:szCs w:val="20"/>
                <w:highlight w:val="none"/>
                <w:lang w:val="en-US" w:eastAsia="zh-CN" w:bidi="ar-SA"/>
              </w:rPr>
              <w:t xml:space="preserve">.4 </w:t>
            </w:r>
            <w:r>
              <w:rPr>
                <w:rFonts w:hint="default" w:ascii="Times New Roman" w:hAnsi="Times New Roman" w:eastAsia="宋体" w:cs="Times New Roman"/>
                <w:color w:val="auto"/>
                <w:kern w:val="2"/>
                <w:sz w:val="24"/>
                <w:szCs w:val="24"/>
                <w:highlight w:val="none"/>
                <w:lang w:val="en-US" w:eastAsia="zh-CN" w:bidi="ar-SA"/>
              </w:rPr>
              <w:t>应急预案</w:t>
            </w:r>
          </w:p>
          <w:p>
            <w:pPr>
              <w:pStyle w:val="101"/>
              <w:ind w:firstLine="480"/>
              <w:rPr>
                <w:rFonts w:hint="default" w:ascii="Times New Roman" w:hAnsi="Times New Roman" w:cs="Times New Roman"/>
                <w:color w:val="auto"/>
                <w:kern w:val="2"/>
                <w:szCs w:val="22"/>
                <w:highlight w:val="none"/>
              </w:rPr>
            </w:pPr>
            <w:r>
              <w:rPr>
                <w:rFonts w:hint="default" w:ascii="Times New Roman" w:hAnsi="Times New Roman" w:cs="Times New Roman"/>
                <w:color w:val="auto"/>
                <w:kern w:val="2"/>
                <w:szCs w:val="22"/>
                <w:highlight w:val="none"/>
              </w:rPr>
              <w:t>环境应急预案内容一般包括：</w:t>
            </w:r>
          </w:p>
          <w:p>
            <w:pPr>
              <w:pStyle w:val="101"/>
              <w:ind w:firstLine="480"/>
              <w:rPr>
                <w:rFonts w:hint="default" w:ascii="Times New Roman" w:hAnsi="Times New Roman" w:cs="Times New Roman"/>
                <w:color w:val="auto"/>
                <w:kern w:val="2"/>
                <w:szCs w:val="22"/>
                <w:highlight w:val="none"/>
              </w:rPr>
            </w:pPr>
            <w:r>
              <w:rPr>
                <w:rFonts w:hint="default" w:ascii="Times New Roman" w:hAnsi="Times New Roman" w:cs="Times New Roman"/>
                <w:color w:val="auto"/>
                <w:kern w:val="2"/>
                <w:szCs w:val="22"/>
                <w:highlight w:val="none"/>
              </w:rPr>
              <w:t>（一）总则，包括编制依据、适用范围和工作原则等；</w:t>
            </w:r>
          </w:p>
          <w:p>
            <w:pPr>
              <w:pStyle w:val="101"/>
              <w:ind w:firstLine="480"/>
              <w:rPr>
                <w:rFonts w:hint="default" w:ascii="Times New Roman" w:hAnsi="Times New Roman" w:cs="Times New Roman"/>
                <w:color w:val="auto"/>
                <w:kern w:val="2"/>
                <w:szCs w:val="22"/>
                <w:highlight w:val="none"/>
              </w:rPr>
            </w:pPr>
            <w:r>
              <w:rPr>
                <w:rFonts w:hint="default" w:ascii="Times New Roman" w:hAnsi="Times New Roman" w:cs="Times New Roman"/>
                <w:color w:val="auto"/>
                <w:kern w:val="2"/>
                <w:szCs w:val="22"/>
                <w:highlight w:val="none"/>
              </w:rPr>
              <w:t>（二）应急组织指挥体系与职责，包括领导机构、工作机构、现场指挥机构、环境应急专家组等；</w:t>
            </w:r>
          </w:p>
          <w:p>
            <w:pPr>
              <w:pStyle w:val="101"/>
              <w:ind w:firstLine="480"/>
              <w:rPr>
                <w:rFonts w:hint="default" w:ascii="Times New Roman" w:hAnsi="Times New Roman" w:cs="Times New Roman"/>
                <w:color w:val="auto"/>
                <w:kern w:val="2"/>
                <w:szCs w:val="22"/>
                <w:highlight w:val="none"/>
              </w:rPr>
            </w:pPr>
            <w:r>
              <w:rPr>
                <w:rFonts w:hint="default" w:ascii="Times New Roman" w:hAnsi="Times New Roman" w:cs="Times New Roman"/>
                <w:color w:val="auto"/>
                <w:kern w:val="2"/>
                <w:szCs w:val="22"/>
                <w:highlight w:val="none"/>
              </w:rPr>
              <w:t>（三）预防与预警机制，包括应急准备措施、环境风险隐患排查和整治措施、预警分级指标、预警发布或者解除程序、预警相应措施等；</w:t>
            </w:r>
          </w:p>
          <w:p>
            <w:pPr>
              <w:pStyle w:val="101"/>
              <w:ind w:firstLine="480"/>
              <w:rPr>
                <w:rFonts w:hint="default" w:ascii="Times New Roman" w:hAnsi="Times New Roman" w:cs="Times New Roman"/>
                <w:color w:val="auto"/>
                <w:kern w:val="2"/>
                <w:szCs w:val="22"/>
                <w:highlight w:val="none"/>
              </w:rPr>
            </w:pPr>
            <w:r>
              <w:rPr>
                <w:rFonts w:hint="default" w:ascii="Times New Roman" w:hAnsi="Times New Roman" w:cs="Times New Roman"/>
                <w:color w:val="auto"/>
                <w:kern w:val="2"/>
                <w:szCs w:val="22"/>
                <w:highlight w:val="none"/>
              </w:rPr>
              <w:t>（四）应急处置，包括应急预案启动条件、信息报告、先期处置、分级响应、指挥与协调、信息发布、应急终止等程序和措施；</w:t>
            </w:r>
          </w:p>
          <w:p>
            <w:pPr>
              <w:pStyle w:val="101"/>
              <w:ind w:firstLine="480"/>
              <w:rPr>
                <w:rFonts w:hint="default" w:ascii="Times New Roman" w:hAnsi="Times New Roman" w:cs="Times New Roman"/>
                <w:color w:val="auto"/>
                <w:kern w:val="2"/>
                <w:szCs w:val="22"/>
                <w:highlight w:val="none"/>
              </w:rPr>
            </w:pPr>
            <w:r>
              <w:rPr>
                <w:rFonts w:hint="default" w:ascii="Times New Roman" w:hAnsi="Times New Roman" w:cs="Times New Roman"/>
                <w:color w:val="auto"/>
                <w:kern w:val="2"/>
                <w:szCs w:val="22"/>
                <w:highlight w:val="none"/>
              </w:rPr>
              <w:t>（五）后期处置，包括善后处置、调查与评估、恢复重建等；</w:t>
            </w:r>
          </w:p>
          <w:p>
            <w:pPr>
              <w:pStyle w:val="101"/>
              <w:ind w:firstLine="480"/>
              <w:rPr>
                <w:rFonts w:hint="default" w:ascii="Times New Roman" w:hAnsi="Times New Roman" w:cs="Times New Roman"/>
                <w:color w:val="auto"/>
                <w:kern w:val="2"/>
                <w:szCs w:val="22"/>
                <w:highlight w:val="none"/>
              </w:rPr>
            </w:pPr>
            <w:r>
              <w:rPr>
                <w:rFonts w:hint="default" w:ascii="Times New Roman" w:hAnsi="Times New Roman" w:cs="Times New Roman"/>
                <w:color w:val="auto"/>
                <w:kern w:val="2"/>
                <w:szCs w:val="22"/>
                <w:highlight w:val="none"/>
              </w:rPr>
              <w:t>（六）应急保障，包括人力资源保障、财力保障、物资保障等；</w:t>
            </w:r>
          </w:p>
          <w:p>
            <w:pPr>
              <w:pStyle w:val="101"/>
              <w:ind w:firstLine="480"/>
              <w:rPr>
                <w:rFonts w:hint="default" w:ascii="Times New Roman" w:hAnsi="Times New Roman" w:cs="Times New Roman"/>
                <w:color w:val="auto"/>
                <w:kern w:val="2"/>
                <w:szCs w:val="22"/>
                <w:highlight w:val="none"/>
              </w:rPr>
            </w:pPr>
            <w:r>
              <w:rPr>
                <w:rFonts w:hint="default" w:ascii="Times New Roman" w:hAnsi="Times New Roman" w:cs="Times New Roman"/>
                <w:color w:val="auto"/>
                <w:kern w:val="2"/>
                <w:szCs w:val="22"/>
                <w:highlight w:val="none"/>
              </w:rPr>
              <w:t>（七）包括应急预案演练、宣教培训、责任与奖惩等；</w:t>
            </w:r>
          </w:p>
          <w:p>
            <w:pPr>
              <w:pStyle w:val="101"/>
              <w:ind w:firstLine="480"/>
              <w:rPr>
                <w:rFonts w:hint="default" w:ascii="Times New Roman" w:hAnsi="Times New Roman" w:cs="Times New Roman"/>
                <w:color w:val="auto"/>
                <w:kern w:val="2"/>
                <w:szCs w:val="22"/>
                <w:highlight w:val="none"/>
              </w:rPr>
            </w:pPr>
            <w:r>
              <w:rPr>
                <w:rFonts w:hint="default" w:ascii="Times New Roman" w:hAnsi="Times New Roman" w:cs="Times New Roman"/>
                <w:color w:val="auto"/>
                <w:kern w:val="2"/>
                <w:szCs w:val="22"/>
                <w:highlight w:val="none"/>
              </w:rPr>
              <w:t>（八）相关附件及附则。</w:t>
            </w:r>
          </w:p>
          <w:p>
            <w:pPr>
              <w:pStyle w:val="23"/>
              <w:spacing w:line="360" w:lineRule="auto"/>
              <w:ind w:left="0" w:leftChars="0" w:firstLine="720" w:firstLineChars="300"/>
              <w:rPr>
                <w:rFonts w:hint="eastAsia" w:ascii="Times New Roman" w:hAnsi="Times New Roman" w:eastAsia="宋体" w:cs="Times New Roman"/>
                <w:color w:val="auto"/>
                <w:spacing w:val="0"/>
                <w:kern w:val="0"/>
                <w:sz w:val="24"/>
                <w:szCs w:val="20"/>
                <w:highlight w:val="none"/>
                <w:lang w:val="en-US" w:eastAsia="zh-CN" w:bidi="ar-SA"/>
              </w:rPr>
            </w:pPr>
            <w:r>
              <w:rPr>
                <w:rFonts w:hint="default" w:ascii="Times New Roman" w:hAnsi="Times New Roman" w:eastAsia="宋体" w:cs="Times New Roman"/>
                <w:color w:val="auto"/>
                <w:spacing w:val="0"/>
                <w:kern w:val="0"/>
                <w:sz w:val="24"/>
                <w:szCs w:val="20"/>
                <w:highlight w:val="none"/>
                <w:lang w:val="en-US" w:eastAsia="zh-CN" w:bidi="ar-SA"/>
              </w:rPr>
              <w:t>建议企业建立健全风险应急机制，同时依据《关于进一步加强环境影响评价管理防范环境风险的通知》（环发[2012]77号）的要求，企业应按照《突发环境事件应急预案管理暂行办法》（环发[2010]113号）、《企业事业单位突发环境事件应急预案备案管理办法（试行）》（环发）[2015]4号）等相关规定编制风险应急预案，并与当地生态环境部门联动，提高企业环境风险防控</w:t>
            </w:r>
            <w:r>
              <w:rPr>
                <w:rFonts w:hint="eastAsia" w:ascii="Times New Roman" w:hAnsi="Times New Roman" w:eastAsia="宋体" w:cs="Times New Roman"/>
                <w:color w:val="auto"/>
                <w:spacing w:val="0"/>
                <w:kern w:val="0"/>
                <w:sz w:val="24"/>
                <w:szCs w:val="20"/>
                <w:highlight w:val="none"/>
                <w:lang w:val="en-US" w:eastAsia="zh-CN" w:bidi="ar-SA"/>
              </w:rPr>
              <w:t>能力。</w:t>
            </w:r>
          </w:p>
          <w:p>
            <w:pPr>
              <w:pStyle w:val="23"/>
              <w:spacing w:line="360" w:lineRule="auto"/>
              <w:ind w:left="0" w:leftChars="0" w:firstLine="720" w:firstLineChars="300"/>
              <w:rPr>
                <w:rFonts w:hint="eastAsia" w:ascii="Times New Roman" w:hAnsi="Times New Roman" w:eastAsia="宋体" w:cs="Times New Roman"/>
                <w:color w:val="auto"/>
                <w:spacing w:val="0"/>
                <w:kern w:val="0"/>
                <w:sz w:val="24"/>
                <w:szCs w:val="20"/>
                <w:highlight w:val="none"/>
                <w:lang w:val="en-US" w:eastAsia="zh-CN" w:bidi="ar-SA"/>
              </w:rPr>
            </w:pPr>
          </w:p>
          <w:p>
            <w:pPr>
              <w:pStyle w:val="23"/>
              <w:spacing w:line="360" w:lineRule="auto"/>
              <w:ind w:left="0" w:leftChars="0" w:firstLine="720" w:firstLineChars="300"/>
              <w:rPr>
                <w:rFonts w:hint="eastAsia" w:ascii="Times New Roman" w:hAnsi="Times New Roman" w:eastAsia="宋体" w:cs="Times New Roman"/>
                <w:color w:val="auto"/>
                <w:spacing w:val="0"/>
                <w:kern w:val="0"/>
                <w:sz w:val="24"/>
                <w:szCs w:val="20"/>
                <w:highlight w:val="none"/>
                <w:lang w:val="en-US" w:eastAsia="zh-CN" w:bidi="ar-SA"/>
              </w:rPr>
            </w:pPr>
          </w:p>
          <w:p>
            <w:pPr>
              <w:pStyle w:val="23"/>
              <w:spacing w:line="360" w:lineRule="auto"/>
              <w:ind w:left="0" w:leftChars="0" w:firstLine="720" w:firstLineChars="300"/>
              <w:rPr>
                <w:rFonts w:hint="eastAsia" w:ascii="Times New Roman" w:hAnsi="Times New Roman" w:eastAsia="宋体" w:cs="Times New Roman"/>
                <w:color w:val="auto"/>
                <w:spacing w:val="0"/>
                <w:kern w:val="0"/>
                <w:sz w:val="24"/>
                <w:szCs w:val="20"/>
                <w:highlight w:val="none"/>
                <w:lang w:val="en-US" w:eastAsia="zh-CN" w:bidi="ar-SA"/>
              </w:rPr>
            </w:pPr>
          </w:p>
          <w:p>
            <w:pPr>
              <w:pStyle w:val="23"/>
              <w:spacing w:line="360" w:lineRule="auto"/>
              <w:ind w:left="0" w:leftChars="0" w:firstLine="720" w:firstLineChars="300"/>
              <w:rPr>
                <w:rFonts w:hint="eastAsia" w:ascii="Times New Roman" w:hAnsi="Times New Roman" w:eastAsia="宋体" w:cs="Times New Roman"/>
                <w:color w:val="auto"/>
                <w:spacing w:val="0"/>
                <w:kern w:val="0"/>
                <w:sz w:val="24"/>
                <w:szCs w:val="20"/>
                <w:highlight w:val="none"/>
                <w:lang w:val="en-US" w:eastAsia="zh-CN" w:bidi="ar-SA"/>
              </w:rPr>
            </w:pPr>
          </w:p>
          <w:p>
            <w:pPr>
              <w:pStyle w:val="23"/>
              <w:spacing w:line="360" w:lineRule="auto"/>
              <w:ind w:left="0" w:leftChars="0" w:firstLine="720" w:firstLineChars="300"/>
              <w:rPr>
                <w:rFonts w:hint="eastAsia" w:ascii="Times New Roman" w:hAnsi="Times New Roman" w:eastAsia="宋体" w:cs="Times New Roman"/>
                <w:color w:val="auto"/>
                <w:spacing w:val="0"/>
                <w:kern w:val="0"/>
                <w:sz w:val="24"/>
                <w:szCs w:val="20"/>
                <w:highlight w:val="none"/>
                <w:lang w:val="en-US" w:eastAsia="zh-CN" w:bidi="ar-SA"/>
              </w:rPr>
            </w:pPr>
          </w:p>
          <w:p>
            <w:pPr>
              <w:pStyle w:val="23"/>
              <w:spacing w:line="360" w:lineRule="auto"/>
              <w:ind w:left="0" w:leftChars="0" w:firstLine="720" w:firstLineChars="300"/>
              <w:rPr>
                <w:rFonts w:hint="eastAsia" w:ascii="Times New Roman" w:hAnsi="Times New Roman" w:eastAsia="宋体" w:cs="Times New Roman"/>
                <w:color w:val="auto"/>
                <w:spacing w:val="0"/>
                <w:kern w:val="0"/>
                <w:sz w:val="24"/>
                <w:szCs w:val="20"/>
                <w:highlight w:val="none"/>
                <w:lang w:val="en-US" w:eastAsia="zh-CN" w:bidi="ar-SA"/>
              </w:rPr>
            </w:pPr>
          </w:p>
          <w:p>
            <w:pPr>
              <w:pStyle w:val="23"/>
              <w:spacing w:line="360" w:lineRule="auto"/>
              <w:ind w:left="0" w:leftChars="0" w:firstLine="720" w:firstLineChars="300"/>
              <w:rPr>
                <w:rFonts w:hint="eastAsia" w:ascii="Times New Roman" w:hAnsi="Times New Roman" w:eastAsia="宋体" w:cs="Times New Roman"/>
                <w:color w:val="auto"/>
                <w:spacing w:val="0"/>
                <w:kern w:val="0"/>
                <w:sz w:val="24"/>
                <w:szCs w:val="20"/>
                <w:highlight w:val="none"/>
                <w:lang w:val="en-US" w:eastAsia="zh-CN" w:bidi="ar-SA"/>
              </w:rPr>
            </w:pPr>
          </w:p>
          <w:p>
            <w:pPr>
              <w:pStyle w:val="23"/>
              <w:spacing w:line="360" w:lineRule="auto"/>
              <w:ind w:left="0" w:leftChars="0" w:firstLine="720" w:firstLineChars="300"/>
              <w:rPr>
                <w:rFonts w:hint="eastAsia" w:ascii="Times New Roman" w:hAnsi="Times New Roman" w:eastAsia="宋体" w:cs="Times New Roman"/>
                <w:color w:val="auto"/>
                <w:spacing w:val="0"/>
                <w:kern w:val="0"/>
                <w:sz w:val="24"/>
                <w:szCs w:val="20"/>
                <w:highlight w:val="none"/>
                <w:lang w:val="en-US" w:eastAsia="zh-CN" w:bidi="ar-SA"/>
              </w:rPr>
            </w:pPr>
          </w:p>
          <w:p>
            <w:pPr>
              <w:pStyle w:val="23"/>
              <w:spacing w:line="360" w:lineRule="auto"/>
              <w:ind w:left="0" w:leftChars="0" w:firstLine="720" w:firstLineChars="300"/>
              <w:rPr>
                <w:rFonts w:hint="eastAsia" w:ascii="Times New Roman" w:hAnsi="Times New Roman" w:eastAsia="宋体" w:cs="Times New Roman"/>
                <w:color w:val="auto"/>
                <w:spacing w:val="0"/>
                <w:kern w:val="0"/>
                <w:sz w:val="24"/>
                <w:szCs w:val="20"/>
                <w:highlight w:val="none"/>
                <w:lang w:val="en-US" w:eastAsia="zh-CN" w:bidi="ar-SA"/>
              </w:rPr>
            </w:pPr>
          </w:p>
          <w:p>
            <w:pPr>
              <w:pStyle w:val="23"/>
              <w:spacing w:line="360" w:lineRule="auto"/>
              <w:ind w:left="0" w:leftChars="0" w:firstLine="720" w:firstLineChars="300"/>
              <w:rPr>
                <w:rFonts w:hint="eastAsia" w:ascii="Times New Roman" w:hAnsi="Times New Roman" w:eastAsia="宋体" w:cs="Times New Roman"/>
                <w:color w:val="auto"/>
                <w:spacing w:val="0"/>
                <w:kern w:val="0"/>
                <w:sz w:val="24"/>
                <w:szCs w:val="20"/>
                <w:highlight w:val="none"/>
                <w:lang w:val="en-US" w:eastAsia="zh-CN" w:bidi="ar-SA"/>
              </w:rPr>
            </w:pPr>
          </w:p>
          <w:p>
            <w:pPr>
              <w:pStyle w:val="23"/>
              <w:spacing w:line="360" w:lineRule="auto"/>
              <w:ind w:left="0" w:leftChars="0" w:firstLine="720" w:firstLineChars="300"/>
              <w:rPr>
                <w:rFonts w:hint="eastAsia" w:ascii="Times New Roman" w:hAnsi="Times New Roman" w:eastAsia="宋体" w:cs="Times New Roman"/>
                <w:color w:val="auto"/>
                <w:spacing w:val="0"/>
                <w:kern w:val="0"/>
                <w:sz w:val="24"/>
                <w:szCs w:val="20"/>
                <w:highlight w:val="none"/>
                <w:lang w:val="en-US" w:eastAsia="zh-CN" w:bidi="ar-SA"/>
              </w:rPr>
            </w:pPr>
          </w:p>
          <w:p>
            <w:pPr>
              <w:pStyle w:val="23"/>
              <w:spacing w:line="360" w:lineRule="auto"/>
              <w:ind w:left="0" w:leftChars="0" w:firstLine="720" w:firstLineChars="300"/>
              <w:rPr>
                <w:rFonts w:hint="eastAsia" w:ascii="Times New Roman" w:hAnsi="Times New Roman" w:eastAsia="宋体" w:cs="Times New Roman"/>
                <w:color w:val="auto"/>
                <w:spacing w:val="0"/>
                <w:kern w:val="0"/>
                <w:sz w:val="24"/>
                <w:szCs w:val="20"/>
                <w:highlight w:val="none"/>
                <w:lang w:val="en-US" w:eastAsia="zh-CN" w:bidi="ar-SA"/>
              </w:rPr>
            </w:pPr>
          </w:p>
          <w:p>
            <w:pPr>
              <w:pStyle w:val="23"/>
              <w:spacing w:line="360" w:lineRule="auto"/>
              <w:ind w:left="0" w:leftChars="0" w:firstLine="720" w:firstLineChars="300"/>
              <w:rPr>
                <w:rFonts w:hint="eastAsia" w:ascii="Times New Roman" w:hAnsi="Times New Roman" w:eastAsia="宋体" w:cs="Times New Roman"/>
                <w:color w:val="auto"/>
                <w:spacing w:val="0"/>
                <w:kern w:val="0"/>
                <w:sz w:val="24"/>
                <w:szCs w:val="20"/>
                <w:highlight w:val="none"/>
                <w:lang w:val="en-US" w:eastAsia="zh-CN" w:bidi="ar-SA"/>
              </w:rPr>
            </w:pPr>
          </w:p>
          <w:p>
            <w:pPr>
              <w:pStyle w:val="23"/>
              <w:spacing w:line="360" w:lineRule="auto"/>
              <w:ind w:left="0" w:leftChars="0" w:firstLine="720" w:firstLineChars="300"/>
              <w:rPr>
                <w:rFonts w:hint="eastAsia" w:ascii="Times New Roman" w:hAnsi="Times New Roman" w:eastAsia="宋体" w:cs="Times New Roman"/>
                <w:color w:val="auto"/>
                <w:spacing w:val="0"/>
                <w:kern w:val="0"/>
                <w:sz w:val="24"/>
                <w:szCs w:val="20"/>
                <w:highlight w:val="none"/>
                <w:lang w:val="en-US" w:eastAsia="zh-CN" w:bidi="ar-SA"/>
              </w:rPr>
            </w:pPr>
          </w:p>
          <w:p>
            <w:pPr>
              <w:pStyle w:val="23"/>
              <w:spacing w:line="360" w:lineRule="auto"/>
              <w:ind w:left="0" w:leftChars="0" w:firstLine="720" w:firstLineChars="300"/>
              <w:rPr>
                <w:rFonts w:hint="eastAsia" w:ascii="Times New Roman" w:hAnsi="Times New Roman" w:eastAsia="宋体" w:cs="Times New Roman"/>
                <w:color w:val="auto"/>
                <w:spacing w:val="0"/>
                <w:kern w:val="0"/>
                <w:sz w:val="24"/>
                <w:szCs w:val="20"/>
                <w:highlight w:val="none"/>
                <w:lang w:val="en-US" w:eastAsia="zh-CN" w:bidi="ar-SA"/>
              </w:rPr>
            </w:pPr>
          </w:p>
          <w:p>
            <w:pPr>
              <w:pStyle w:val="23"/>
              <w:spacing w:line="360" w:lineRule="auto"/>
              <w:ind w:left="0" w:leftChars="0" w:firstLine="720" w:firstLineChars="300"/>
              <w:rPr>
                <w:rFonts w:hint="eastAsia" w:ascii="Times New Roman" w:hAnsi="Times New Roman" w:eastAsia="宋体" w:cs="Times New Roman"/>
                <w:color w:val="auto"/>
                <w:spacing w:val="0"/>
                <w:kern w:val="0"/>
                <w:sz w:val="24"/>
                <w:szCs w:val="20"/>
                <w:highlight w:val="none"/>
                <w:lang w:val="en-US" w:eastAsia="zh-CN" w:bidi="ar-SA"/>
              </w:rPr>
            </w:pPr>
          </w:p>
          <w:p>
            <w:pPr>
              <w:pStyle w:val="23"/>
              <w:spacing w:line="360" w:lineRule="auto"/>
              <w:ind w:left="0" w:leftChars="0" w:firstLine="720" w:firstLineChars="300"/>
              <w:rPr>
                <w:rFonts w:hint="eastAsia" w:ascii="Times New Roman" w:hAnsi="Times New Roman" w:eastAsia="宋体" w:cs="Times New Roman"/>
                <w:color w:val="auto"/>
                <w:spacing w:val="0"/>
                <w:kern w:val="0"/>
                <w:sz w:val="24"/>
                <w:szCs w:val="20"/>
                <w:highlight w:val="none"/>
                <w:lang w:val="en-US" w:eastAsia="zh-CN" w:bidi="ar-SA"/>
              </w:rPr>
            </w:pPr>
          </w:p>
          <w:p>
            <w:pPr>
              <w:pStyle w:val="23"/>
              <w:spacing w:line="360" w:lineRule="auto"/>
              <w:ind w:left="0" w:leftChars="0" w:firstLine="630" w:firstLineChars="300"/>
              <w:rPr>
                <w:color w:val="auto"/>
                <w:highlight w:val="none"/>
              </w:rPr>
            </w:pPr>
          </w:p>
        </w:tc>
      </w:tr>
    </w:tbl>
    <w:p>
      <w:pPr>
        <w:adjustRightInd w:val="0"/>
        <w:snapToGrid w:val="0"/>
        <w:spacing w:line="360" w:lineRule="auto"/>
        <w:rPr>
          <w:b/>
          <w:color w:val="auto"/>
          <w:kern w:val="0"/>
          <w:sz w:val="28"/>
          <w:szCs w:val="28"/>
          <w:highlight w:val="none"/>
        </w:rPr>
        <w:sectPr>
          <w:pgSz w:w="11907" w:h="16840"/>
          <w:pgMar w:top="1701" w:right="1531" w:bottom="2127"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26"/>
        <w:spacing w:before="0" w:beforeAutospacing="0" w:after="0" w:afterAutospacing="0"/>
        <w:jc w:val="center"/>
        <w:outlineLvl w:val="0"/>
        <w:rPr>
          <w:rFonts w:ascii="Times New Roman" w:hAnsi="Times New Roman"/>
          <w:snapToGrid w:val="0"/>
          <w:color w:val="auto"/>
          <w:sz w:val="30"/>
          <w:szCs w:val="30"/>
          <w:highlight w:val="none"/>
        </w:rPr>
      </w:pPr>
      <w:r>
        <w:rPr>
          <w:rFonts w:ascii="Times New Roman" w:hAnsi="Times New Roman"/>
          <w:b/>
          <w:bCs/>
          <w:snapToGrid w:val="0"/>
          <w:color w:val="auto"/>
          <w:sz w:val="30"/>
          <w:szCs w:val="30"/>
          <w:highlight w:val="none"/>
        </w:rPr>
        <w:t>五、</w:t>
      </w:r>
      <w:bookmarkStart w:id="4" w:name="_Hlk54167917"/>
      <w:r>
        <w:rPr>
          <w:rFonts w:ascii="Times New Roman" w:hAnsi="Times New Roman"/>
          <w:b/>
          <w:bCs/>
          <w:snapToGrid w:val="0"/>
          <w:color w:val="auto"/>
          <w:sz w:val="30"/>
          <w:szCs w:val="30"/>
          <w:highlight w:val="none"/>
        </w:rPr>
        <w:t>环境保护措施监督检查清单</w:t>
      </w:r>
      <w:bookmarkEnd w:id="4"/>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9"/>
        <w:gridCol w:w="1509"/>
        <w:gridCol w:w="1070"/>
        <w:gridCol w:w="2220"/>
        <w:gridCol w:w="30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49" w:type="dxa"/>
            <w:tcBorders>
              <w:tl2br w:val="single" w:color="auto" w:sz="4" w:space="0"/>
            </w:tcBorders>
          </w:tcPr>
          <w:p>
            <w:pPr>
              <w:adjustRightInd w:val="0"/>
              <w:snapToGrid w:val="0"/>
              <w:jc w:val="right"/>
              <w:rPr>
                <w:color w:val="auto"/>
                <w:sz w:val="24"/>
                <w:highlight w:val="none"/>
              </w:rPr>
            </w:pPr>
            <w:r>
              <w:rPr>
                <w:color w:val="auto"/>
                <w:sz w:val="24"/>
                <w:highlight w:val="none"/>
              </w:rPr>
              <w:t>内容</w:t>
            </w:r>
          </w:p>
          <w:p>
            <w:pPr>
              <w:adjustRightInd w:val="0"/>
              <w:snapToGrid w:val="0"/>
              <w:rPr>
                <w:color w:val="auto"/>
                <w:sz w:val="24"/>
                <w:highlight w:val="none"/>
              </w:rPr>
            </w:pPr>
            <w:r>
              <w:rPr>
                <w:color w:val="auto"/>
                <w:sz w:val="24"/>
                <w:highlight w:val="none"/>
              </w:rPr>
              <w:t>要素</w:t>
            </w:r>
          </w:p>
        </w:tc>
        <w:tc>
          <w:tcPr>
            <w:tcW w:w="1509" w:type="dxa"/>
            <w:vAlign w:val="center"/>
          </w:tcPr>
          <w:p>
            <w:pPr>
              <w:adjustRightInd w:val="0"/>
              <w:snapToGrid w:val="0"/>
              <w:jc w:val="center"/>
              <w:rPr>
                <w:color w:val="auto"/>
                <w:sz w:val="24"/>
                <w:highlight w:val="none"/>
              </w:rPr>
            </w:pPr>
            <w:r>
              <w:rPr>
                <w:color w:val="auto"/>
                <w:sz w:val="24"/>
                <w:highlight w:val="none"/>
              </w:rPr>
              <w:t>排放口(编号、名称)/污染源</w:t>
            </w:r>
          </w:p>
        </w:tc>
        <w:tc>
          <w:tcPr>
            <w:tcW w:w="1070" w:type="dxa"/>
            <w:vAlign w:val="center"/>
          </w:tcPr>
          <w:p>
            <w:pPr>
              <w:adjustRightInd w:val="0"/>
              <w:snapToGrid w:val="0"/>
              <w:jc w:val="center"/>
              <w:rPr>
                <w:color w:val="auto"/>
                <w:sz w:val="24"/>
                <w:highlight w:val="none"/>
              </w:rPr>
            </w:pPr>
            <w:r>
              <w:rPr>
                <w:color w:val="auto"/>
                <w:sz w:val="24"/>
                <w:highlight w:val="none"/>
              </w:rPr>
              <w:t>污染物项目</w:t>
            </w:r>
          </w:p>
        </w:tc>
        <w:tc>
          <w:tcPr>
            <w:tcW w:w="2220" w:type="dxa"/>
            <w:vAlign w:val="center"/>
          </w:tcPr>
          <w:p>
            <w:pPr>
              <w:adjustRightInd w:val="0"/>
              <w:snapToGrid w:val="0"/>
              <w:jc w:val="center"/>
              <w:rPr>
                <w:color w:val="auto"/>
                <w:sz w:val="24"/>
                <w:highlight w:val="none"/>
              </w:rPr>
            </w:pPr>
            <w:r>
              <w:rPr>
                <w:color w:val="auto"/>
                <w:sz w:val="24"/>
                <w:highlight w:val="none"/>
              </w:rPr>
              <w:t>环境保护措施</w:t>
            </w:r>
          </w:p>
        </w:tc>
        <w:tc>
          <w:tcPr>
            <w:tcW w:w="3060" w:type="dxa"/>
            <w:vAlign w:val="center"/>
          </w:tcPr>
          <w:p>
            <w:pPr>
              <w:adjustRightInd w:val="0"/>
              <w:snapToGrid w:val="0"/>
              <w:jc w:val="center"/>
              <w:rPr>
                <w:color w:val="auto"/>
                <w:sz w:val="24"/>
                <w:highlight w:val="none"/>
              </w:rPr>
            </w:pPr>
            <w:r>
              <w:rPr>
                <w:color w:val="auto"/>
                <w:sz w:val="24"/>
                <w:highlight w:val="none"/>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49" w:type="dxa"/>
            <w:vMerge w:val="restart"/>
            <w:vAlign w:val="center"/>
          </w:tcPr>
          <w:p>
            <w:pPr>
              <w:adjustRightInd w:val="0"/>
              <w:snapToGrid w:val="0"/>
              <w:jc w:val="center"/>
              <w:rPr>
                <w:b/>
                <w:bCs/>
                <w:color w:val="auto"/>
                <w:sz w:val="24"/>
                <w:highlight w:val="none"/>
              </w:rPr>
            </w:pPr>
            <w:r>
              <w:rPr>
                <w:b/>
                <w:bCs/>
                <w:color w:val="auto"/>
                <w:sz w:val="24"/>
                <w:highlight w:val="none"/>
              </w:rPr>
              <w:t>大气</w:t>
            </w:r>
          </w:p>
          <w:p>
            <w:pPr>
              <w:adjustRightInd w:val="0"/>
              <w:snapToGrid w:val="0"/>
              <w:jc w:val="center"/>
              <w:rPr>
                <w:color w:val="auto"/>
                <w:sz w:val="24"/>
                <w:highlight w:val="none"/>
              </w:rPr>
            </w:pPr>
            <w:r>
              <w:rPr>
                <w:b/>
                <w:bCs/>
                <w:color w:val="auto"/>
                <w:sz w:val="24"/>
                <w:highlight w:val="none"/>
              </w:rPr>
              <w:t>环境</w:t>
            </w:r>
          </w:p>
        </w:tc>
        <w:tc>
          <w:tcPr>
            <w:tcW w:w="1509" w:type="dxa"/>
            <w:vAlign w:val="center"/>
          </w:tcPr>
          <w:p>
            <w:pPr>
              <w:adjustRightInd w:val="0"/>
              <w:snapToGrid w:val="0"/>
              <w:jc w:val="center"/>
              <w:rPr>
                <w:b w:val="0"/>
                <w:bCs w:val="0"/>
                <w:i w:val="0"/>
                <w:iCs w:val="0"/>
                <w:color w:val="auto"/>
                <w:sz w:val="24"/>
                <w:highlight w:val="none"/>
                <w:u w:val="none"/>
              </w:rPr>
            </w:pPr>
            <w:r>
              <w:rPr>
                <w:b w:val="0"/>
                <w:bCs w:val="0"/>
                <w:i w:val="0"/>
                <w:iCs w:val="0"/>
                <w:color w:val="auto"/>
                <w:sz w:val="24"/>
                <w:highlight w:val="none"/>
                <w:u w:val="none"/>
              </w:rPr>
              <w:t>清洗、防锈、注塑工序废气DA001</w:t>
            </w:r>
          </w:p>
        </w:tc>
        <w:tc>
          <w:tcPr>
            <w:tcW w:w="1070" w:type="dxa"/>
            <w:vAlign w:val="center"/>
          </w:tcPr>
          <w:p>
            <w:pPr>
              <w:adjustRightInd w:val="0"/>
              <w:snapToGrid w:val="0"/>
              <w:jc w:val="center"/>
              <w:rPr>
                <w:b w:val="0"/>
                <w:bCs w:val="0"/>
                <w:i w:val="0"/>
                <w:iCs w:val="0"/>
                <w:color w:val="auto"/>
                <w:sz w:val="24"/>
                <w:highlight w:val="none"/>
                <w:u w:val="none"/>
              </w:rPr>
            </w:pPr>
            <w:r>
              <w:rPr>
                <w:b w:val="0"/>
                <w:bCs w:val="0"/>
                <w:i w:val="0"/>
                <w:iCs w:val="0"/>
                <w:color w:val="auto"/>
                <w:sz w:val="24"/>
                <w:highlight w:val="none"/>
                <w:u w:val="none"/>
              </w:rPr>
              <w:t>NMHC</w:t>
            </w:r>
          </w:p>
        </w:tc>
        <w:tc>
          <w:tcPr>
            <w:tcW w:w="2220" w:type="dxa"/>
            <w:tcBorders>
              <w:bottom w:val="single" w:color="000000" w:sz="4" w:space="0"/>
            </w:tcBorders>
            <w:vAlign w:val="center"/>
          </w:tcPr>
          <w:p>
            <w:pPr>
              <w:adjustRightInd w:val="0"/>
              <w:snapToGrid w:val="0"/>
              <w:jc w:val="center"/>
              <w:rPr>
                <w:b w:val="0"/>
                <w:bCs w:val="0"/>
                <w:i w:val="0"/>
                <w:iCs w:val="0"/>
                <w:color w:val="auto"/>
                <w:sz w:val="24"/>
                <w:highlight w:val="none"/>
                <w:u w:val="none"/>
              </w:rPr>
            </w:pPr>
            <w:r>
              <w:rPr>
                <w:b w:val="0"/>
                <w:bCs w:val="0"/>
                <w:i w:val="0"/>
                <w:iCs w:val="0"/>
                <w:color w:val="auto"/>
                <w:sz w:val="24"/>
                <w:highlight w:val="none"/>
                <w:u w:val="none"/>
              </w:rPr>
              <w:t>集气罩+活性炭吸附装置+15m高排气筒</w:t>
            </w:r>
          </w:p>
        </w:tc>
        <w:tc>
          <w:tcPr>
            <w:tcW w:w="3060" w:type="dxa"/>
            <w:tcBorders>
              <w:bottom w:val="single" w:color="000000" w:sz="4" w:space="0"/>
            </w:tcBorders>
            <w:vAlign w:val="center"/>
          </w:tcPr>
          <w:p>
            <w:pPr>
              <w:adjustRightInd w:val="0"/>
              <w:snapToGrid w:val="0"/>
              <w:jc w:val="center"/>
              <w:rPr>
                <w:i w:val="0"/>
                <w:iCs w:val="0"/>
                <w:color w:val="auto"/>
                <w:sz w:val="24"/>
                <w:highlight w:val="none"/>
                <w:u w:val="none"/>
              </w:rPr>
            </w:pPr>
            <w:r>
              <w:rPr>
                <w:i w:val="0"/>
                <w:iCs w:val="0"/>
                <w:color w:val="auto"/>
                <w:sz w:val="24"/>
                <w:highlight w:val="none"/>
                <w:u w:val="none"/>
              </w:rPr>
              <w:t>《合成树脂工业污染物排放标准》（GB31572-2015）中表5大气污染物特别排放限值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49" w:type="dxa"/>
            <w:vMerge w:val="continue"/>
            <w:vAlign w:val="center"/>
          </w:tcPr>
          <w:p>
            <w:pPr>
              <w:adjustRightInd w:val="0"/>
              <w:snapToGrid w:val="0"/>
              <w:jc w:val="center"/>
              <w:rPr>
                <w:color w:val="auto"/>
                <w:sz w:val="24"/>
                <w:highlight w:val="none"/>
              </w:rPr>
            </w:pPr>
          </w:p>
        </w:tc>
        <w:tc>
          <w:tcPr>
            <w:tcW w:w="1509" w:type="dxa"/>
            <w:vAlign w:val="center"/>
          </w:tcPr>
          <w:p>
            <w:pPr>
              <w:adjustRightInd w:val="0"/>
              <w:snapToGrid w:val="0"/>
              <w:jc w:val="center"/>
              <w:rPr>
                <w:b w:val="0"/>
                <w:bCs w:val="0"/>
                <w:i w:val="0"/>
                <w:iCs w:val="0"/>
                <w:color w:val="auto"/>
                <w:sz w:val="24"/>
                <w:highlight w:val="none"/>
                <w:u w:val="none"/>
              </w:rPr>
            </w:pPr>
            <w:r>
              <w:rPr>
                <w:rFonts w:hint="eastAsia"/>
                <w:b w:val="0"/>
                <w:bCs w:val="0"/>
                <w:i w:val="0"/>
                <w:iCs w:val="0"/>
                <w:color w:val="auto"/>
                <w:sz w:val="24"/>
                <w:highlight w:val="none"/>
                <w:u w:val="none"/>
                <w:lang w:val="en-US" w:eastAsia="zh-CN"/>
              </w:rPr>
              <w:t>破碎</w:t>
            </w:r>
            <w:r>
              <w:rPr>
                <w:b w:val="0"/>
                <w:bCs w:val="0"/>
                <w:i w:val="0"/>
                <w:iCs w:val="0"/>
                <w:color w:val="auto"/>
                <w:sz w:val="24"/>
                <w:highlight w:val="none"/>
                <w:u w:val="none"/>
              </w:rPr>
              <w:t>工序废气</w:t>
            </w:r>
          </w:p>
        </w:tc>
        <w:tc>
          <w:tcPr>
            <w:tcW w:w="1070" w:type="dxa"/>
            <w:vAlign w:val="center"/>
          </w:tcPr>
          <w:p>
            <w:pPr>
              <w:adjustRightInd w:val="0"/>
              <w:snapToGrid w:val="0"/>
              <w:jc w:val="center"/>
              <w:rPr>
                <w:b w:val="0"/>
                <w:bCs w:val="0"/>
                <w:i w:val="0"/>
                <w:iCs w:val="0"/>
                <w:color w:val="auto"/>
                <w:sz w:val="24"/>
                <w:highlight w:val="none"/>
                <w:u w:val="none"/>
              </w:rPr>
            </w:pPr>
            <w:r>
              <w:rPr>
                <w:b w:val="0"/>
                <w:bCs w:val="0"/>
                <w:i w:val="0"/>
                <w:iCs w:val="0"/>
                <w:color w:val="auto"/>
                <w:sz w:val="24"/>
                <w:highlight w:val="none"/>
                <w:u w:val="none"/>
              </w:rPr>
              <w:t>颗粒物</w:t>
            </w:r>
          </w:p>
        </w:tc>
        <w:tc>
          <w:tcPr>
            <w:tcW w:w="2220" w:type="dxa"/>
            <w:tcBorders>
              <w:top w:val="single" w:color="000000" w:sz="4" w:space="0"/>
            </w:tcBorders>
            <w:vAlign w:val="center"/>
          </w:tcPr>
          <w:p>
            <w:pPr>
              <w:adjustRightInd w:val="0"/>
              <w:snapToGrid w:val="0"/>
              <w:jc w:val="center"/>
              <w:rPr>
                <w:rFonts w:hint="default" w:eastAsia="宋体"/>
                <w:b w:val="0"/>
                <w:bCs w:val="0"/>
                <w:i w:val="0"/>
                <w:iCs w:val="0"/>
                <w:color w:val="auto"/>
                <w:sz w:val="24"/>
                <w:highlight w:val="none"/>
                <w:u w:val="none"/>
                <w:lang w:val="en-US" w:eastAsia="zh-CN"/>
              </w:rPr>
            </w:pPr>
            <w:r>
              <w:rPr>
                <w:rFonts w:hint="eastAsia"/>
                <w:b w:val="0"/>
                <w:bCs w:val="0"/>
                <w:i w:val="0"/>
                <w:iCs w:val="0"/>
                <w:color w:val="auto"/>
                <w:sz w:val="24"/>
                <w:highlight w:val="none"/>
                <w:u w:val="none"/>
                <w:lang w:val="en-US" w:eastAsia="zh-CN"/>
              </w:rPr>
              <w:t>袋式除尘器</w:t>
            </w:r>
            <w:r>
              <w:rPr>
                <w:b w:val="0"/>
                <w:bCs w:val="0"/>
                <w:i w:val="0"/>
                <w:iCs w:val="0"/>
                <w:color w:val="auto"/>
                <w:sz w:val="24"/>
                <w:highlight w:val="none"/>
                <w:u w:val="none"/>
              </w:rPr>
              <w:t>+15m高排气筒</w:t>
            </w:r>
          </w:p>
        </w:tc>
        <w:tc>
          <w:tcPr>
            <w:tcW w:w="3060" w:type="dxa"/>
            <w:tcBorders>
              <w:top w:val="single" w:color="000000" w:sz="4" w:space="0"/>
            </w:tcBorders>
            <w:vAlign w:val="center"/>
          </w:tcPr>
          <w:p>
            <w:pPr>
              <w:adjustRightInd w:val="0"/>
              <w:snapToGrid w:val="0"/>
              <w:jc w:val="center"/>
              <w:rPr>
                <w:i w:val="0"/>
                <w:iCs w:val="0"/>
                <w:color w:val="auto"/>
                <w:sz w:val="24"/>
                <w:highlight w:val="none"/>
                <w:u w:val="none"/>
              </w:rPr>
            </w:pPr>
            <w:r>
              <w:rPr>
                <w:i w:val="0"/>
                <w:iCs w:val="0"/>
                <w:color w:val="auto"/>
                <w:sz w:val="24"/>
                <w:highlight w:val="none"/>
                <w:u w:val="none"/>
              </w:rPr>
              <w:t>《大气污染物综合排放标准》（GB16297-1996）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49" w:type="dxa"/>
            <w:vMerge w:val="continue"/>
            <w:vAlign w:val="center"/>
          </w:tcPr>
          <w:p>
            <w:pPr>
              <w:adjustRightInd w:val="0"/>
              <w:snapToGrid w:val="0"/>
              <w:jc w:val="center"/>
              <w:rPr>
                <w:color w:val="auto"/>
                <w:sz w:val="24"/>
                <w:highlight w:val="none"/>
              </w:rPr>
            </w:pPr>
          </w:p>
        </w:tc>
        <w:tc>
          <w:tcPr>
            <w:tcW w:w="1509" w:type="dxa"/>
            <w:vAlign w:val="center"/>
          </w:tcPr>
          <w:p>
            <w:pPr>
              <w:adjustRightInd w:val="0"/>
              <w:snapToGrid w:val="0"/>
              <w:jc w:val="center"/>
              <w:rPr>
                <w:color w:val="auto"/>
                <w:sz w:val="24"/>
                <w:highlight w:val="none"/>
              </w:rPr>
            </w:pPr>
            <w:r>
              <w:rPr>
                <w:rFonts w:hint="eastAsia"/>
                <w:color w:val="auto"/>
                <w:sz w:val="24"/>
                <w:highlight w:val="none"/>
                <w:lang w:val="en-US" w:eastAsia="zh-CN"/>
              </w:rPr>
              <w:t>厂界内</w:t>
            </w:r>
            <w:r>
              <w:rPr>
                <w:color w:val="auto"/>
                <w:sz w:val="24"/>
                <w:highlight w:val="none"/>
              </w:rPr>
              <w:t>车间外</w:t>
            </w:r>
          </w:p>
        </w:tc>
        <w:tc>
          <w:tcPr>
            <w:tcW w:w="1070" w:type="dxa"/>
            <w:vAlign w:val="center"/>
          </w:tcPr>
          <w:p>
            <w:pPr>
              <w:adjustRightInd w:val="0"/>
              <w:snapToGrid w:val="0"/>
              <w:jc w:val="center"/>
              <w:rPr>
                <w:color w:val="auto"/>
                <w:sz w:val="24"/>
                <w:highlight w:val="none"/>
              </w:rPr>
            </w:pPr>
            <w:r>
              <w:rPr>
                <w:color w:val="auto"/>
                <w:sz w:val="24"/>
                <w:highlight w:val="none"/>
              </w:rPr>
              <w:t>NMHC</w:t>
            </w:r>
          </w:p>
        </w:tc>
        <w:tc>
          <w:tcPr>
            <w:tcW w:w="2220" w:type="dxa"/>
            <w:vMerge w:val="restart"/>
            <w:vAlign w:val="center"/>
          </w:tcPr>
          <w:p>
            <w:pPr>
              <w:adjustRightInd w:val="0"/>
              <w:snapToGrid w:val="0"/>
              <w:jc w:val="center"/>
              <w:rPr>
                <w:color w:val="auto"/>
                <w:sz w:val="24"/>
                <w:highlight w:val="none"/>
              </w:rPr>
            </w:pPr>
            <w:r>
              <w:rPr>
                <w:color w:val="auto"/>
                <w:sz w:val="24"/>
                <w:highlight w:val="none"/>
              </w:rPr>
              <w:t>无组织排放</w:t>
            </w:r>
          </w:p>
        </w:tc>
        <w:tc>
          <w:tcPr>
            <w:tcW w:w="3060" w:type="dxa"/>
            <w:vAlign w:val="center"/>
          </w:tcPr>
          <w:p>
            <w:pPr>
              <w:adjustRightInd w:val="0"/>
              <w:snapToGrid w:val="0"/>
              <w:jc w:val="center"/>
              <w:rPr>
                <w:color w:val="auto"/>
                <w:sz w:val="24"/>
                <w:highlight w:val="none"/>
              </w:rPr>
            </w:pPr>
            <w:r>
              <w:rPr>
                <w:color w:val="auto"/>
                <w:sz w:val="24"/>
                <w:highlight w:val="none"/>
              </w:rPr>
              <w:t>《挥发性有机物无组织排放控制标准》（GB37822-2019）附录A特别排放标准要求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49" w:type="dxa"/>
            <w:vMerge w:val="continue"/>
            <w:vAlign w:val="center"/>
          </w:tcPr>
          <w:p>
            <w:pPr>
              <w:adjustRightInd w:val="0"/>
              <w:snapToGrid w:val="0"/>
              <w:jc w:val="center"/>
              <w:rPr>
                <w:color w:val="auto"/>
                <w:sz w:val="24"/>
                <w:highlight w:val="none"/>
              </w:rPr>
            </w:pPr>
          </w:p>
        </w:tc>
        <w:tc>
          <w:tcPr>
            <w:tcW w:w="1509" w:type="dxa"/>
            <w:vMerge w:val="restart"/>
            <w:vAlign w:val="center"/>
          </w:tcPr>
          <w:p>
            <w:pPr>
              <w:adjustRightInd w:val="0"/>
              <w:snapToGrid w:val="0"/>
              <w:jc w:val="center"/>
              <w:rPr>
                <w:color w:val="auto"/>
                <w:sz w:val="24"/>
                <w:highlight w:val="none"/>
              </w:rPr>
            </w:pPr>
            <w:r>
              <w:rPr>
                <w:color w:val="auto"/>
                <w:sz w:val="24"/>
                <w:highlight w:val="none"/>
              </w:rPr>
              <w:t>厂界处</w:t>
            </w:r>
          </w:p>
        </w:tc>
        <w:tc>
          <w:tcPr>
            <w:tcW w:w="1070" w:type="dxa"/>
            <w:vAlign w:val="center"/>
          </w:tcPr>
          <w:p>
            <w:pPr>
              <w:adjustRightInd w:val="0"/>
              <w:snapToGrid w:val="0"/>
              <w:jc w:val="center"/>
              <w:rPr>
                <w:color w:val="auto"/>
                <w:sz w:val="24"/>
                <w:highlight w:val="none"/>
              </w:rPr>
            </w:pPr>
            <w:r>
              <w:rPr>
                <w:color w:val="auto"/>
                <w:sz w:val="24"/>
                <w:highlight w:val="none"/>
              </w:rPr>
              <w:t>NMHC</w:t>
            </w:r>
          </w:p>
        </w:tc>
        <w:tc>
          <w:tcPr>
            <w:tcW w:w="2220" w:type="dxa"/>
            <w:vMerge w:val="continue"/>
            <w:vAlign w:val="center"/>
          </w:tcPr>
          <w:p>
            <w:pPr>
              <w:adjustRightInd w:val="0"/>
              <w:snapToGrid w:val="0"/>
              <w:jc w:val="center"/>
              <w:rPr>
                <w:color w:val="auto"/>
                <w:sz w:val="24"/>
                <w:highlight w:val="none"/>
              </w:rPr>
            </w:pPr>
          </w:p>
        </w:tc>
        <w:tc>
          <w:tcPr>
            <w:tcW w:w="3060" w:type="dxa"/>
            <w:vMerge w:val="restart"/>
            <w:vAlign w:val="center"/>
          </w:tcPr>
          <w:p>
            <w:pPr>
              <w:adjustRightInd w:val="0"/>
              <w:snapToGrid w:val="0"/>
              <w:jc w:val="center"/>
              <w:rPr>
                <w:color w:val="auto"/>
                <w:sz w:val="24"/>
                <w:highlight w:val="none"/>
              </w:rPr>
            </w:pPr>
            <w:r>
              <w:rPr>
                <w:color w:val="auto"/>
                <w:sz w:val="24"/>
                <w:highlight w:val="none"/>
              </w:rPr>
              <w:t>《合成树脂工业污染物排放标准》（GB31572-2015）中表9企业边界大气污染物浓度限值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9" w:type="dxa"/>
            <w:vMerge w:val="continue"/>
            <w:vAlign w:val="center"/>
          </w:tcPr>
          <w:p>
            <w:pPr>
              <w:adjustRightInd w:val="0"/>
              <w:snapToGrid w:val="0"/>
              <w:jc w:val="center"/>
              <w:rPr>
                <w:color w:val="auto"/>
                <w:sz w:val="24"/>
                <w:highlight w:val="none"/>
              </w:rPr>
            </w:pPr>
          </w:p>
        </w:tc>
        <w:tc>
          <w:tcPr>
            <w:tcW w:w="1509" w:type="dxa"/>
            <w:vMerge w:val="continue"/>
            <w:vAlign w:val="center"/>
          </w:tcPr>
          <w:p>
            <w:pPr>
              <w:adjustRightInd w:val="0"/>
              <w:snapToGrid w:val="0"/>
              <w:jc w:val="center"/>
              <w:rPr>
                <w:color w:val="auto"/>
                <w:sz w:val="24"/>
                <w:highlight w:val="none"/>
              </w:rPr>
            </w:pPr>
          </w:p>
        </w:tc>
        <w:tc>
          <w:tcPr>
            <w:tcW w:w="1070" w:type="dxa"/>
            <w:vAlign w:val="center"/>
          </w:tcPr>
          <w:p>
            <w:pPr>
              <w:adjustRightInd w:val="0"/>
              <w:snapToGrid w:val="0"/>
              <w:jc w:val="center"/>
              <w:rPr>
                <w:color w:val="auto"/>
                <w:sz w:val="24"/>
                <w:highlight w:val="none"/>
              </w:rPr>
            </w:pPr>
            <w:r>
              <w:rPr>
                <w:color w:val="auto"/>
                <w:sz w:val="24"/>
                <w:highlight w:val="none"/>
              </w:rPr>
              <w:t>颗粒物</w:t>
            </w:r>
          </w:p>
        </w:tc>
        <w:tc>
          <w:tcPr>
            <w:tcW w:w="2220" w:type="dxa"/>
            <w:vMerge w:val="continue"/>
            <w:vAlign w:val="center"/>
          </w:tcPr>
          <w:p>
            <w:pPr>
              <w:adjustRightInd w:val="0"/>
              <w:snapToGrid w:val="0"/>
              <w:jc w:val="center"/>
              <w:rPr>
                <w:color w:val="auto"/>
                <w:sz w:val="24"/>
                <w:highlight w:val="none"/>
              </w:rPr>
            </w:pPr>
          </w:p>
        </w:tc>
        <w:tc>
          <w:tcPr>
            <w:tcW w:w="3060" w:type="dxa"/>
            <w:vMerge w:val="continue"/>
            <w:vAlign w:val="center"/>
          </w:tcPr>
          <w:p>
            <w:pPr>
              <w:adjustRightInd w:val="0"/>
              <w:snapToGrid w:val="0"/>
              <w:jc w:val="center"/>
              <w:rPr>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49" w:type="dxa"/>
            <w:vMerge w:val="restart"/>
            <w:vAlign w:val="center"/>
          </w:tcPr>
          <w:p>
            <w:pPr>
              <w:adjustRightInd w:val="0"/>
              <w:snapToGrid w:val="0"/>
              <w:jc w:val="center"/>
              <w:rPr>
                <w:color w:val="auto"/>
                <w:sz w:val="24"/>
                <w:highlight w:val="none"/>
              </w:rPr>
            </w:pPr>
            <w:r>
              <w:rPr>
                <w:b/>
                <w:bCs/>
                <w:color w:val="auto"/>
                <w:sz w:val="24"/>
                <w:highlight w:val="none"/>
              </w:rPr>
              <w:t>地表水环境</w:t>
            </w:r>
          </w:p>
        </w:tc>
        <w:tc>
          <w:tcPr>
            <w:tcW w:w="1509" w:type="dxa"/>
            <w:vAlign w:val="center"/>
          </w:tcPr>
          <w:p>
            <w:pPr>
              <w:adjustRightInd w:val="0"/>
              <w:snapToGrid w:val="0"/>
              <w:jc w:val="center"/>
              <w:rPr>
                <w:color w:val="auto"/>
                <w:sz w:val="24"/>
                <w:highlight w:val="none"/>
              </w:rPr>
            </w:pPr>
            <w:r>
              <w:rPr>
                <w:color w:val="auto"/>
                <w:sz w:val="24"/>
                <w:highlight w:val="none"/>
              </w:rPr>
              <w:t>生活污水</w:t>
            </w:r>
          </w:p>
        </w:tc>
        <w:tc>
          <w:tcPr>
            <w:tcW w:w="1070" w:type="dxa"/>
            <w:vAlign w:val="center"/>
          </w:tcPr>
          <w:p>
            <w:pPr>
              <w:adjustRightInd w:val="0"/>
              <w:snapToGrid w:val="0"/>
              <w:jc w:val="center"/>
              <w:rPr>
                <w:color w:val="auto"/>
                <w:sz w:val="24"/>
                <w:highlight w:val="none"/>
              </w:rPr>
            </w:pPr>
            <w:r>
              <w:rPr>
                <w:color w:val="auto"/>
                <w:sz w:val="24"/>
                <w:highlight w:val="none"/>
              </w:rPr>
              <w:t>COD</w:t>
            </w:r>
          </w:p>
          <w:p>
            <w:pPr>
              <w:adjustRightInd w:val="0"/>
              <w:snapToGrid w:val="0"/>
              <w:jc w:val="center"/>
              <w:rPr>
                <w:color w:val="auto"/>
                <w:sz w:val="24"/>
                <w:highlight w:val="none"/>
                <w:vertAlign w:val="subscript"/>
              </w:rPr>
            </w:pPr>
            <w:r>
              <w:rPr>
                <w:color w:val="auto"/>
                <w:sz w:val="24"/>
                <w:highlight w:val="none"/>
              </w:rPr>
              <w:t>BOD</w:t>
            </w:r>
            <w:r>
              <w:rPr>
                <w:color w:val="auto"/>
                <w:sz w:val="24"/>
                <w:highlight w:val="none"/>
                <w:vertAlign w:val="subscript"/>
              </w:rPr>
              <w:t>5</w:t>
            </w:r>
          </w:p>
          <w:p>
            <w:pPr>
              <w:adjustRightInd w:val="0"/>
              <w:snapToGrid w:val="0"/>
              <w:jc w:val="center"/>
              <w:rPr>
                <w:color w:val="auto"/>
                <w:sz w:val="24"/>
                <w:highlight w:val="none"/>
              </w:rPr>
            </w:pPr>
            <w:r>
              <w:rPr>
                <w:color w:val="auto"/>
                <w:sz w:val="24"/>
                <w:highlight w:val="none"/>
              </w:rPr>
              <w:t>SS</w:t>
            </w:r>
          </w:p>
          <w:p>
            <w:pPr>
              <w:adjustRightInd w:val="0"/>
              <w:snapToGrid w:val="0"/>
              <w:jc w:val="center"/>
              <w:rPr>
                <w:color w:val="auto"/>
                <w:sz w:val="24"/>
                <w:highlight w:val="none"/>
              </w:rPr>
            </w:pPr>
            <w:r>
              <w:rPr>
                <w:color w:val="auto"/>
                <w:sz w:val="24"/>
                <w:highlight w:val="none"/>
              </w:rPr>
              <w:t>氨氮</w:t>
            </w:r>
          </w:p>
        </w:tc>
        <w:tc>
          <w:tcPr>
            <w:tcW w:w="2220" w:type="dxa"/>
            <w:vMerge w:val="restart"/>
            <w:vAlign w:val="center"/>
          </w:tcPr>
          <w:p>
            <w:pPr>
              <w:adjustRightInd w:val="0"/>
              <w:snapToGrid w:val="0"/>
              <w:jc w:val="center"/>
              <w:rPr>
                <w:color w:val="auto"/>
                <w:sz w:val="24"/>
                <w:highlight w:val="none"/>
              </w:rPr>
            </w:pPr>
            <w:r>
              <w:rPr>
                <w:color w:val="auto"/>
                <w:sz w:val="24"/>
                <w:highlight w:val="none"/>
              </w:rPr>
              <w:t>直接排入市政污水管网</w:t>
            </w:r>
          </w:p>
        </w:tc>
        <w:tc>
          <w:tcPr>
            <w:tcW w:w="3060" w:type="dxa"/>
            <w:vMerge w:val="restart"/>
            <w:vAlign w:val="center"/>
          </w:tcPr>
          <w:p>
            <w:pPr>
              <w:adjustRightInd w:val="0"/>
              <w:snapToGrid w:val="0"/>
              <w:jc w:val="center"/>
              <w:rPr>
                <w:color w:val="auto"/>
                <w:sz w:val="24"/>
                <w:highlight w:val="none"/>
              </w:rPr>
            </w:pPr>
            <w:r>
              <w:rPr>
                <w:color w:val="auto"/>
                <w:sz w:val="24"/>
                <w:highlight w:val="none"/>
              </w:rPr>
              <w:t>《污水综合排放标准》（GB8978-1996）表2中三级标准要求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49" w:type="dxa"/>
            <w:vMerge w:val="continue"/>
            <w:vAlign w:val="center"/>
          </w:tcPr>
          <w:p>
            <w:pPr>
              <w:adjustRightInd w:val="0"/>
              <w:snapToGrid w:val="0"/>
              <w:jc w:val="center"/>
              <w:rPr>
                <w:b/>
                <w:bCs/>
                <w:color w:val="auto"/>
                <w:sz w:val="24"/>
                <w:highlight w:val="none"/>
              </w:rPr>
            </w:pPr>
          </w:p>
        </w:tc>
        <w:tc>
          <w:tcPr>
            <w:tcW w:w="1509" w:type="dxa"/>
            <w:vAlign w:val="center"/>
          </w:tcPr>
          <w:p>
            <w:pPr>
              <w:adjustRightInd w:val="0"/>
              <w:snapToGrid w:val="0"/>
              <w:jc w:val="center"/>
              <w:rPr>
                <w:color w:val="auto"/>
                <w:sz w:val="24"/>
                <w:highlight w:val="none"/>
              </w:rPr>
            </w:pPr>
            <w:r>
              <w:rPr>
                <w:color w:val="auto"/>
                <w:sz w:val="24"/>
                <w:highlight w:val="none"/>
              </w:rPr>
              <w:t>循环冷却水排水</w:t>
            </w:r>
          </w:p>
        </w:tc>
        <w:tc>
          <w:tcPr>
            <w:tcW w:w="1070" w:type="dxa"/>
            <w:vAlign w:val="center"/>
          </w:tcPr>
          <w:p>
            <w:pPr>
              <w:adjustRightInd w:val="0"/>
              <w:snapToGrid w:val="0"/>
              <w:jc w:val="center"/>
              <w:rPr>
                <w:color w:val="auto"/>
                <w:sz w:val="24"/>
                <w:highlight w:val="none"/>
              </w:rPr>
            </w:pPr>
            <w:r>
              <w:rPr>
                <w:color w:val="auto"/>
                <w:sz w:val="24"/>
                <w:highlight w:val="none"/>
              </w:rPr>
              <w:t>COD</w:t>
            </w:r>
          </w:p>
          <w:p>
            <w:pPr>
              <w:adjustRightInd w:val="0"/>
              <w:snapToGrid w:val="0"/>
              <w:jc w:val="center"/>
              <w:rPr>
                <w:color w:val="auto"/>
                <w:sz w:val="24"/>
                <w:highlight w:val="none"/>
              </w:rPr>
            </w:pPr>
            <w:r>
              <w:rPr>
                <w:color w:val="auto"/>
                <w:sz w:val="24"/>
                <w:highlight w:val="none"/>
              </w:rPr>
              <w:t>SS</w:t>
            </w:r>
          </w:p>
        </w:tc>
        <w:tc>
          <w:tcPr>
            <w:tcW w:w="2220" w:type="dxa"/>
            <w:vMerge w:val="continue"/>
            <w:vAlign w:val="center"/>
          </w:tcPr>
          <w:p>
            <w:pPr>
              <w:adjustRightInd w:val="0"/>
              <w:snapToGrid w:val="0"/>
              <w:jc w:val="center"/>
              <w:rPr>
                <w:color w:val="auto"/>
                <w:sz w:val="24"/>
                <w:highlight w:val="none"/>
              </w:rPr>
            </w:pPr>
          </w:p>
        </w:tc>
        <w:tc>
          <w:tcPr>
            <w:tcW w:w="3060" w:type="dxa"/>
            <w:vMerge w:val="continue"/>
            <w:vAlign w:val="center"/>
          </w:tcPr>
          <w:p>
            <w:pPr>
              <w:adjustRightInd w:val="0"/>
              <w:snapToGrid w:val="0"/>
              <w:jc w:val="center"/>
              <w:rPr>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49" w:type="dxa"/>
            <w:vAlign w:val="center"/>
          </w:tcPr>
          <w:p>
            <w:pPr>
              <w:adjustRightInd w:val="0"/>
              <w:snapToGrid w:val="0"/>
              <w:jc w:val="center"/>
              <w:rPr>
                <w:color w:val="auto"/>
                <w:sz w:val="24"/>
                <w:highlight w:val="none"/>
              </w:rPr>
            </w:pPr>
            <w:r>
              <w:rPr>
                <w:b/>
                <w:bCs/>
                <w:color w:val="auto"/>
                <w:sz w:val="24"/>
                <w:highlight w:val="none"/>
              </w:rPr>
              <w:t>声环境</w:t>
            </w:r>
          </w:p>
        </w:tc>
        <w:tc>
          <w:tcPr>
            <w:tcW w:w="1509" w:type="dxa"/>
            <w:vAlign w:val="center"/>
          </w:tcPr>
          <w:p>
            <w:pPr>
              <w:adjustRightInd w:val="0"/>
              <w:snapToGrid w:val="0"/>
              <w:jc w:val="center"/>
              <w:rPr>
                <w:color w:val="auto"/>
                <w:sz w:val="24"/>
                <w:highlight w:val="none"/>
              </w:rPr>
            </w:pPr>
            <w:r>
              <w:rPr>
                <w:color w:val="auto"/>
                <w:sz w:val="24"/>
                <w:highlight w:val="none"/>
              </w:rPr>
              <w:t>生产设备</w:t>
            </w:r>
          </w:p>
        </w:tc>
        <w:tc>
          <w:tcPr>
            <w:tcW w:w="1070" w:type="dxa"/>
            <w:vAlign w:val="center"/>
          </w:tcPr>
          <w:p>
            <w:pPr>
              <w:adjustRightInd w:val="0"/>
              <w:snapToGrid w:val="0"/>
              <w:jc w:val="center"/>
              <w:rPr>
                <w:color w:val="auto"/>
                <w:sz w:val="24"/>
                <w:highlight w:val="none"/>
              </w:rPr>
            </w:pPr>
            <w:r>
              <w:rPr>
                <w:color w:val="auto"/>
                <w:sz w:val="24"/>
                <w:highlight w:val="none"/>
              </w:rPr>
              <w:t>Leq</w:t>
            </w:r>
          </w:p>
        </w:tc>
        <w:tc>
          <w:tcPr>
            <w:tcW w:w="2220" w:type="dxa"/>
            <w:vAlign w:val="center"/>
          </w:tcPr>
          <w:p>
            <w:pPr>
              <w:adjustRightInd w:val="0"/>
              <w:snapToGrid w:val="0"/>
              <w:jc w:val="center"/>
              <w:rPr>
                <w:color w:val="auto"/>
                <w:sz w:val="24"/>
                <w:highlight w:val="none"/>
              </w:rPr>
            </w:pPr>
            <w:r>
              <w:rPr>
                <w:color w:val="auto"/>
                <w:sz w:val="24"/>
                <w:highlight w:val="none"/>
              </w:rPr>
              <w:t>减振、隔声等措施</w:t>
            </w:r>
          </w:p>
        </w:tc>
        <w:tc>
          <w:tcPr>
            <w:tcW w:w="3060" w:type="dxa"/>
            <w:vAlign w:val="center"/>
          </w:tcPr>
          <w:p>
            <w:pPr>
              <w:adjustRightInd w:val="0"/>
              <w:snapToGrid w:val="0"/>
              <w:jc w:val="center"/>
              <w:rPr>
                <w:color w:val="auto"/>
                <w:sz w:val="24"/>
                <w:highlight w:val="none"/>
              </w:rPr>
            </w:pPr>
            <w:r>
              <w:rPr>
                <w:color w:val="auto"/>
                <w:sz w:val="24"/>
                <w:highlight w:val="none"/>
              </w:rPr>
              <w:t>《工业企业厂界环境噪声排放标准》（GB12348-2008）3类标准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49" w:type="dxa"/>
            <w:vAlign w:val="center"/>
          </w:tcPr>
          <w:p>
            <w:pPr>
              <w:adjustRightInd w:val="0"/>
              <w:snapToGrid w:val="0"/>
              <w:jc w:val="center"/>
              <w:rPr>
                <w:b/>
                <w:bCs/>
                <w:color w:val="auto"/>
                <w:sz w:val="24"/>
                <w:highlight w:val="none"/>
              </w:rPr>
            </w:pPr>
            <w:r>
              <w:rPr>
                <w:b/>
                <w:bCs/>
                <w:color w:val="auto"/>
                <w:sz w:val="24"/>
                <w:highlight w:val="none"/>
              </w:rPr>
              <w:t>电磁辐射</w:t>
            </w:r>
          </w:p>
        </w:tc>
        <w:tc>
          <w:tcPr>
            <w:tcW w:w="1509" w:type="dxa"/>
            <w:vAlign w:val="center"/>
          </w:tcPr>
          <w:p>
            <w:pPr>
              <w:adjustRightInd w:val="0"/>
              <w:snapToGrid w:val="0"/>
              <w:jc w:val="center"/>
              <w:rPr>
                <w:color w:val="auto"/>
                <w:sz w:val="24"/>
                <w:highlight w:val="none"/>
              </w:rPr>
            </w:pPr>
            <w:r>
              <w:rPr>
                <w:color w:val="auto"/>
                <w:sz w:val="24"/>
                <w:highlight w:val="none"/>
              </w:rPr>
              <w:t>无</w:t>
            </w:r>
          </w:p>
        </w:tc>
        <w:tc>
          <w:tcPr>
            <w:tcW w:w="1070" w:type="dxa"/>
            <w:vAlign w:val="center"/>
          </w:tcPr>
          <w:p>
            <w:pPr>
              <w:adjustRightInd w:val="0"/>
              <w:snapToGrid w:val="0"/>
              <w:jc w:val="center"/>
              <w:rPr>
                <w:color w:val="auto"/>
                <w:sz w:val="24"/>
                <w:highlight w:val="none"/>
              </w:rPr>
            </w:pPr>
            <w:r>
              <w:rPr>
                <w:color w:val="auto"/>
                <w:sz w:val="24"/>
                <w:highlight w:val="none"/>
              </w:rPr>
              <w:t>无</w:t>
            </w:r>
          </w:p>
        </w:tc>
        <w:tc>
          <w:tcPr>
            <w:tcW w:w="2220" w:type="dxa"/>
            <w:vAlign w:val="center"/>
          </w:tcPr>
          <w:p>
            <w:pPr>
              <w:adjustRightInd w:val="0"/>
              <w:snapToGrid w:val="0"/>
              <w:jc w:val="center"/>
              <w:rPr>
                <w:color w:val="auto"/>
                <w:sz w:val="24"/>
                <w:highlight w:val="none"/>
              </w:rPr>
            </w:pPr>
            <w:r>
              <w:rPr>
                <w:color w:val="auto"/>
                <w:sz w:val="24"/>
                <w:highlight w:val="none"/>
              </w:rPr>
              <w:t>——</w:t>
            </w:r>
          </w:p>
        </w:tc>
        <w:tc>
          <w:tcPr>
            <w:tcW w:w="3060" w:type="dxa"/>
            <w:vAlign w:val="center"/>
          </w:tcPr>
          <w:p>
            <w:pPr>
              <w:adjustRightInd w:val="0"/>
              <w:snapToGrid w:val="0"/>
              <w:jc w:val="center"/>
              <w:rPr>
                <w:color w:val="auto"/>
                <w:sz w:val="24"/>
                <w:highlight w:val="none"/>
              </w:rPr>
            </w:pPr>
            <w:r>
              <w:rPr>
                <w:color w:val="auto"/>
                <w:sz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49" w:type="dxa"/>
            <w:vAlign w:val="center"/>
          </w:tcPr>
          <w:p>
            <w:pPr>
              <w:adjustRightInd w:val="0"/>
              <w:snapToGrid w:val="0"/>
              <w:jc w:val="center"/>
              <w:rPr>
                <w:b/>
                <w:bCs/>
                <w:color w:val="auto"/>
                <w:sz w:val="24"/>
                <w:highlight w:val="none"/>
              </w:rPr>
            </w:pPr>
            <w:r>
              <w:rPr>
                <w:b/>
                <w:bCs/>
                <w:color w:val="auto"/>
                <w:sz w:val="24"/>
                <w:highlight w:val="none"/>
              </w:rPr>
              <w:t>固体废物</w:t>
            </w:r>
          </w:p>
        </w:tc>
        <w:tc>
          <w:tcPr>
            <w:tcW w:w="7859" w:type="dxa"/>
            <w:gridSpan w:val="4"/>
            <w:vAlign w:val="center"/>
          </w:tcPr>
          <w:p>
            <w:pPr>
              <w:adjustRightInd w:val="0"/>
              <w:snapToGrid w:val="0"/>
              <w:spacing w:line="360" w:lineRule="auto"/>
              <w:ind w:firstLine="480" w:firstLineChars="200"/>
              <w:jc w:val="left"/>
              <w:rPr>
                <w:color w:val="auto"/>
                <w:sz w:val="24"/>
                <w:highlight w:val="none"/>
              </w:rPr>
            </w:pPr>
            <w:r>
              <w:rPr>
                <w:color w:val="auto"/>
                <w:sz w:val="24"/>
                <w:highlight w:val="none"/>
              </w:rPr>
              <w:t>生活垃圾集中投放至垃圾桶内，定期交由环卫部门处置；</w:t>
            </w:r>
            <w:r>
              <w:rPr>
                <w:rFonts w:hint="eastAsia"/>
                <w:color w:val="auto"/>
                <w:sz w:val="24"/>
                <w:highlight w:val="none"/>
                <w:lang w:val="en-US" w:eastAsia="zh-CN"/>
              </w:rPr>
              <w:t>不合格产品回用于注塑；原料废包装袋</w:t>
            </w:r>
            <w:r>
              <w:rPr>
                <w:rFonts w:hint="eastAsia" w:ascii="Times New Roman" w:hAnsi="Times New Roman" w:cs="Times New Roman"/>
                <w:color w:val="auto"/>
                <w:sz w:val="24"/>
                <w:highlight w:val="none"/>
                <w:lang w:val="en-US" w:eastAsia="zh-CN"/>
              </w:rPr>
              <w:t>、集尘粉及废弃布袋集中收集后</w:t>
            </w:r>
            <w:r>
              <w:rPr>
                <w:rFonts w:ascii="Times New Roman" w:hAnsi="Times New Roman" w:cs="Times New Roman"/>
                <w:color w:val="auto"/>
                <w:sz w:val="24"/>
                <w:highlight w:val="none"/>
              </w:rPr>
              <w:t>定期交由环卫部门处置；</w:t>
            </w:r>
            <w:r>
              <w:rPr>
                <w:rFonts w:hint="eastAsia" w:ascii="Times New Roman" w:hAnsi="Times New Roman" w:cs="Times New Roman"/>
                <w:color w:val="auto"/>
                <w:sz w:val="24"/>
                <w:highlight w:val="none"/>
                <w:lang w:val="en-US" w:eastAsia="zh-CN"/>
              </w:rPr>
              <w:t>废弃含油、含有机溶剂的废抹布</w:t>
            </w:r>
            <w:r>
              <w:rPr>
                <w:rFonts w:ascii="Times New Roman" w:hAnsi="Times New Roman" w:cs="Times New Roman"/>
                <w:color w:val="auto"/>
                <w:sz w:val="24"/>
                <w:highlight w:val="none"/>
              </w:rPr>
              <w:t>、废</w:t>
            </w:r>
            <w:r>
              <w:rPr>
                <w:rFonts w:hint="eastAsia" w:ascii="Times New Roman" w:hAnsi="Times New Roman" w:cs="Times New Roman"/>
                <w:color w:val="auto"/>
                <w:sz w:val="24"/>
                <w:highlight w:val="none"/>
                <w:lang w:val="en-US" w:eastAsia="zh-CN"/>
              </w:rPr>
              <w:t>液压油</w:t>
            </w:r>
            <w:r>
              <w:rPr>
                <w:rFonts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废导热油</w:t>
            </w:r>
            <w:r>
              <w:rPr>
                <w:rFonts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废活性炭、</w:t>
            </w:r>
            <w:r>
              <w:rPr>
                <w:rFonts w:hint="eastAsia" w:cs="Times New Roman"/>
                <w:color w:val="auto"/>
                <w:sz w:val="24"/>
                <w:highlight w:val="none"/>
                <w:lang w:val="en-US" w:eastAsia="zh-CN"/>
              </w:rPr>
              <w:t>沾染原料的废包装品</w:t>
            </w:r>
            <w:r>
              <w:rPr>
                <w:rFonts w:ascii="Times New Roman" w:hAnsi="Times New Roman" w:cs="Times New Roman"/>
                <w:color w:val="auto"/>
                <w:sz w:val="24"/>
                <w:highlight w:val="none"/>
              </w:rPr>
              <w:t>，属于危险废物，定期委托有资质单位更换处置</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一般固废</w:t>
            </w:r>
            <w:r>
              <w:rPr>
                <w:rFonts w:ascii="Times New Roman" w:hAnsi="Times New Roman" w:cs="Times New Roman"/>
                <w:color w:val="auto"/>
                <w:sz w:val="24"/>
                <w:highlight w:val="none"/>
              </w:rPr>
              <w:t>暂存场所满足《一般工业固体废物贮存和填埋污染控制标准》（GB18599-2020）要求；</w:t>
            </w:r>
            <w:r>
              <w:rPr>
                <w:rFonts w:hint="eastAsia" w:ascii="Times New Roman" w:hAnsi="Times New Roman" w:cs="Times New Roman"/>
                <w:color w:val="auto"/>
                <w:sz w:val="24"/>
                <w:highlight w:val="none"/>
                <w:lang w:val="en-US" w:eastAsia="zh-CN"/>
              </w:rPr>
              <w:t>危险废物暂存间</w:t>
            </w:r>
            <w:r>
              <w:rPr>
                <w:rFonts w:ascii="Times New Roman" w:hAnsi="Times New Roman" w:cs="Times New Roman"/>
                <w:color w:val="auto"/>
                <w:sz w:val="24"/>
                <w:highlight w:val="none"/>
              </w:rPr>
              <w:t>需满足《危险废物贮存污染控制标准》（</w:t>
            </w:r>
            <w:r>
              <w:rPr>
                <w:rFonts w:hint="eastAsia" w:cs="Times New Roman"/>
                <w:color w:val="auto"/>
                <w:sz w:val="24"/>
                <w:highlight w:val="none"/>
                <w:lang w:eastAsia="zh-CN"/>
              </w:rPr>
              <w:t>GB18597-2023</w:t>
            </w:r>
            <w:r>
              <w:rPr>
                <w:rFonts w:ascii="Times New Roman" w:hAnsi="Times New Roman" w:cs="Times New Roman"/>
                <w:color w:val="auto"/>
                <w:sz w:val="24"/>
                <w:highlight w:val="none"/>
              </w:rPr>
              <w:t>）相关要求。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949" w:type="dxa"/>
            <w:vAlign w:val="center"/>
          </w:tcPr>
          <w:p>
            <w:pPr>
              <w:adjustRightInd w:val="0"/>
              <w:snapToGrid w:val="0"/>
              <w:jc w:val="center"/>
              <w:rPr>
                <w:b/>
                <w:bCs/>
                <w:color w:val="auto"/>
                <w:sz w:val="24"/>
                <w:highlight w:val="none"/>
              </w:rPr>
            </w:pPr>
            <w:r>
              <w:rPr>
                <w:b/>
                <w:bCs/>
                <w:color w:val="auto"/>
                <w:sz w:val="24"/>
                <w:highlight w:val="none"/>
              </w:rPr>
              <w:t>土壤及地下水污染防治措施</w:t>
            </w:r>
          </w:p>
        </w:tc>
        <w:tc>
          <w:tcPr>
            <w:tcW w:w="7859" w:type="dxa"/>
            <w:gridSpan w:val="4"/>
            <w:vAlign w:val="center"/>
          </w:tcPr>
          <w:p>
            <w:pPr>
              <w:adjustRightInd w:val="0"/>
              <w:snapToGrid w:val="0"/>
              <w:spacing w:line="360" w:lineRule="auto"/>
              <w:ind w:firstLine="480" w:firstLineChars="200"/>
              <w:jc w:val="left"/>
              <w:rPr>
                <w:color w:val="auto"/>
                <w:sz w:val="24"/>
                <w:highlight w:val="none"/>
              </w:rPr>
            </w:pPr>
            <w:r>
              <w:rPr>
                <w:color w:val="auto"/>
                <w:sz w:val="24"/>
                <w:highlight w:val="none"/>
              </w:rPr>
              <w:t>源头控制、分区控制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49" w:type="dxa"/>
            <w:vAlign w:val="center"/>
          </w:tcPr>
          <w:p>
            <w:pPr>
              <w:adjustRightInd w:val="0"/>
              <w:snapToGrid w:val="0"/>
              <w:jc w:val="center"/>
              <w:rPr>
                <w:b/>
                <w:bCs/>
                <w:color w:val="auto"/>
                <w:sz w:val="24"/>
                <w:highlight w:val="none"/>
              </w:rPr>
            </w:pPr>
            <w:r>
              <w:rPr>
                <w:b/>
                <w:bCs/>
                <w:color w:val="auto"/>
                <w:sz w:val="24"/>
                <w:highlight w:val="none"/>
              </w:rPr>
              <w:t>生态保护措施</w:t>
            </w:r>
          </w:p>
        </w:tc>
        <w:tc>
          <w:tcPr>
            <w:tcW w:w="7859" w:type="dxa"/>
            <w:gridSpan w:val="4"/>
            <w:vAlign w:val="center"/>
          </w:tcPr>
          <w:p>
            <w:pPr>
              <w:adjustRightInd w:val="0"/>
              <w:snapToGrid w:val="0"/>
              <w:spacing w:line="360" w:lineRule="auto"/>
              <w:ind w:firstLine="480" w:firstLineChars="200"/>
              <w:jc w:val="left"/>
              <w:rPr>
                <w:color w:val="auto"/>
                <w:sz w:val="24"/>
                <w:highlight w:val="none"/>
              </w:rPr>
            </w:pPr>
            <w:r>
              <w:rPr>
                <w:color w:val="auto"/>
                <w:sz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949" w:type="dxa"/>
            <w:vAlign w:val="center"/>
          </w:tcPr>
          <w:p>
            <w:pPr>
              <w:adjustRightInd w:val="0"/>
              <w:snapToGrid w:val="0"/>
              <w:jc w:val="center"/>
              <w:rPr>
                <w:b/>
                <w:bCs/>
                <w:color w:val="auto"/>
                <w:spacing w:val="-8"/>
                <w:sz w:val="24"/>
                <w:highlight w:val="none"/>
              </w:rPr>
            </w:pPr>
            <w:r>
              <w:rPr>
                <w:b/>
                <w:bCs/>
                <w:color w:val="auto"/>
                <w:spacing w:val="-8"/>
                <w:sz w:val="24"/>
                <w:highlight w:val="none"/>
              </w:rPr>
              <w:t>环境风险防范措施</w:t>
            </w:r>
          </w:p>
        </w:tc>
        <w:tc>
          <w:tcPr>
            <w:tcW w:w="7859" w:type="dxa"/>
            <w:gridSpan w:val="4"/>
            <w:vAlign w:val="center"/>
          </w:tcPr>
          <w:p>
            <w:pPr>
              <w:pStyle w:val="93"/>
              <w:spacing w:beforeLines="0" w:afterLines="0"/>
              <w:rPr>
                <w:color w:val="auto"/>
                <w:highlight w:val="none"/>
              </w:rPr>
            </w:pPr>
            <w:r>
              <w:rPr>
                <w:color w:val="auto"/>
                <w:highlight w:val="none"/>
              </w:rPr>
              <w:t>运输、装卸危险化学品，应当依照有关法律、法规、规章的规定和国家标准的要求并按照危险化学品的危险特性，采取必要的安全防护措施；危险废物暂存区设置托盘，油类等液态物料以桶为容器，泄露的化学品作为危废交由有资质的单位进行处置。暂存区地面、地沟以及围堰均作防腐、防渗、防漏处理，基础必须防渗，编制应急预案并定期演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949" w:type="dxa"/>
            <w:vAlign w:val="center"/>
          </w:tcPr>
          <w:p>
            <w:pPr>
              <w:adjustRightInd w:val="0"/>
              <w:snapToGrid w:val="0"/>
              <w:jc w:val="center"/>
              <w:rPr>
                <w:color w:val="auto"/>
                <w:spacing w:val="-8"/>
                <w:sz w:val="24"/>
                <w:highlight w:val="none"/>
              </w:rPr>
            </w:pPr>
            <w:r>
              <w:rPr>
                <w:b/>
                <w:bCs/>
                <w:color w:val="auto"/>
                <w:spacing w:val="-8"/>
                <w:sz w:val="24"/>
                <w:highlight w:val="none"/>
              </w:rPr>
              <w:t>其他环境管理要求</w:t>
            </w:r>
          </w:p>
        </w:tc>
        <w:tc>
          <w:tcPr>
            <w:tcW w:w="7859" w:type="dxa"/>
            <w:gridSpan w:val="4"/>
            <w:vAlign w:val="center"/>
          </w:tcPr>
          <w:p>
            <w:pPr>
              <w:adjustRightInd w:val="0"/>
              <w:snapToGrid w:val="0"/>
              <w:spacing w:line="360" w:lineRule="auto"/>
              <w:ind w:firstLine="482" w:firstLineChars="200"/>
              <w:rPr>
                <w:b/>
                <w:bCs/>
                <w:color w:val="auto"/>
                <w:sz w:val="24"/>
                <w:highlight w:val="none"/>
              </w:rPr>
            </w:pPr>
            <w:r>
              <w:rPr>
                <w:b/>
                <w:bCs/>
                <w:color w:val="auto"/>
                <w:sz w:val="24"/>
                <w:highlight w:val="none"/>
              </w:rPr>
              <w:t>1.环保投资</w:t>
            </w:r>
          </w:p>
          <w:p>
            <w:pPr>
              <w:adjustRightInd w:val="0"/>
              <w:snapToGrid w:val="0"/>
              <w:spacing w:line="360" w:lineRule="auto"/>
              <w:ind w:firstLine="480" w:firstLineChars="200"/>
              <w:rPr>
                <w:color w:val="auto"/>
                <w:sz w:val="24"/>
                <w:highlight w:val="none"/>
              </w:rPr>
            </w:pPr>
            <w:r>
              <w:rPr>
                <w:color w:val="auto"/>
                <w:sz w:val="24"/>
                <w:highlight w:val="none"/>
              </w:rPr>
              <w:t>本项目总投资</w:t>
            </w:r>
            <w:r>
              <w:rPr>
                <w:rFonts w:hint="eastAsia"/>
                <w:color w:val="auto"/>
                <w:sz w:val="24"/>
                <w:highlight w:val="none"/>
                <w:lang w:val="en-US" w:eastAsia="zh-CN"/>
              </w:rPr>
              <w:t>1200</w:t>
            </w:r>
            <w:r>
              <w:rPr>
                <w:color w:val="auto"/>
                <w:sz w:val="24"/>
                <w:highlight w:val="none"/>
              </w:rPr>
              <w:t>万元，其中环保投资55万元，占总投资</w:t>
            </w:r>
            <w:r>
              <w:rPr>
                <w:rFonts w:hint="eastAsia"/>
                <w:color w:val="auto"/>
                <w:sz w:val="24"/>
                <w:highlight w:val="none"/>
                <w:lang w:eastAsia="zh-CN"/>
              </w:rPr>
              <w:t>4.17%</w:t>
            </w:r>
            <w:r>
              <w:rPr>
                <w:color w:val="auto"/>
                <w:sz w:val="24"/>
                <w:highlight w:val="none"/>
              </w:rPr>
              <w:t>。环保措施具体见下表。</w:t>
            </w:r>
          </w:p>
          <w:p>
            <w:pPr>
              <w:pStyle w:val="72"/>
              <w:adjustRightInd w:val="0"/>
              <w:snapToGrid w:val="0"/>
              <w:spacing w:line="240" w:lineRule="auto"/>
              <w:ind w:firstLine="0"/>
              <w:jc w:val="center"/>
              <w:rPr>
                <w:rFonts w:cs="Times New Roman"/>
                <w:b/>
                <w:bCs/>
                <w:color w:val="auto"/>
                <w:sz w:val="24"/>
                <w:highlight w:val="none"/>
              </w:rPr>
            </w:pPr>
            <w:r>
              <w:rPr>
                <w:rFonts w:cs="Times New Roman"/>
                <w:b/>
                <w:bCs/>
                <w:color w:val="auto"/>
                <w:sz w:val="24"/>
                <w:highlight w:val="none"/>
              </w:rPr>
              <w:t>表5-1  环保投资估算一览表  单位：万元</w:t>
            </w:r>
          </w:p>
          <w:tbl>
            <w:tblPr>
              <w:tblStyle w:val="30"/>
              <w:tblW w:w="490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383"/>
              <w:gridCol w:w="3630"/>
              <w:gridCol w:w="170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43" w:type="pct"/>
                  <w:gridSpan w:val="2"/>
                  <w:tcBorders>
                    <w:tl2br w:val="nil"/>
                    <w:tr2bl w:val="nil"/>
                  </w:tcBorders>
                  <w:tcMar>
                    <w:left w:w="0" w:type="dxa"/>
                    <w:right w:w="0" w:type="dxa"/>
                  </w:tcMar>
                  <w:vAlign w:val="center"/>
                </w:tcPr>
                <w:p>
                  <w:pPr>
                    <w:snapToGrid w:val="0"/>
                    <w:jc w:val="center"/>
                    <w:rPr>
                      <w:bCs/>
                      <w:color w:val="auto"/>
                      <w:sz w:val="24"/>
                      <w:highlight w:val="none"/>
                    </w:rPr>
                  </w:pPr>
                  <w:r>
                    <w:rPr>
                      <w:bCs/>
                      <w:color w:val="auto"/>
                      <w:sz w:val="24"/>
                      <w:highlight w:val="none"/>
                      <w:lang w:val="zh-CN"/>
                    </w:rPr>
                    <w:t>类型</w:t>
                  </w:r>
                </w:p>
              </w:tc>
              <w:tc>
                <w:tcPr>
                  <w:tcW w:w="2420" w:type="pct"/>
                  <w:tcBorders>
                    <w:tl2br w:val="nil"/>
                    <w:tr2bl w:val="nil"/>
                  </w:tcBorders>
                  <w:vAlign w:val="center"/>
                </w:tcPr>
                <w:p>
                  <w:pPr>
                    <w:snapToGrid w:val="0"/>
                    <w:jc w:val="center"/>
                    <w:rPr>
                      <w:bCs/>
                      <w:color w:val="auto"/>
                      <w:sz w:val="24"/>
                      <w:highlight w:val="none"/>
                    </w:rPr>
                  </w:pPr>
                  <w:r>
                    <w:rPr>
                      <w:bCs/>
                      <w:color w:val="auto"/>
                      <w:sz w:val="24"/>
                      <w:highlight w:val="none"/>
                    </w:rPr>
                    <w:t>环保设施</w:t>
                  </w:r>
                </w:p>
              </w:tc>
              <w:tc>
                <w:tcPr>
                  <w:tcW w:w="1135" w:type="pct"/>
                  <w:tcBorders>
                    <w:tl2br w:val="nil"/>
                    <w:tr2bl w:val="nil"/>
                  </w:tcBorders>
                  <w:vAlign w:val="center"/>
                </w:tcPr>
                <w:p>
                  <w:pPr>
                    <w:snapToGrid w:val="0"/>
                    <w:jc w:val="center"/>
                    <w:rPr>
                      <w:bCs/>
                      <w:color w:val="auto"/>
                      <w:sz w:val="24"/>
                      <w:highlight w:val="none"/>
                      <w:lang w:val="zh-CN"/>
                    </w:rPr>
                  </w:pPr>
                  <w:r>
                    <w:rPr>
                      <w:bCs/>
                      <w:color w:val="auto"/>
                      <w:sz w:val="24"/>
                      <w:highlight w:val="none"/>
                    </w:rPr>
                    <w:t>环保投资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521" w:type="pct"/>
                  <w:vMerge w:val="restart"/>
                  <w:tcBorders>
                    <w:tl2br w:val="nil"/>
                    <w:tr2bl w:val="nil"/>
                  </w:tcBorders>
                  <w:tcMar>
                    <w:left w:w="0" w:type="dxa"/>
                    <w:right w:w="0" w:type="dxa"/>
                  </w:tcMar>
                  <w:vAlign w:val="center"/>
                </w:tcPr>
                <w:p>
                  <w:pPr>
                    <w:jc w:val="center"/>
                    <w:rPr>
                      <w:rFonts w:hint="default" w:ascii="Times New Roman" w:hAnsi="Times New Roman" w:eastAsia="宋体" w:cs="Times New Roman"/>
                      <w:i w:val="0"/>
                      <w:iCs w:val="0"/>
                      <w:color w:val="auto"/>
                      <w:szCs w:val="21"/>
                      <w:highlight w:val="none"/>
                      <w:shd w:val="clear" w:color="auto" w:fill="auto"/>
                      <w:lang w:val="en-US" w:eastAsia="zh-CN"/>
                    </w:rPr>
                  </w:pPr>
                  <w:r>
                    <w:rPr>
                      <w:rFonts w:hint="default" w:ascii="Times New Roman" w:hAnsi="Times New Roman" w:eastAsia="宋体" w:cs="Times New Roman"/>
                      <w:i w:val="0"/>
                      <w:iCs w:val="0"/>
                      <w:color w:val="auto"/>
                      <w:szCs w:val="21"/>
                      <w:highlight w:val="none"/>
                      <w:shd w:val="clear" w:color="auto" w:fill="auto"/>
                      <w:lang w:val="en-US" w:eastAsia="zh-CN"/>
                    </w:rPr>
                    <w:t>废气</w:t>
                  </w:r>
                </w:p>
              </w:tc>
              <w:tc>
                <w:tcPr>
                  <w:tcW w:w="922" w:type="pct"/>
                  <w:tcBorders>
                    <w:tl2br w:val="nil"/>
                    <w:tr2bl w:val="nil"/>
                  </w:tcBorders>
                  <w:vAlign w:val="center"/>
                </w:tcPr>
                <w:p>
                  <w:pPr>
                    <w:jc w:val="center"/>
                    <w:rPr>
                      <w:rFonts w:hint="default" w:ascii="Times New Roman" w:hAnsi="Times New Roman" w:eastAsia="宋体" w:cs="Times New Roman"/>
                      <w:i w:val="0"/>
                      <w:iCs w:val="0"/>
                      <w:color w:val="auto"/>
                      <w:szCs w:val="21"/>
                      <w:highlight w:val="none"/>
                      <w:shd w:val="clear" w:color="auto" w:fill="auto"/>
                      <w:lang w:val="en-US" w:eastAsia="zh-CN"/>
                    </w:rPr>
                  </w:pPr>
                  <w:r>
                    <w:rPr>
                      <w:rFonts w:hint="default" w:ascii="Times New Roman" w:hAnsi="Times New Roman" w:eastAsia="宋体" w:cs="Times New Roman"/>
                      <w:i w:val="0"/>
                      <w:iCs w:val="0"/>
                      <w:color w:val="auto"/>
                      <w:szCs w:val="21"/>
                      <w:highlight w:val="none"/>
                      <w:shd w:val="clear" w:color="auto" w:fill="auto"/>
                      <w:lang w:val="en-US" w:eastAsia="zh-CN"/>
                    </w:rPr>
                    <w:t>清洗、防锈、注塑废气</w:t>
                  </w:r>
                </w:p>
              </w:tc>
              <w:tc>
                <w:tcPr>
                  <w:tcW w:w="2420" w:type="pct"/>
                  <w:tcBorders>
                    <w:tl2br w:val="nil"/>
                    <w:tr2bl w:val="nil"/>
                  </w:tcBorders>
                  <w:vAlign w:val="center"/>
                </w:tcPr>
                <w:p>
                  <w:pPr>
                    <w:jc w:val="center"/>
                    <w:rPr>
                      <w:rFonts w:hint="default" w:ascii="Times New Roman" w:hAnsi="Times New Roman" w:eastAsia="宋体" w:cs="Times New Roman"/>
                      <w:i w:val="0"/>
                      <w:iCs w:val="0"/>
                      <w:color w:val="auto"/>
                      <w:szCs w:val="21"/>
                      <w:highlight w:val="none"/>
                      <w:shd w:val="clear" w:color="auto" w:fill="auto"/>
                      <w:lang w:val="en-US" w:eastAsia="zh-CN"/>
                    </w:rPr>
                  </w:pPr>
                  <w:r>
                    <w:rPr>
                      <w:rFonts w:hint="eastAsia" w:ascii="Times New Roman" w:hAnsi="Times New Roman" w:eastAsia="宋体" w:cs="Times New Roman"/>
                      <w:i w:val="0"/>
                      <w:iCs w:val="0"/>
                      <w:color w:val="auto"/>
                      <w:szCs w:val="21"/>
                      <w:highlight w:val="none"/>
                      <w:shd w:val="clear" w:color="auto" w:fill="auto"/>
                      <w:lang w:val="en-US" w:eastAsia="zh-CN"/>
                    </w:rPr>
                    <w:t>集气罩+活性炭吸附装置+15m高排气筒</w:t>
                  </w:r>
                </w:p>
              </w:tc>
              <w:tc>
                <w:tcPr>
                  <w:tcW w:w="1135" w:type="pct"/>
                  <w:tcBorders>
                    <w:tl2br w:val="nil"/>
                    <w:tr2bl w:val="nil"/>
                  </w:tcBorders>
                  <w:vAlign w:val="center"/>
                </w:tcPr>
                <w:p>
                  <w:pPr>
                    <w:jc w:val="center"/>
                    <w:rPr>
                      <w:rFonts w:hint="default" w:ascii="Times New Roman" w:hAnsi="Times New Roman" w:eastAsia="宋体" w:cs="Times New Roman"/>
                      <w:i w:val="0"/>
                      <w:iCs w:val="0"/>
                      <w:color w:val="auto"/>
                      <w:szCs w:val="21"/>
                      <w:highlight w:val="none"/>
                      <w:shd w:val="clear" w:color="auto" w:fill="auto"/>
                      <w:lang w:val="en-US" w:eastAsia="zh-CN"/>
                    </w:rPr>
                  </w:pPr>
                  <w:r>
                    <w:rPr>
                      <w:rFonts w:hint="default" w:ascii="Times New Roman" w:hAnsi="Times New Roman" w:eastAsia="宋体" w:cs="Times New Roman"/>
                      <w:i w:val="0"/>
                      <w:iCs w:val="0"/>
                      <w:color w:val="auto"/>
                      <w:szCs w:val="21"/>
                      <w:highlight w:val="none"/>
                      <w:shd w:val="clear" w:color="auto" w:fill="auto"/>
                      <w:lang w:val="en-US" w:eastAsia="zh-CN"/>
                    </w:rPr>
                    <w:t>1</w:t>
                  </w:r>
                  <w:r>
                    <w:rPr>
                      <w:rFonts w:hint="eastAsia" w:ascii="Times New Roman" w:hAnsi="Times New Roman" w:cs="Times New Roman"/>
                      <w:i w:val="0"/>
                      <w:iCs w:val="0"/>
                      <w:color w:val="auto"/>
                      <w:szCs w:val="21"/>
                      <w:highlight w:val="none"/>
                      <w:shd w:val="clear" w:color="auto" w:fill="auto"/>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521" w:type="pct"/>
                  <w:vMerge w:val="continue"/>
                  <w:tcBorders>
                    <w:tl2br w:val="nil"/>
                    <w:tr2bl w:val="nil"/>
                  </w:tcBorders>
                  <w:tcMar>
                    <w:left w:w="0" w:type="dxa"/>
                    <w:right w:w="0" w:type="dxa"/>
                  </w:tcMar>
                  <w:vAlign w:val="center"/>
                </w:tcPr>
                <w:p>
                  <w:pPr>
                    <w:jc w:val="center"/>
                    <w:rPr>
                      <w:rFonts w:hint="default" w:ascii="Times New Roman" w:hAnsi="Times New Roman" w:eastAsia="宋体" w:cs="Times New Roman"/>
                      <w:i w:val="0"/>
                      <w:iCs w:val="0"/>
                      <w:color w:val="auto"/>
                      <w:szCs w:val="21"/>
                      <w:highlight w:val="none"/>
                      <w:shd w:val="clear" w:color="auto" w:fill="auto"/>
                      <w:lang w:val="en-US" w:eastAsia="zh-CN"/>
                    </w:rPr>
                  </w:pPr>
                </w:p>
              </w:tc>
              <w:tc>
                <w:tcPr>
                  <w:tcW w:w="922" w:type="pct"/>
                  <w:tcBorders>
                    <w:tl2br w:val="nil"/>
                    <w:tr2bl w:val="nil"/>
                  </w:tcBorders>
                  <w:vAlign w:val="center"/>
                </w:tcPr>
                <w:p>
                  <w:pPr>
                    <w:jc w:val="center"/>
                    <w:rPr>
                      <w:rFonts w:hint="default" w:ascii="Times New Roman" w:hAnsi="Times New Roman" w:eastAsia="宋体" w:cs="Times New Roman"/>
                      <w:i w:val="0"/>
                      <w:iCs w:val="0"/>
                      <w:color w:val="auto"/>
                      <w:szCs w:val="21"/>
                      <w:highlight w:val="none"/>
                      <w:shd w:val="clear" w:color="auto" w:fill="auto"/>
                      <w:lang w:val="en-US" w:eastAsia="zh-CN"/>
                    </w:rPr>
                  </w:pPr>
                  <w:r>
                    <w:rPr>
                      <w:rFonts w:hint="eastAsia" w:ascii="Times New Roman" w:hAnsi="Times New Roman" w:eastAsia="宋体" w:cs="Times New Roman"/>
                      <w:i w:val="0"/>
                      <w:iCs w:val="0"/>
                      <w:color w:val="auto"/>
                      <w:szCs w:val="21"/>
                      <w:highlight w:val="none"/>
                      <w:shd w:val="clear" w:color="auto" w:fill="auto"/>
                      <w:lang w:val="en-US" w:eastAsia="zh-CN"/>
                    </w:rPr>
                    <w:t>破碎</w:t>
                  </w:r>
                  <w:r>
                    <w:rPr>
                      <w:rFonts w:hint="default" w:ascii="Times New Roman" w:hAnsi="Times New Roman" w:eastAsia="宋体" w:cs="Times New Roman"/>
                      <w:i w:val="0"/>
                      <w:iCs w:val="0"/>
                      <w:color w:val="auto"/>
                      <w:szCs w:val="21"/>
                      <w:highlight w:val="none"/>
                      <w:shd w:val="clear" w:color="auto" w:fill="auto"/>
                      <w:lang w:val="en-US" w:eastAsia="zh-CN"/>
                    </w:rPr>
                    <w:t>废气</w:t>
                  </w:r>
                </w:p>
              </w:tc>
              <w:tc>
                <w:tcPr>
                  <w:tcW w:w="2420" w:type="pct"/>
                  <w:tcBorders>
                    <w:tl2br w:val="nil"/>
                    <w:tr2bl w:val="nil"/>
                  </w:tcBorders>
                  <w:vAlign w:val="center"/>
                </w:tcPr>
                <w:p>
                  <w:pPr>
                    <w:jc w:val="center"/>
                    <w:rPr>
                      <w:rFonts w:hint="default" w:ascii="Times New Roman" w:hAnsi="Times New Roman" w:eastAsia="宋体" w:cs="Times New Roman"/>
                      <w:i w:val="0"/>
                      <w:iCs w:val="0"/>
                      <w:color w:val="auto"/>
                      <w:szCs w:val="21"/>
                      <w:highlight w:val="none"/>
                      <w:shd w:val="clear" w:color="auto" w:fill="auto"/>
                      <w:lang w:val="en-US" w:eastAsia="zh-CN"/>
                    </w:rPr>
                  </w:pPr>
                  <w:r>
                    <w:rPr>
                      <w:rFonts w:hint="eastAsia" w:ascii="Times New Roman" w:hAnsi="Times New Roman" w:eastAsia="宋体" w:cs="Times New Roman"/>
                      <w:i w:val="0"/>
                      <w:iCs w:val="0"/>
                      <w:color w:val="auto"/>
                      <w:szCs w:val="21"/>
                      <w:highlight w:val="none"/>
                      <w:shd w:val="clear" w:color="auto" w:fill="auto"/>
                      <w:lang w:val="en-US" w:eastAsia="zh-CN"/>
                    </w:rPr>
                    <w:t>袋式除尘器+15m高排气筒</w:t>
                  </w:r>
                </w:p>
              </w:tc>
              <w:tc>
                <w:tcPr>
                  <w:tcW w:w="1135" w:type="pct"/>
                  <w:tcBorders>
                    <w:tl2br w:val="nil"/>
                    <w:tr2bl w:val="nil"/>
                  </w:tcBorders>
                  <w:vAlign w:val="center"/>
                </w:tcPr>
                <w:p>
                  <w:pPr>
                    <w:jc w:val="center"/>
                    <w:rPr>
                      <w:rFonts w:hint="default" w:ascii="Times New Roman" w:hAnsi="Times New Roman" w:eastAsia="宋体" w:cs="Times New Roman"/>
                      <w:i w:val="0"/>
                      <w:iCs w:val="0"/>
                      <w:color w:val="auto"/>
                      <w:szCs w:val="21"/>
                      <w:highlight w:val="none"/>
                      <w:shd w:val="clear" w:color="auto" w:fill="auto"/>
                      <w:lang w:val="en-US" w:eastAsia="zh-CN"/>
                    </w:rPr>
                  </w:pPr>
                  <w:r>
                    <w:rPr>
                      <w:rFonts w:hint="eastAsia" w:ascii="Times New Roman" w:hAnsi="Times New Roman" w:cs="Times New Roman"/>
                      <w:i w:val="0"/>
                      <w:iCs w:val="0"/>
                      <w:color w:val="auto"/>
                      <w:szCs w:val="21"/>
                      <w:highlight w:val="none"/>
                      <w:shd w:val="clear" w:color="auto" w:fill="auto"/>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21" w:type="pct"/>
                  <w:vMerge w:val="continue"/>
                  <w:tcBorders>
                    <w:tl2br w:val="nil"/>
                    <w:tr2bl w:val="nil"/>
                  </w:tcBorders>
                  <w:tcMar>
                    <w:left w:w="0" w:type="dxa"/>
                    <w:right w:w="0" w:type="dxa"/>
                  </w:tcMar>
                  <w:vAlign w:val="center"/>
                </w:tcPr>
                <w:p>
                  <w:pPr>
                    <w:jc w:val="center"/>
                    <w:rPr>
                      <w:rFonts w:hint="default" w:ascii="Times New Roman" w:hAnsi="Times New Roman" w:eastAsia="宋体" w:cs="Times New Roman"/>
                      <w:i w:val="0"/>
                      <w:iCs w:val="0"/>
                      <w:color w:val="auto"/>
                      <w:szCs w:val="21"/>
                      <w:highlight w:val="none"/>
                      <w:shd w:val="clear" w:color="auto" w:fill="auto"/>
                      <w:lang w:val="en-US" w:eastAsia="zh-CN"/>
                    </w:rPr>
                  </w:pPr>
                </w:p>
              </w:tc>
              <w:tc>
                <w:tcPr>
                  <w:tcW w:w="922" w:type="pct"/>
                  <w:tcBorders>
                    <w:tl2br w:val="nil"/>
                    <w:tr2bl w:val="nil"/>
                  </w:tcBorders>
                  <w:vAlign w:val="center"/>
                </w:tcPr>
                <w:p>
                  <w:pPr>
                    <w:jc w:val="center"/>
                    <w:rPr>
                      <w:rFonts w:hint="default" w:ascii="Times New Roman" w:hAnsi="Times New Roman" w:eastAsia="宋体" w:cs="Times New Roman"/>
                      <w:i w:val="0"/>
                      <w:iCs w:val="0"/>
                      <w:color w:val="auto"/>
                      <w:szCs w:val="21"/>
                      <w:highlight w:val="none"/>
                      <w:shd w:val="clear" w:color="auto" w:fill="auto"/>
                      <w:lang w:val="en-US" w:eastAsia="zh-CN"/>
                    </w:rPr>
                  </w:pPr>
                  <w:r>
                    <w:rPr>
                      <w:rFonts w:hint="eastAsia" w:cs="Times New Roman"/>
                      <w:i w:val="0"/>
                      <w:iCs w:val="0"/>
                      <w:color w:val="auto"/>
                      <w:szCs w:val="21"/>
                      <w:highlight w:val="none"/>
                      <w:shd w:val="clear" w:color="auto" w:fill="auto"/>
                      <w:lang w:val="en-US" w:eastAsia="zh-CN"/>
                    </w:rPr>
                    <w:t>密炼废气</w:t>
                  </w:r>
                </w:p>
              </w:tc>
              <w:tc>
                <w:tcPr>
                  <w:tcW w:w="2420" w:type="pct"/>
                  <w:tcBorders>
                    <w:tl2br w:val="nil"/>
                    <w:tr2bl w:val="nil"/>
                  </w:tcBorders>
                  <w:vAlign w:val="center"/>
                </w:tcPr>
                <w:p>
                  <w:pPr>
                    <w:jc w:val="center"/>
                    <w:rPr>
                      <w:rFonts w:hint="default" w:ascii="Times New Roman" w:hAnsi="Times New Roman" w:eastAsia="宋体" w:cs="Times New Roman"/>
                      <w:i w:val="0"/>
                      <w:iCs w:val="0"/>
                      <w:color w:val="auto"/>
                      <w:szCs w:val="21"/>
                      <w:highlight w:val="none"/>
                      <w:shd w:val="clear" w:color="auto" w:fill="auto"/>
                      <w:lang w:val="en-US" w:eastAsia="zh-CN"/>
                    </w:rPr>
                  </w:pPr>
                  <w:r>
                    <w:rPr>
                      <w:rFonts w:hint="eastAsia" w:ascii="Times New Roman" w:hAnsi="Times New Roman" w:eastAsia="宋体" w:cs="Times New Roman"/>
                      <w:i w:val="0"/>
                      <w:iCs w:val="0"/>
                      <w:color w:val="auto"/>
                      <w:szCs w:val="21"/>
                      <w:highlight w:val="none"/>
                      <w:shd w:val="clear" w:color="auto" w:fill="auto"/>
                      <w:lang w:val="en-US" w:eastAsia="zh-CN"/>
                    </w:rPr>
                    <w:t>集气罩+袋式除尘器+活性炭吸附装置+15m高排气筒</w:t>
                  </w:r>
                </w:p>
              </w:tc>
              <w:tc>
                <w:tcPr>
                  <w:tcW w:w="1135" w:type="pct"/>
                  <w:tcBorders>
                    <w:tl2br w:val="nil"/>
                    <w:tr2bl w:val="nil"/>
                  </w:tcBorders>
                  <w:vAlign w:val="center"/>
                </w:tcPr>
                <w:p>
                  <w:pPr>
                    <w:jc w:val="center"/>
                    <w:rPr>
                      <w:rFonts w:hint="default" w:ascii="Times New Roman" w:hAnsi="Times New Roman" w:eastAsia="宋体" w:cs="Times New Roman"/>
                      <w:i w:val="0"/>
                      <w:iCs w:val="0"/>
                      <w:color w:val="auto"/>
                      <w:szCs w:val="21"/>
                      <w:highlight w:val="none"/>
                      <w:shd w:val="clear" w:color="auto" w:fill="auto"/>
                      <w:lang w:val="en-US" w:eastAsia="zh-CN"/>
                    </w:rPr>
                  </w:pPr>
                  <w:r>
                    <w:rPr>
                      <w:rFonts w:hint="eastAsia" w:cs="Times New Roman"/>
                      <w:i w:val="0"/>
                      <w:iCs w:val="0"/>
                      <w:color w:val="auto"/>
                      <w:szCs w:val="21"/>
                      <w:highlight w:val="none"/>
                      <w:shd w:val="clear" w:color="auto" w:fill="auto"/>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443" w:type="pct"/>
                  <w:gridSpan w:val="2"/>
                  <w:tcBorders>
                    <w:tl2br w:val="nil"/>
                    <w:tr2bl w:val="nil"/>
                  </w:tcBorders>
                  <w:tcMar>
                    <w:left w:w="0" w:type="dxa"/>
                    <w:right w:w="0" w:type="dxa"/>
                  </w:tcMar>
                  <w:vAlign w:val="center"/>
                </w:tcPr>
                <w:p>
                  <w:pPr>
                    <w:jc w:val="center"/>
                    <w:rPr>
                      <w:rFonts w:hint="default" w:ascii="Times New Roman" w:hAnsi="Times New Roman" w:eastAsia="宋体" w:cs="Times New Roman"/>
                      <w:i w:val="0"/>
                      <w:iCs w:val="0"/>
                      <w:color w:val="auto"/>
                      <w:szCs w:val="21"/>
                      <w:highlight w:val="none"/>
                      <w:shd w:val="clear" w:color="auto" w:fill="auto"/>
                      <w:lang w:val="en-US" w:eastAsia="zh-CN"/>
                    </w:rPr>
                  </w:pPr>
                  <w:r>
                    <w:rPr>
                      <w:rFonts w:hint="default" w:ascii="Times New Roman" w:hAnsi="Times New Roman" w:eastAsia="宋体" w:cs="Times New Roman"/>
                      <w:i w:val="0"/>
                      <w:iCs w:val="0"/>
                      <w:color w:val="auto"/>
                      <w:szCs w:val="21"/>
                      <w:highlight w:val="none"/>
                      <w:shd w:val="clear" w:color="auto" w:fill="auto"/>
                      <w:lang w:val="en-US" w:eastAsia="zh-CN"/>
                    </w:rPr>
                    <w:t>噪声</w:t>
                  </w:r>
                </w:p>
              </w:tc>
              <w:tc>
                <w:tcPr>
                  <w:tcW w:w="2420" w:type="pct"/>
                  <w:tcBorders>
                    <w:tl2br w:val="nil"/>
                    <w:tr2bl w:val="nil"/>
                  </w:tcBorders>
                  <w:vAlign w:val="center"/>
                </w:tcPr>
                <w:p>
                  <w:pPr>
                    <w:jc w:val="center"/>
                    <w:rPr>
                      <w:rFonts w:hint="default" w:ascii="Times New Roman" w:hAnsi="Times New Roman" w:eastAsia="宋体" w:cs="Times New Roman"/>
                      <w:i w:val="0"/>
                      <w:iCs w:val="0"/>
                      <w:color w:val="auto"/>
                      <w:szCs w:val="21"/>
                      <w:highlight w:val="none"/>
                      <w:shd w:val="clear" w:color="auto" w:fill="auto"/>
                      <w:lang w:val="en-US" w:eastAsia="zh-CN"/>
                    </w:rPr>
                  </w:pPr>
                  <w:r>
                    <w:rPr>
                      <w:rFonts w:hint="default" w:ascii="Times New Roman" w:hAnsi="Times New Roman" w:eastAsia="宋体" w:cs="Times New Roman"/>
                      <w:i w:val="0"/>
                      <w:iCs w:val="0"/>
                      <w:color w:val="auto"/>
                      <w:szCs w:val="21"/>
                      <w:highlight w:val="none"/>
                      <w:shd w:val="clear" w:color="auto" w:fill="auto"/>
                      <w:lang w:val="en-US" w:eastAsia="zh-CN"/>
                    </w:rPr>
                    <w:t>各设备设置基础减震措施</w:t>
                  </w:r>
                </w:p>
              </w:tc>
              <w:tc>
                <w:tcPr>
                  <w:tcW w:w="1135" w:type="pct"/>
                  <w:tcBorders>
                    <w:tl2br w:val="nil"/>
                    <w:tr2bl w:val="nil"/>
                  </w:tcBorders>
                  <w:vAlign w:val="center"/>
                </w:tcPr>
                <w:p>
                  <w:pPr>
                    <w:jc w:val="center"/>
                    <w:rPr>
                      <w:rFonts w:hint="default" w:ascii="Times New Roman" w:hAnsi="Times New Roman" w:eastAsia="宋体" w:cs="Times New Roman"/>
                      <w:i w:val="0"/>
                      <w:iCs w:val="0"/>
                      <w:color w:val="auto"/>
                      <w:szCs w:val="21"/>
                      <w:highlight w:val="none"/>
                      <w:shd w:val="clear" w:color="auto" w:fill="auto"/>
                      <w:lang w:val="en-US" w:eastAsia="zh-CN"/>
                    </w:rPr>
                  </w:pPr>
                  <w:r>
                    <w:rPr>
                      <w:rFonts w:hint="eastAsia" w:ascii="Times New Roman" w:hAnsi="Times New Roman" w:cs="Times New Roman"/>
                      <w:i w:val="0"/>
                      <w:iCs w:val="0"/>
                      <w:color w:val="auto"/>
                      <w:szCs w:val="21"/>
                      <w:highlight w:val="none"/>
                      <w:shd w:val="clear" w:color="auto" w:fill="auto"/>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443" w:type="pct"/>
                  <w:gridSpan w:val="2"/>
                  <w:tcBorders>
                    <w:tl2br w:val="nil"/>
                    <w:tr2bl w:val="nil"/>
                  </w:tcBorders>
                  <w:tcMar>
                    <w:left w:w="0" w:type="dxa"/>
                    <w:right w:w="0" w:type="dxa"/>
                  </w:tcMar>
                  <w:vAlign w:val="center"/>
                </w:tcPr>
                <w:p>
                  <w:pPr>
                    <w:jc w:val="center"/>
                    <w:rPr>
                      <w:rFonts w:hint="default" w:ascii="Times New Roman" w:hAnsi="Times New Roman" w:eastAsia="宋体" w:cs="Times New Roman"/>
                      <w:i w:val="0"/>
                      <w:iCs w:val="0"/>
                      <w:color w:val="auto"/>
                      <w:szCs w:val="21"/>
                      <w:highlight w:val="none"/>
                      <w:shd w:val="clear" w:color="auto" w:fill="auto"/>
                      <w:lang w:val="en-US" w:eastAsia="zh-CN"/>
                    </w:rPr>
                  </w:pPr>
                  <w:r>
                    <w:rPr>
                      <w:rFonts w:hint="default" w:ascii="Times New Roman" w:hAnsi="Times New Roman" w:eastAsia="宋体" w:cs="Times New Roman"/>
                      <w:i w:val="0"/>
                      <w:iCs w:val="0"/>
                      <w:color w:val="auto"/>
                      <w:szCs w:val="21"/>
                      <w:highlight w:val="none"/>
                      <w:shd w:val="clear" w:color="auto" w:fill="auto"/>
                      <w:lang w:val="en-US" w:eastAsia="zh-CN"/>
                    </w:rPr>
                    <w:t>固废</w:t>
                  </w:r>
                </w:p>
              </w:tc>
              <w:tc>
                <w:tcPr>
                  <w:tcW w:w="2420" w:type="pct"/>
                  <w:tcBorders>
                    <w:tl2br w:val="nil"/>
                    <w:tr2bl w:val="nil"/>
                  </w:tcBorders>
                  <w:vAlign w:val="center"/>
                </w:tcPr>
                <w:p>
                  <w:pPr>
                    <w:jc w:val="center"/>
                    <w:rPr>
                      <w:rFonts w:hint="default" w:ascii="Times New Roman" w:hAnsi="Times New Roman" w:eastAsia="宋体" w:cs="Times New Roman"/>
                      <w:i w:val="0"/>
                      <w:iCs w:val="0"/>
                      <w:color w:val="auto"/>
                      <w:szCs w:val="21"/>
                      <w:highlight w:val="none"/>
                      <w:shd w:val="clear" w:color="auto" w:fill="auto"/>
                      <w:lang w:val="en-US" w:eastAsia="zh-CN"/>
                    </w:rPr>
                  </w:pPr>
                  <w:r>
                    <w:rPr>
                      <w:rFonts w:hint="default" w:ascii="Times New Roman" w:hAnsi="Times New Roman" w:eastAsia="宋体" w:cs="Times New Roman"/>
                      <w:i w:val="0"/>
                      <w:iCs w:val="0"/>
                      <w:color w:val="auto"/>
                      <w:szCs w:val="21"/>
                      <w:highlight w:val="none"/>
                      <w:shd w:val="clear" w:color="auto" w:fill="auto"/>
                      <w:lang w:val="en-US" w:eastAsia="zh-CN"/>
                    </w:rPr>
                    <w:t>一般固废间、危废暂存间</w:t>
                  </w:r>
                </w:p>
              </w:tc>
              <w:tc>
                <w:tcPr>
                  <w:tcW w:w="1135" w:type="pct"/>
                  <w:tcBorders>
                    <w:tl2br w:val="nil"/>
                    <w:tr2bl w:val="nil"/>
                  </w:tcBorders>
                  <w:vAlign w:val="center"/>
                </w:tcPr>
                <w:p>
                  <w:pPr>
                    <w:jc w:val="center"/>
                    <w:rPr>
                      <w:rFonts w:hint="default" w:ascii="Times New Roman" w:hAnsi="Times New Roman" w:eastAsia="宋体" w:cs="Times New Roman"/>
                      <w:i w:val="0"/>
                      <w:iCs w:val="0"/>
                      <w:color w:val="auto"/>
                      <w:szCs w:val="21"/>
                      <w:highlight w:val="none"/>
                      <w:shd w:val="clear" w:color="auto" w:fill="auto"/>
                      <w:lang w:val="en-US" w:eastAsia="zh-CN"/>
                    </w:rPr>
                  </w:pPr>
                  <w:r>
                    <w:rPr>
                      <w:rFonts w:hint="eastAsia" w:cs="Times New Roman"/>
                      <w:i w:val="0"/>
                      <w:iCs w:val="0"/>
                      <w:color w:val="auto"/>
                      <w:szCs w:val="21"/>
                      <w:highlight w:val="none"/>
                      <w:shd w:val="clear" w:color="auto" w:fill="auto"/>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443" w:type="pct"/>
                  <w:gridSpan w:val="2"/>
                  <w:tcBorders>
                    <w:tl2br w:val="nil"/>
                    <w:tr2bl w:val="nil"/>
                  </w:tcBorders>
                  <w:tcMar>
                    <w:left w:w="0" w:type="dxa"/>
                    <w:right w:w="0" w:type="dxa"/>
                  </w:tcMar>
                  <w:vAlign w:val="center"/>
                </w:tcPr>
                <w:p>
                  <w:pPr>
                    <w:jc w:val="center"/>
                    <w:rPr>
                      <w:rFonts w:hint="default" w:ascii="Times New Roman" w:hAnsi="Times New Roman" w:eastAsia="宋体" w:cs="Times New Roman"/>
                      <w:i w:val="0"/>
                      <w:iCs w:val="0"/>
                      <w:color w:val="auto"/>
                      <w:szCs w:val="21"/>
                      <w:highlight w:val="none"/>
                      <w:shd w:val="clear" w:color="auto" w:fill="auto"/>
                      <w:lang w:val="en-US" w:eastAsia="zh-CN"/>
                    </w:rPr>
                  </w:pPr>
                  <w:r>
                    <w:rPr>
                      <w:rFonts w:hint="default" w:ascii="Times New Roman" w:hAnsi="Times New Roman" w:eastAsia="宋体" w:cs="Times New Roman"/>
                      <w:i w:val="0"/>
                      <w:iCs w:val="0"/>
                      <w:color w:val="auto"/>
                      <w:szCs w:val="21"/>
                      <w:highlight w:val="none"/>
                      <w:shd w:val="clear" w:color="auto" w:fill="auto"/>
                      <w:lang w:val="en-US" w:eastAsia="zh-CN"/>
                    </w:rPr>
                    <w:t>防渗措施</w:t>
                  </w:r>
                </w:p>
              </w:tc>
              <w:tc>
                <w:tcPr>
                  <w:tcW w:w="2420" w:type="pct"/>
                  <w:tcBorders>
                    <w:tl2br w:val="nil"/>
                    <w:tr2bl w:val="nil"/>
                  </w:tcBorders>
                  <w:vAlign w:val="center"/>
                </w:tcPr>
                <w:p>
                  <w:pPr>
                    <w:jc w:val="center"/>
                    <w:rPr>
                      <w:rFonts w:hint="default" w:ascii="Times New Roman" w:hAnsi="Times New Roman" w:eastAsia="宋体" w:cs="Times New Roman"/>
                      <w:i w:val="0"/>
                      <w:iCs w:val="0"/>
                      <w:color w:val="auto"/>
                      <w:szCs w:val="21"/>
                      <w:highlight w:val="none"/>
                      <w:shd w:val="clear" w:color="auto" w:fill="auto"/>
                      <w:lang w:val="en-US" w:eastAsia="zh-CN"/>
                    </w:rPr>
                  </w:pPr>
                  <w:r>
                    <w:rPr>
                      <w:rFonts w:hint="default" w:ascii="Times New Roman" w:hAnsi="Times New Roman" w:eastAsia="宋体" w:cs="Times New Roman"/>
                      <w:i w:val="0"/>
                      <w:iCs w:val="0"/>
                      <w:color w:val="auto"/>
                      <w:szCs w:val="21"/>
                      <w:highlight w:val="none"/>
                      <w:shd w:val="clear" w:color="auto" w:fill="auto"/>
                      <w:lang w:val="en-US" w:eastAsia="zh-CN"/>
                    </w:rPr>
                    <w:t>分区防渗</w:t>
                  </w:r>
                </w:p>
              </w:tc>
              <w:tc>
                <w:tcPr>
                  <w:tcW w:w="1135" w:type="pct"/>
                  <w:tcBorders>
                    <w:tl2br w:val="nil"/>
                    <w:tr2bl w:val="nil"/>
                  </w:tcBorders>
                  <w:vAlign w:val="center"/>
                </w:tcPr>
                <w:p>
                  <w:pPr>
                    <w:jc w:val="center"/>
                    <w:rPr>
                      <w:rFonts w:hint="default" w:ascii="Times New Roman" w:hAnsi="Times New Roman" w:eastAsia="宋体" w:cs="Times New Roman"/>
                      <w:i w:val="0"/>
                      <w:iCs w:val="0"/>
                      <w:color w:val="auto"/>
                      <w:szCs w:val="21"/>
                      <w:highlight w:val="none"/>
                      <w:shd w:val="clear" w:color="auto" w:fill="auto"/>
                      <w:lang w:val="en-US" w:eastAsia="zh-CN"/>
                    </w:rPr>
                  </w:pPr>
                  <w:r>
                    <w:rPr>
                      <w:rFonts w:hint="default" w:ascii="Times New Roman" w:hAnsi="Times New Roman" w:eastAsia="宋体" w:cs="Times New Roman"/>
                      <w:i w:val="0"/>
                      <w:iCs w:val="0"/>
                      <w:color w:val="auto"/>
                      <w:szCs w:val="21"/>
                      <w:highlight w:val="none"/>
                      <w:shd w:val="clear" w:color="auto" w:fill="auto"/>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443" w:type="pct"/>
                  <w:gridSpan w:val="2"/>
                  <w:tcBorders>
                    <w:tl2br w:val="nil"/>
                    <w:tr2bl w:val="nil"/>
                  </w:tcBorders>
                  <w:tcMar>
                    <w:left w:w="0" w:type="dxa"/>
                    <w:right w:w="0" w:type="dxa"/>
                  </w:tcMar>
                  <w:vAlign w:val="center"/>
                </w:tcPr>
                <w:p>
                  <w:pPr>
                    <w:jc w:val="center"/>
                    <w:rPr>
                      <w:rFonts w:hint="default" w:ascii="Times New Roman" w:hAnsi="Times New Roman" w:eastAsia="宋体" w:cs="Times New Roman"/>
                      <w:i w:val="0"/>
                      <w:iCs w:val="0"/>
                      <w:color w:val="auto"/>
                      <w:szCs w:val="21"/>
                      <w:highlight w:val="none"/>
                      <w:shd w:val="clear" w:color="auto" w:fill="auto"/>
                      <w:lang w:val="en-US" w:eastAsia="zh-CN"/>
                    </w:rPr>
                  </w:pPr>
                  <w:r>
                    <w:rPr>
                      <w:rFonts w:hint="default" w:ascii="Times New Roman" w:hAnsi="Times New Roman" w:eastAsia="宋体" w:cs="Times New Roman"/>
                      <w:i w:val="0"/>
                      <w:iCs w:val="0"/>
                      <w:color w:val="auto"/>
                      <w:szCs w:val="21"/>
                      <w:highlight w:val="none"/>
                      <w:shd w:val="clear" w:color="auto" w:fill="auto"/>
                      <w:lang w:val="en-US" w:eastAsia="zh-CN"/>
                    </w:rPr>
                    <w:t>日常管理</w:t>
                  </w:r>
                </w:p>
              </w:tc>
              <w:tc>
                <w:tcPr>
                  <w:tcW w:w="2420" w:type="pct"/>
                  <w:tcBorders>
                    <w:tl2br w:val="nil"/>
                    <w:tr2bl w:val="nil"/>
                  </w:tcBorders>
                  <w:vAlign w:val="center"/>
                </w:tcPr>
                <w:p>
                  <w:pPr>
                    <w:jc w:val="center"/>
                    <w:rPr>
                      <w:rFonts w:hint="default" w:ascii="Times New Roman" w:hAnsi="Times New Roman" w:eastAsia="宋体" w:cs="Times New Roman"/>
                      <w:i w:val="0"/>
                      <w:iCs w:val="0"/>
                      <w:color w:val="auto"/>
                      <w:szCs w:val="21"/>
                      <w:highlight w:val="none"/>
                      <w:shd w:val="clear" w:color="auto" w:fill="auto"/>
                      <w:lang w:val="en-US" w:eastAsia="zh-CN"/>
                    </w:rPr>
                  </w:pPr>
                  <w:r>
                    <w:rPr>
                      <w:rFonts w:hint="default" w:ascii="Times New Roman" w:hAnsi="Times New Roman" w:eastAsia="宋体" w:cs="Times New Roman"/>
                      <w:i w:val="0"/>
                      <w:iCs w:val="0"/>
                      <w:color w:val="auto"/>
                      <w:szCs w:val="21"/>
                      <w:highlight w:val="none"/>
                      <w:shd w:val="clear" w:color="auto" w:fill="auto"/>
                      <w:lang w:val="en-US" w:eastAsia="zh-CN"/>
                    </w:rPr>
                    <w:t>定期监测</w:t>
                  </w:r>
                </w:p>
              </w:tc>
              <w:tc>
                <w:tcPr>
                  <w:tcW w:w="1135" w:type="pct"/>
                  <w:tcBorders>
                    <w:tl2br w:val="nil"/>
                    <w:tr2bl w:val="nil"/>
                  </w:tcBorders>
                  <w:vAlign w:val="center"/>
                </w:tcPr>
                <w:p>
                  <w:pPr>
                    <w:jc w:val="center"/>
                    <w:rPr>
                      <w:rFonts w:hint="default" w:ascii="Times New Roman" w:hAnsi="Times New Roman" w:eastAsia="宋体" w:cs="Times New Roman"/>
                      <w:i w:val="0"/>
                      <w:iCs w:val="0"/>
                      <w:color w:val="auto"/>
                      <w:szCs w:val="21"/>
                      <w:highlight w:val="none"/>
                      <w:shd w:val="clear" w:color="auto" w:fill="auto"/>
                      <w:lang w:val="en-US" w:eastAsia="zh-CN"/>
                    </w:rPr>
                  </w:pPr>
                  <w:r>
                    <w:rPr>
                      <w:rFonts w:hint="default" w:ascii="Times New Roman" w:hAnsi="Times New Roman" w:eastAsia="宋体" w:cs="Times New Roman"/>
                      <w:i w:val="0"/>
                      <w:iCs w:val="0"/>
                      <w:color w:val="auto"/>
                      <w:szCs w:val="21"/>
                      <w:highlight w:val="none"/>
                      <w:shd w:val="clear" w:color="auto" w:fill="auto"/>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864" w:type="pct"/>
                  <w:gridSpan w:val="3"/>
                  <w:tcBorders>
                    <w:tl2br w:val="nil"/>
                    <w:tr2bl w:val="nil"/>
                  </w:tcBorders>
                  <w:tcMar>
                    <w:left w:w="0" w:type="dxa"/>
                    <w:right w:w="0" w:type="dxa"/>
                  </w:tcMar>
                  <w:vAlign w:val="center"/>
                </w:tcPr>
                <w:p>
                  <w:pPr>
                    <w:jc w:val="center"/>
                    <w:rPr>
                      <w:rFonts w:hint="default" w:ascii="Times New Roman" w:hAnsi="Times New Roman" w:eastAsia="宋体" w:cs="Times New Roman"/>
                      <w:i w:val="0"/>
                      <w:iCs w:val="0"/>
                      <w:color w:val="auto"/>
                      <w:szCs w:val="21"/>
                      <w:highlight w:val="none"/>
                      <w:shd w:val="clear" w:color="auto" w:fill="auto"/>
                      <w:lang w:val="en-US" w:eastAsia="zh-CN"/>
                    </w:rPr>
                  </w:pPr>
                  <w:r>
                    <w:rPr>
                      <w:rFonts w:hint="default" w:ascii="Times New Roman" w:hAnsi="Times New Roman" w:eastAsia="宋体" w:cs="Times New Roman"/>
                      <w:i w:val="0"/>
                      <w:iCs w:val="0"/>
                      <w:color w:val="auto"/>
                      <w:szCs w:val="21"/>
                      <w:highlight w:val="none"/>
                      <w:shd w:val="clear" w:color="auto" w:fill="auto"/>
                      <w:lang w:val="en-US" w:eastAsia="zh-CN"/>
                    </w:rPr>
                    <w:t>合计</w:t>
                  </w:r>
                </w:p>
              </w:tc>
              <w:tc>
                <w:tcPr>
                  <w:tcW w:w="1135" w:type="pct"/>
                  <w:tcBorders>
                    <w:tl2br w:val="nil"/>
                    <w:tr2bl w:val="nil"/>
                  </w:tcBorders>
                  <w:vAlign w:val="center"/>
                </w:tcPr>
                <w:p>
                  <w:pPr>
                    <w:jc w:val="center"/>
                    <w:rPr>
                      <w:rFonts w:hint="default" w:ascii="Times New Roman" w:hAnsi="Times New Roman" w:eastAsia="宋体" w:cs="Times New Roman"/>
                      <w:i w:val="0"/>
                      <w:iCs w:val="0"/>
                      <w:color w:val="auto"/>
                      <w:szCs w:val="21"/>
                      <w:highlight w:val="none"/>
                      <w:shd w:val="clear" w:color="auto" w:fill="auto"/>
                      <w:lang w:val="en-US" w:eastAsia="zh-CN"/>
                    </w:rPr>
                  </w:pPr>
                  <w:r>
                    <w:rPr>
                      <w:rFonts w:hint="default" w:ascii="Times New Roman" w:hAnsi="Times New Roman" w:eastAsia="宋体" w:cs="Times New Roman"/>
                      <w:i w:val="0"/>
                      <w:iCs w:val="0"/>
                      <w:color w:val="auto"/>
                      <w:szCs w:val="21"/>
                      <w:highlight w:val="none"/>
                      <w:shd w:val="clear" w:color="auto" w:fill="auto"/>
                      <w:lang w:val="en-US" w:eastAsia="zh-CN"/>
                    </w:rPr>
                    <w:t>5</w:t>
                  </w:r>
                  <w:r>
                    <w:rPr>
                      <w:rFonts w:hint="eastAsia" w:cs="Times New Roman"/>
                      <w:i w:val="0"/>
                      <w:iCs w:val="0"/>
                      <w:color w:val="auto"/>
                      <w:szCs w:val="21"/>
                      <w:highlight w:val="none"/>
                      <w:shd w:val="clear" w:color="auto" w:fill="auto"/>
                      <w:lang w:val="en-US" w:eastAsia="zh-CN"/>
                    </w:rPr>
                    <w:t>0</w:t>
                  </w:r>
                </w:p>
              </w:tc>
            </w:tr>
          </w:tbl>
          <w:p>
            <w:pPr>
              <w:pStyle w:val="21"/>
              <w:spacing w:line="240" w:lineRule="auto"/>
              <w:ind w:left="0" w:firstLine="482" w:firstLineChars="200"/>
              <w:rPr>
                <w:b/>
                <w:bCs/>
                <w:color w:val="auto"/>
                <w:sz w:val="24"/>
                <w:highlight w:val="none"/>
              </w:rPr>
            </w:pPr>
          </w:p>
          <w:p>
            <w:pPr>
              <w:pStyle w:val="21"/>
              <w:spacing w:line="360" w:lineRule="auto"/>
              <w:ind w:left="0" w:firstLine="482" w:firstLineChars="200"/>
              <w:rPr>
                <w:b/>
                <w:bCs/>
                <w:color w:val="auto"/>
                <w:sz w:val="24"/>
                <w:highlight w:val="none"/>
              </w:rPr>
            </w:pPr>
            <w:r>
              <w:rPr>
                <w:b/>
                <w:bCs/>
                <w:color w:val="auto"/>
                <w:sz w:val="24"/>
                <w:highlight w:val="none"/>
              </w:rPr>
              <w:t>2.排污许可管理制度</w:t>
            </w:r>
          </w:p>
          <w:p>
            <w:pPr>
              <w:pStyle w:val="21"/>
              <w:spacing w:line="360" w:lineRule="auto"/>
              <w:ind w:left="0" w:firstLine="480" w:firstLineChars="200"/>
              <w:rPr>
                <w:color w:val="auto"/>
                <w:sz w:val="24"/>
                <w:highlight w:val="none"/>
              </w:rPr>
            </w:pPr>
            <w:r>
              <w:rPr>
                <w:color w:val="auto"/>
                <w:sz w:val="24"/>
                <w:highlight w:val="none"/>
              </w:rPr>
              <w:t>根据《固定污染源排污许可管理名录（2019年版）》（部令第11号），本项目属于</w:t>
            </w:r>
            <w:r>
              <w:rPr>
                <w:rFonts w:hint="eastAsia"/>
                <w:color w:val="auto"/>
                <w:sz w:val="24"/>
                <w:highlight w:val="none"/>
                <w:lang w:eastAsia="zh-CN"/>
              </w:rPr>
              <w:t>“</w:t>
            </w:r>
            <w:r>
              <w:rPr>
                <w:rFonts w:hint="eastAsia"/>
                <w:color w:val="auto"/>
                <w:sz w:val="24"/>
                <w:highlight w:val="none"/>
              </w:rPr>
              <w:t>二十四、橡胶和塑</w:t>
            </w:r>
            <w:r>
              <w:rPr>
                <w:rFonts w:hint="eastAsia" w:ascii="Times New Roman" w:hAnsi="Times New Roman" w:eastAsia="宋体" w:cs="Times New Roman"/>
                <w:color w:val="auto"/>
                <w:sz w:val="24"/>
                <w:highlight w:val="none"/>
              </w:rPr>
              <w:t>料制品业29</w:t>
            </w:r>
            <w:r>
              <w:rPr>
                <w:rFonts w:hint="eastAsia" w:ascii="Times New Roman" w:hAnsi="Times New Roman" w:eastAsia="宋体" w:cs="Times New Roman"/>
                <w:color w:val="auto"/>
                <w:sz w:val="24"/>
                <w:highlight w:val="none"/>
                <w:lang w:eastAsia="zh-CN"/>
              </w:rPr>
              <w:t>”</w:t>
            </w:r>
            <w:r>
              <w:rPr>
                <w:rFonts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val="en-US" w:eastAsia="zh-CN"/>
              </w:rPr>
              <w:t xml:space="preserve">62 </w:t>
            </w:r>
            <w:r>
              <w:rPr>
                <w:rFonts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rPr>
              <w:t>塑料制品业 292</w:t>
            </w:r>
            <w:r>
              <w:rPr>
                <w:rFonts w:hint="eastAsia" w:ascii="Times New Roman" w:hAnsi="Times New Roman" w:eastAsia="宋体" w:cs="Times New Roman"/>
                <w:color w:val="auto"/>
                <w:sz w:val="24"/>
                <w:highlight w:val="none"/>
                <w:lang w:eastAsia="zh-CN"/>
              </w:rPr>
              <w:t>”</w:t>
            </w:r>
            <w:r>
              <w:rPr>
                <w:rFonts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lang w:val="en-US" w:eastAsia="zh-CN"/>
              </w:rPr>
              <w:t>总产能为500t，管理类别为登记管理。</w:t>
            </w:r>
            <w:r>
              <w:rPr>
                <w:rFonts w:ascii="Times New Roman" w:hAnsi="Times New Roman" w:eastAsia="宋体" w:cs="Times New Roman"/>
                <w:color w:val="auto"/>
                <w:sz w:val="24"/>
                <w:highlight w:val="none"/>
              </w:rPr>
              <w:t>应实行排污许可登记管理，因此，建设单位应在项目运</w:t>
            </w:r>
            <w:r>
              <w:rPr>
                <w:color w:val="auto"/>
                <w:sz w:val="24"/>
                <w:highlight w:val="none"/>
              </w:rPr>
              <w:t>营或者产生实际排污之前，在全国排污许可证管理信息平台填报排污许可登记。</w:t>
            </w:r>
          </w:p>
          <w:p>
            <w:pPr>
              <w:pStyle w:val="21"/>
              <w:spacing w:line="360" w:lineRule="auto"/>
              <w:ind w:left="0" w:firstLine="482" w:firstLineChars="200"/>
              <w:rPr>
                <w:b/>
                <w:bCs/>
                <w:color w:val="auto"/>
                <w:sz w:val="24"/>
                <w:highlight w:val="none"/>
              </w:rPr>
            </w:pPr>
            <w:r>
              <w:rPr>
                <w:b/>
                <w:bCs/>
                <w:color w:val="auto"/>
                <w:sz w:val="24"/>
                <w:highlight w:val="none"/>
              </w:rPr>
              <w:t>3.竣工环境保护验收</w:t>
            </w:r>
          </w:p>
          <w:p>
            <w:pPr>
              <w:pStyle w:val="21"/>
              <w:spacing w:line="360" w:lineRule="auto"/>
              <w:ind w:left="0" w:firstLine="480" w:firstLineChars="200"/>
              <w:rPr>
                <w:color w:val="auto"/>
                <w:sz w:val="24"/>
                <w:highlight w:val="none"/>
              </w:rPr>
            </w:pPr>
            <w:r>
              <w:rPr>
                <w:color w:val="auto"/>
                <w:sz w:val="24"/>
                <w:highlight w:val="none"/>
              </w:rPr>
              <w:t>根据《建设项目竣工环境保护验收暂行办法》的规定，建设项目竣工后，建设单位应该如实检查、监测、记录建设项目环境保护设施建设和调湿情况，编制验收监测报告表。</w:t>
            </w:r>
          </w:p>
        </w:tc>
      </w:tr>
    </w:tbl>
    <w:p>
      <w:pPr>
        <w:pStyle w:val="26"/>
        <w:spacing w:before="0" w:beforeAutospacing="0" w:after="0" w:afterAutospacing="0"/>
        <w:jc w:val="center"/>
        <w:outlineLvl w:val="0"/>
        <w:rPr>
          <w:rFonts w:ascii="Times New Roman" w:hAnsi="Times New Roman"/>
          <w:snapToGrid w:val="0"/>
          <w:color w:val="auto"/>
          <w:sz w:val="30"/>
          <w:szCs w:val="30"/>
          <w:highlight w:val="none"/>
        </w:rPr>
      </w:pPr>
      <w:r>
        <w:rPr>
          <w:rFonts w:ascii="Times New Roman" w:hAnsi="Times New Roman"/>
          <w:snapToGrid w:val="0"/>
          <w:color w:val="auto"/>
          <w:highlight w:val="none"/>
        </w:rPr>
        <w:br w:type="page"/>
      </w:r>
      <w:r>
        <w:rPr>
          <w:rFonts w:ascii="Times New Roman" w:hAnsi="Times New Roman"/>
          <w:b/>
          <w:bCs/>
          <w:snapToGrid w:val="0"/>
          <w:color w:val="auto"/>
          <w:sz w:val="30"/>
          <w:szCs w:val="30"/>
          <w:highlight w:val="none"/>
        </w:rPr>
        <w:t>六、结论</w:t>
      </w: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spacing w:line="360" w:lineRule="auto"/>
              <w:ind w:firstLine="482" w:firstLineChars="200"/>
              <w:rPr>
                <w:b/>
                <w:bCs/>
                <w:color w:val="auto"/>
                <w:sz w:val="24"/>
                <w:highlight w:val="none"/>
              </w:rPr>
            </w:pPr>
            <w:r>
              <w:rPr>
                <w:b/>
                <w:bCs/>
                <w:color w:val="auto"/>
                <w:sz w:val="24"/>
                <w:highlight w:val="none"/>
              </w:rPr>
              <w:t>1、结论</w:t>
            </w:r>
          </w:p>
          <w:p>
            <w:pPr>
              <w:pStyle w:val="16"/>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textAlignment w:val="auto"/>
              <w:rPr>
                <w:color w:val="auto"/>
                <w:highlight w:val="none"/>
                <w:lang w:val="zh-CN"/>
              </w:rPr>
            </w:pPr>
            <w:r>
              <w:rPr>
                <w:rFonts w:hint="eastAsia"/>
                <w:color w:val="auto"/>
                <w:sz w:val="24"/>
                <w:highlight w:val="none"/>
              </w:rPr>
              <w:t>饭田（长春）橡塑有限公司年产500吨汽车用NVH橡塑制品生产线建设项目</w:t>
            </w:r>
            <w:r>
              <w:rPr>
                <w:rFonts w:hint="eastAsia" w:ascii="Times New Roman" w:hAnsi="Times New Roman" w:eastAsia="宋体" w:cs="Times New Roman"/>
                <w:color w:val="auto"/>
                <w:sz w:val="24"/>
                <w:highlight w:val="none"/>
                <w:lang w:val="zh-CN" w:eastAsia="zh-CN"/>
              </w:rPr>
              <w:t>，</w:t>
            </w:r>
            <w:r>
              <w:rPr>
                <w:rFonts w:hint="default" w:ascii="Times New Roman" w:hAnsi="Times New Roman" w:eastAsia="宋体" w:cs="Times New Roman"/>
                <w:color w:val="auto"/>
                <w:sz w:val="24"/>
                <w:highlight w:val="none"/>
                <w:lang w:val="zh-CN" w:eastAsia="zh-CN"/>
              </w:rPr>
              <w:t>符合国家产业政策、符合区域规划，选址合理，在采取必要的污染防治措施后，可以实现污染物达标排放，对大气、地表水、声环境产生的影响较小，在严格执行本环评提出的污染治理措施及“三同时”基础上，从环境保护和可持续发展的角度看，本项目选址合理，项目可行。</w:t>
            </w:r>
          </w:p>
          <w:p>
            <w:pPr>
              <w:pStyle w:val="16"/>
              <w:ind w:firstLine="482"/>
              <w:rPr>
                <w:b/>
                <w:bCs/>
                <w:color w:val="auto"/>
                <w:highlight w:val="none"/>
              </w:rPr>
            </w:pPr>
            <w:r>
              <w:rPr>
                <w:b/>
                <w:bCs/>
                <w:color w:val="auto"/>
                <w:highlight w:val="none"/>
              </w:rPr>
              <w:t>2、附图</w:t>
            </w:r>
          </w:p>
          <w:p>
            <w:pPr>
              <w:pStyle w:val="16"/>
              <w:ind w:left="0" w:leftChars="0" w:firstLine="480" w:firstLineChars="20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附图1   </w:t>
            </w:r>
            <w:r>
              <w:rPr>
                <w:rFonts w:hint="eastAsia" w:cs="Times New Roman"/>
                <w:color w:val="auto"/>
                <w:highlight w:val="none"/>
                <w:lang w:val="en-US" w:eastAsia="zh-CN"/>
              </w:rPr>
              <w:t xml:space="preserve"> </w:t>
            </w:r>
            <w:r>
              <w:rPr>
                <w:rFonts w:hint="default" w:ascii="Times New Roman" w:hAnsi="Times New Roman" w:cs="Times New Roman"/>
                <w:color w:val="auto"/>
                <w:highlight w:val="none"/>
              </w:rPr>
              <w:t>项目地理位置图</w:t>
            </w:r>
          </w:p>
          <w:p>
            <w:pPr>
              <w:pStyle w:val="16"/>
              <w:ind w:left="0" w:leftChars="0" w:firstLine="480" w:firstLineChars="20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附图2-1 </w:t>
            </w:r>
            <w:r>
              <w:rPr>
                <w:rFonts w:hint="eastAsia" w:cs="Times New Roman"/>
                <w:color w:val="auto"/>
                <w:highlight w:val="none"/>
                <w:lang w:val="en-US" w:eastAsia="zh-CN"/>
              </w:rPr>
              <w:t xml:space="preserve"> </w:t>
            </w:r>
            <w:r>
              <w:rPr>
                <w:rFonts w:hint="default" w:ascii="Times New Roman" w:hAnsi="Times New Roman" w:cs="Times New Roman"/>
                <w:color w:val="auto"/>
                <w:highlight w:val="none"/>
              </w:rPr>
              <w:t>项目在长春市环境管控单元分布图中的位置图</w:t>
            </w:r>
          </w:p>
          <w:p>
            <w:pPr>
              <w:pStyle w:val="97"/>
              <w:adjustRightInd/>
              <w:snapToGrid/>
              <w:ind w:left="0" w:leftChars="0" w:firstLine="480" w:firstLineChars="200"/>
              <w:jc w:val="left"/>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附图2-2  项目在开发区（南区）用地规划布局中的位置</w:t>
            </w:r>
          </w:p>
          <w:p>
            <w:pPr>
              <w:pStyle w:val="16"/>
              <w:ind w:left="0" w:leftChars="0" w:firstLine="480" w:firstLineChars="200"/>
              <w:jc w:val="left"/>
              <w:rPr>
                <w:rFonts w:hint="default" w:ascii="Times New Roman" w:hAnsi="Times New Roman" w:cs="Times New Roman"/>
                <w:color w:val="auto"/>
                <w:highlight w:val="none"/>
              </w:rPr>
            </w:pPr>
            <w:r>
              <w:rPr>
                <w:rFonts w:hint="default" w:ascii="Times New Roman" w:hAnsi="Times New Roman" w:eastAsia="宋体" w:cs="Times New Roman"/>
                <w:color w:val="auto"/>
                <w:kern w:val="2"/>
                <w:sz w:val="24"/>
                <w:szCs w:val="24"/>
                <w:highlight w:val="none"/>
                <w:lang w:val="en-US" w:eastAsia="zh-CN" w:bidi="ar-SA"/>
              </w:rPr>
              <w:t>附图2-3  项目在开发区（南区）产</w:t>
            </w:r>
            <w:r>
              <w:rPr>
                <w:rFonts w:hint="default" w:ascii="Times New Roman" w:hAnsi="Times New Roman" w:cs="Times New Roman"/>
                <w:color w:val="auto"/>
                <w:highlight w:val="none"/>
              </w:rPr>
              <w:t>业布局图中的位置图</w:t>
            </w:r>
          </w:p>
          <w:p>
            <w:pPr>
              <w:pStyle w:val="16"/>
              <w:ind w:left="0" w:leftChars="0" w:firstLine="480" w:firstLineChars="20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附图3</w:t>
            </w:r>
            <w:r>
              <w:rPr>
                <w:rFonts w:hint="eastAsia" w:cs="Times New Roman"/>
                <w:color w:val="auto"/>
                <w:highlight w:val="none"/>
                <w:lang w:val="en-US" w:eastAsia="zh-CN"/>
              </w:rPr>
              <w:t xml:space="preserve">   </w:t>
            </w:r>
            <w:r>
              <w:rPr>
                <w:rFonts w:hint="default" w:ascii="Times New Roman" w:hAnsi="Times New Roman" w:cs="Times New Roman"/>
                <w:color w:val="auto"/>
                <w:highlight w:val="none"/>
              </w:rPr>
              <w:t>项目周围环境关系图</w:t>
            </w:r>
          </w:p>
          <w:p>
            <w:pPr>
              <w:pStyle w:val="16"/>
              <w:ind w:left="0" w:leftChars="0" w:firstLine="480" w:firstLineChars="20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附图4   厂房内平面布置图</w:t>
            </w:r>
          </w:p>
          <w:p>
            <w:pPr>
              <w:pStyle w:val="16"/>
              <w:ind w:left="0" w:leftChars="0" w:firstLine="480" w:firstLineChars="20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附图5   项目在长春市声环境功能区中的位置图</w:t>
            </w:r>
          </w:p>
          <w:p>
            <w:pPr>
              <w:pStyle w:val="16"/>
              <w:ind w:left="0" w:leftChars="0" w:firstLine="480" w:firstLineChars="20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附图6   现场照片</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default" w:ascii="Times New Roman" w:hAnsi="Times New Roman" w:eastAsia="宋体" w:cs="Times New Roman"/>
                <w:bCs/>
                <w:color w:val="auto"/>
                <w:spacing w:val="-10"/>
                <w:sz w:val="24"/>
                <w:szCs w:val="24"/>
                <w:highlight w:val="none"/>
                <w:lang w:val="en-US" w:eastAsia="zh-CN"/>
              </w:rPr>
            </w:pPr>
            <w:r>
              <w:rPr>
                <w:rFonts w:hint="default" w:ascii="Times New Roman" w:hAnsi="Times New Roman" w:eastAsia="宋体" w:cs="Times New Roman"/>
                <w:bCs/>
                <w:color w:val="auto"/>
                <w:spacing w:val="-10"/>
                <w:sz w:val="24"/>
                <w:szCs w:val="24"/>
                <w:highlight w:val="none"/>
                <w:lang w:val="en-US" w:eastAsia="zh-CN"/>
              </w:rPr>
              <w:t>附图</w:t>
            </w:r>
            <w:r>
              <w:rPr>
                <w:rFonts w:hint="default" w:ascii="Times New Roman" w:hAnsi="Times New Roman" w:cs="Times New Roman"/>
                <w:bCs/>
                <w:color w:val="auto"/>
                <w:spacing w:val="-10"/>
                <w:sz w:val="24"/>
                <w:szCs w:val="24"/>
                <w:highlight w:val="none"/>
                <w:lang w:val="en-US" w:eastAsia="zh-CN"/>
              </w:rPr>
              <w:t>7</w:t>
            </w:r>
            <w:r>
              <w:rPr>
                <w:rFonts w:hint="default" w:ascii="Times New Roman" w:hAnsi="Times New Roman" w:eastAsia="宋体" w:cs="Times New Roman"/>
                <w:bCs/>
                <w:color w:val="auto"/>
                <w:spacing w:val="-10"/>
                <w:sz w:val="24"/>
                <w:szCs w:val="24"/>
                <w:highlight w:val="none"/>
                <w:lang w:val="en-US" w:eastAsia="zh-CN"/>
              </w:rPr>
              <w:t xml:space="preserve">  </w:t>
            </w:r>
            <w:r>
              <w:rPr>
                <w:rFonts w:hint="default" w:ascii="Times New Roman" w:hAnsi="Times New Roman" w:cs="Times New Roman"/>
                <w:bCs/>
                <w:color w:val="auto"/>
                <w:spacing w:val="-10"/>
                <w:sz w:val="24"/>
                <w:szCs w:val="24"/>
                <w:highlight w:val="none"/>
                <w:lang w:val="en-US" w:eastAsia="zh-CN"/>
              </w:rPr>
              <w:t xml:space="preserve">  </w:t>
            </w:r>
            <w:r>
              <w:rPr>
                <w:rFonts w:hint="default" w:ascii="Times New Roman" w:hAnsi="Times New Roman" w:eastAsia="宋体" w:cs="Times New Roman"/>
                <w:bCs/>
                <w:color w:val="auto"/>
                <w:spacing w:val="-10"/>
                <w:sz w:val="24"/>
                <w:szCs w:val="24"/>
                <w:highlight w:val="none"/>
                <w:lang w:val="en-US" w:eastAsia="zh-CN"/>
              </w:rPr>
              <w:t>本项目引用环境空气监测点</w:t>
            </w:r>
            <w:r>
              <w:rPr>
                <w:rFonts w:hint="default" w:ascii="Times New Roman" w:hAnsi="Times New Roman" w:cs="Times New Roman"/>
                <w:bCs/>
                <w:color w:val="auto"/>
                <w:spacing w:val="-10"/>
                <w:sz w:val="24"/>
                <w:szCs w:val="24"/>
                <w:highlight w:val="none"/>
                <w:lang w:val="en-US" w:eastAsia="zh-CN"/>
              </w:rPr>
              <w:t>位示意图</w:t>
            </w:r>
          </w:p>
          <w:p>
            <w:pPr>
              <w:rPr>
                <w:color w:val="auto"/>
                <w:highlight w:val="none"/>
              </w:rPr>
            </w:pPr>
          </w:p>
          <w:p>
            <w:pPr>
              <w:pStyle w:val="16"/>
              <w:ind w:firstLine="482"/>
              <w:rPr>
                <w:b/>
                <w:bCs/>
                <w:color w:val="auto"/>
                <w:highlight w:val="none"/>
              </w:rPr>
            </w:pPr>
            <w:r>
              <w:rPr>
                <w:b/>
                <w:bCs/>
                <w:color w:val="auto"/>
                <w:highlight w:val="none"/>
              </w:rPr>
              <w:t>3、附件</w:t>
            </w:r>
          </w:p>
          <w:p>
            <w:pPr>
              <w:pStyle w:val="16"/>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textAlignment w:val="auto"/>
              <w:rPr>
                <w:rFonts w:hint="default" w:ascii="Times New Roman" w:hAnsi="Times New Roman" w:eastAsia="宋体" w:cs="Times New Roman"/>
                <w:color w:val="auto"/>
                <w:sz w:val="24"/>
                <w:highlight w:val="none"/>
                <w:lang w:val="zh-CN" w:eastAsia="zh-CN"/>
              </w:rPr>
            </w:pPr>
            <w:r>
              <w:rPr>
                <w:rFonts w:hint="default" w:ascii="Times New Roman" w:hAnsi="Times New Roman" w:eastAsia="宋体" w:cs="Times New Roman"/>
                <w:color w:val="auto"/>
                <w:sz w:val="24"/>
                <w:highlight w:val="none"/>
                <w:lang w:val="zh-CN" w:eastAsia="zh-CN"/>
              </w:rPr>
              <w:t>附件1   检测报告</w:t>
            </w:r>
          </w:p>
          <w:p>
            <w:pPr>
              <w:pStyle w:val="16"/>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textAlignment w:val="auto"/>
              <w:rPr>
                <w:rFonts w:hint="default" w:ascii="Times New Roman" w:hAnsi="Times New Roman" w:eastAsia="宋体" w:cs="Times New Roman"/>
                <w:color w:val="auto"/>
                <w:sz w:val="24"/>
                <w:highlight w:val="none"/>
                <w:lang w:val="zh-CN" w:eastAsia="zh-CN"/>
              </w:rPr>
            </w:pPr>
            <w:r>
              <w:rPr>
                <w:rFonts w:hint="default" w:ascii="Times New Roman" w:hAnsi="Times New Roman" w:eastAsia="宋体" w:cs="Times New Roman"/>
                <w:color w:val="auto"/>
                <w:sz w:val="24"/>
                <w:highlight w:val="none"/>
                <w:lang w:val="zh-CN" w:eastAsia="zh-CN"/>
              </w:rPr>
              <w:t xml:space="preserve">附件2  </w:t>
            </w:r>
            <w:r>
              <w:rPr>
                <w:rFonts w:hint="eastAsia" w:ascii="Times New Roman" w:hAnsi="Times New Roman" w:eastAsia="宋体"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lang w:val="zh-CN" w:eastAsia="zh-CN"/>
              </w:rPr>
              <w:t>MSDS报告</w:t>
            </w:r>
          </w:p>
          <w:p>
            <w:pPr>
              <w:pStyle w:val="16"/>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textAlignment w:val="auto"/>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 xml:space="preserve">附件3   </w:t>
            </w:r>
            <w:r>
              <w:rPr>
                <w:rFonts w:hint="eastAsia" w:cs="Times New Roman"/>
                <w:color w:val="auto"/>
                <w:sz w:val="24"/>
                <w:highlight w:val="none"/>
                <w:lang w:val="en-US" w:eastAsia="zh-CN"/>
              </w:rPr>
              <w:t>原有项目</w:t>
            </w:r>
            <w:r>
              <w:rPr>
                <w:rFonts w:hint="eastAsia" w:ascii="Times New Roman" w:hAnsi="Times New Roman" w:eastAsia="宋体" w:cs="Times New Roman"/>
                <w:color w:val="auto"/>
                <w:sz w:val="24"/>
                <w:highlight w:val="none"/>
                <w:lang w:val="en-US" w:eastAsia="zh-CN"/>
              </w:rPr>
              <w:t>批复及验收</w:t>
            </w:r>
          </w:p>
          <w:p>
            <w:pPr>
              <w:spacing w:line="400" w:lineRule="exact"/>
              <w:ind w:firstLine="480" w:firstLineChars="200"/>
              <w:rPr>
                <w:color w:val="auto"/>
                <w:sz w:val="24"/>
                <w:highlight w:val="none"/>
              </w:rPr>
            </w:pPr>
          </w:p>
        </w:tc>
      </w:tr>
    </w:tbl>
    <w:p>
      <w:pPr>
        <w:rPr>
          <w:color w:val="auto"/>
          <w:highlight w:val="none"/>
        </w:rPr>
        <w:sectPr>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26"/>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textAlignment w:val="auto"/>
        <w:outlineLvl w:val="0"/>
        <w:rPr>
          <w:rFonts w:hint="eastAsia" w:ascii="黑体" w:hAnsi="黑体" w:eastAsia="黑体"/>
          <w:snapToGrid w:val="0"/>
          <w:color w:val="auto"/>
          <w:sz w:val="28"/>
          <w:szCs w:val="28"/>
          <w:highlight w:val="none"/>
        </w:rPr>
      </w:pPr>
      <w:r>
        <w:rPr>
          <w:rFonts w:hint="eastAsia" w:ascii="黑体" w:hAnsi="黑体" w:eastAsia="黑体"/>
          <w:snapToGrid w:val="0"/>
          <w:color w:val="auto"/>
          <w:sz w:val="28"/>
          <w:szCs w:val="28"/>
          <w:highlight w:val="none"/>
        </w:rPr>
        <w:t>附表</w:t>
      </w:r>
    </w:p>
    <w:p>
      <w:pPr>
        <w:pStyle w:val="26"/>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outlineLvl w:val="0"/>
        <w:rPr>
          <w:rFonts w:hint="eastAsia" w:ascii="方正小标宋_GBK" w:hAnsi="黑体" w:eastAsia="方正小标宋_GBK"/>
          <w:snapToGrid w:val="0"/>
          <w:color w:val="auto"/>
          <w:sz w:val="24"/>
          <w:szCs w:val="24"/>
          <w:highlight w:val="none"/>
        </w:rPr>
      </w:pPr>
      <w:r>
        <w:rPr>
          <w:rFonts w:hint="eastAsia" w:ascii="方正小标宋_GBK" w:hAnsi="黑体" w:eastAsia="方正小标宋_GBK"/>
          <w:snapToGrid w:val="0"/>
          <w:color w:val="auto"/>
          <w:sz w:val="24"/>
          <w:szCs w:val="24"/>
          <w:highlight w:val="none"/>
        </w:rPr>
        <w:t>建设项目污染物排放量汇总表</w:t>
      </w:r>
    </w:p>
    <w:tbl>
      <w:tblPr>
        <w:tblStyle w:val="30"/>
        <w:tblW w:w="5342"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14"/>
        <w:gridCol w:w="1951"/>
        <w:gridCol w:w="2367"/>
        <w:gridCol w:w="1361"/>
        <w:gridCol w:w="2026"/>
        <w:gridCol w:w="1702"/>
        <w:gridCol w:w="1757"/>
        <w:gridCol w:w="1701"/>
        <w:gridCol w:w="11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5" w:type="pct"/>
            <w:tcBorders>
              <w:tl2br w:val="single" w:color="auto" w:sz="4" w:space="0"/>
            </w:tcBorders>
            <w:tcMar>
              <w:left w:w="28" w:type="dxa"/>
              <w:right w:w="28" w:type="dxa"/>
            </w:tcMar>
            <w:vAlign w:val="center"/>
          </w:tcPr>
          <w:p>
            <w:pPr>
              <w:pStyle w:val="63"/>
              <w:adjustRightInd/>
              <w:ind w:left="396" w:hanging="396"/>
              <w:jc w:val="center"/>
              <w:rPr>
                <w:color w:val="auto"/>
                <w:sz w:val="21"/>
                <w:highlight w:val="none"/>
              </w:rPr>
            </w:pPr>
            <w:r>
              <w:rPr>
                <w:color w:val="auto"/>
                <w:sz w:val="21"/>
                <w:highlight w:val="none"/>
              </w:rPr>
              <w:t>项目</w:t>
            </w:r>
          </w:p>
          <w:p>
            <w:pPr>
              <w:pStyle w:val="63"/>
              <w:adjustRightInd/>
              <w:ind w:left="396" w:hanging="396"/>
              <w:jc w:val="center"/>
              <w:rPr>
                <w:color w:val="auto"/>
                <w:sz w:val="21"/>
                <w:highlight w:val="none"/>
              </w:rPr>
            </w:pPr>
            <w:r>
              <w:rPr>
                <w:color w:val="auto"/>
                <w:sz w:val="21"/>
                <w:highlight w:val="none"/>
              </w:rPr>
              <w:t>分类</w:t>
            </w:r>
          </w:p>
        </w:tc>
        <w:tc>
          <w:tcPr>
            <w:tcW w:w="651" w:type="pct"/>
            <w:tcMar>
              <w:left w:w="28" w:type="dxa"/>
              <w:right w:w="28" w:type="dxa"/>
            </w:tcMar>
            <w:vAlign w:val="center"/>
          </w:tcPr>
          <w:p>
            <w:pPr>
              <w:pStyle w:val="63"/>
              <w:adjustRightInd/>
              <w:ind w:left="396" w:hanging="396"/>
              <w:rPr>
                <w:color w:val="auto"/>
                <w:sz w:val="21"/>
                <w:highlight w:val="none"/>
              </w:rPr>
            </w:pPr>
            <w:r>
              <w:rPr>
                <w:color w:val="auto"/>
                <w:sz w:val="21"/>
                <w:highlight w:val="none"/>
              </w:rPr>
              <w:t>污染物名称</w:t>
            </w:r>
          </w:p>
        </w:tc>
        <w:tc>
          <w:tcPr>
            <w:tcW w:w="790" w:type="pct"/>
            <w:tcMar>
              <w:left w:w="28" w:type="dxa"/>
              <w:right w:w="28" w:type="dxa"/>
            </w:tcMar>
            <w:vAlign w:val="center"/>
          </w:tcPr>
          <w:p>
            <w:pPr>
              <w:pStyle w:val="63"/>
              <w:adjustRightInd/>
              <w:snapToGrid w:val="0"/>
              <w:jc w:val="center"/>
              <w:rPr>
                <w:color w:val="auto"/>
                <w:sz w:val="21"/>
                <w:highlight w:val="none"/>
              </w:rPr>
            </w:pPr>
            <w:r>
              <w:rPr>
                <w:color w:val="auto"/>
                <w:sz w:val="21"/>
                <w:highlight w:val="none"/>
              </w:rPr>
              <w:t>现有工程排放量（固体废物产生量）</w:t>
            </w:r>
            <w:r>
              <w:rPr>
                <w:color w:val="auto"/>
                <w:sz w:val="21"/>
                <w:highlight w:val="none"/>
              </w:rPr>
              <w:fldChar w:fldCharType="begin"/>
            </w:r>
            <w:r>
              <w:rPr>
                <w:color w:val="auto"/>
                <w:sz w:val="21"/>
                <w:highlight w:val="none"/>
              </w:rPr>
              <w:instrText xml:space="preserve"> = 1 \* GB3 \* MERGEFORMAT </w:instrText>
            </w:r>
            <w:r>
              <w:rPr>
                <w:color w:val="auto"/>
                <w:sz w:val="21"/>
                <w:highlight w:val="none"/>
              </w:rPr>
              <w:fldChar w:fldCharType="separate"/>
            </w:r>
            <w:r>
              <w:rPr>
                <w:color w:val="auto"/>
                <w:sz w:val="21"/>
                <w:highlight w:val="none"/>
              </w:rPr>
              <w:t>①</w:t>
            </w:r>
            <w:r>
              <w:rPr>
                <w:color w:val="auto"/>
                <w:sz w:val="21"/>
                <w:highlight w:val="none"/>
              </w:rPr>
              <w:fldChar w:fldCharType="end"/>
            </w:r>
          </w:p>
        </w:tc>
        <w:tc>
          <w:tcPr>
            <w:tcW w:w="454" w:type="pct"/>
            <w:tcMar>
              <w:left w:w="28" w:type="dxa"/>
              <w:right w:w="28" w:type="dxa"/>
            </w:tcMar>
            <w:vAlign w:val="center"/>
          </w:tcPr>
          <w:p>
            <w:pPr>
              <w:pStyle w:val="63"/>
              <w:adjustRightInd/>
              <w:snapToGrid w:val="0"/>
              <w:jc w:val="center"/>
              <w:rPr>
                <w:color w:val="auto"/>
                <w:sz w:val="21"/>
                <w:highlight w:val="none"/>
              </w:rPr>
            </w:pPr>
            <w:r>
              <w:rPr>
                <w:color w:val="auto"/>
                <w:sz w:val="21"/>
                <w:highlight w:val="none"/>
              </w:rPr>
              <w:t>现有工程许可排放量</w:t>
            </w:r>
          </w:p>
          <w:p>
            <w:pPr>
              <w:pStyle w:val="63"/>
              <w:adjustRightInd/>
              <w:snapToGrid w:val="0"/>
              <w:jc w:val="center"/>
              <w:rPr>
                <w:color w:val="auto"/>
                <w:sz w:val="21"/>
                <w:highlight w:val="none"/>
              </w:rPr>
            </w:pPr>
            <w:r>
              <w:rPr>
                <w:color w:val="auto"/>
                <w:sz w:val="21"/>
                <w:highlight w:val="none"/>
              </w:rPr>
              <w:fldChar w:fldCharType="begin"/>
            </w:r>
            <w:r>
              <w:rPr>
                <w:color w:val="auto"/>
                <w:sz w:val="21"/>
                <w:highlight w:val="none"/>
              </w:rPr>
              <w:instrText xml:space="preserve"> = 2 \* GB3 \* MERGEFORMAT </w:instrText>
            </w:r>
            <w:r>
              <w:rPr>
                <w:color w:val="auto"/>
                <w:sz w:val="21"/>
                <w:highlight w:val="none"/>
              </w:rPr>
              <w:fldChar w:fldCharType="separate"/>
            </w:r>
            <w:r>
              <w:rPr>
                <w:color w:val="auto"/>
                <w:sz w:val="21"/>
                <w:highlight w:val="none"/>
              </w:rPr>
              <w:t>②</w:t>
            </w:r>
            <w:r>
              <w:rPr>
                <w:color w:val="auto"/>
                <w:sz w:val="21"/>
                <w:highlight w:val="none"/>
              </w:rPr>
              <w:fldChar w:fldCharType="end"/>
            </w:r>
          </w:p>
        </w:tc>
        <w:tc>
          <w:tcPr>
            <w:tcW w:w="676" w:type="pct"/>
            <w:tcMar>
              <w:left w:w="28" w:type="dxa"/>
              <w:right w:w="28" w:type="dxa"/>
            </w:tcMar>
            <w:vAlign w:val="center"/>
          </w:tcPr>
          <w:p>
            <w:pPr>
              <w:pStyle w:val="63"/>
              <w:adjustRightInd/>
              <w:snapToGrid w:val="0"/>
              <w:jc w:val="center"/>
              <w:rPr>
                <w:color w:val="auto"/>
                <w:sz w:val="21"/>
                <w:highlight w:val="none"/>
              </w:rPr>
            </w:pPr>
            <w:r>
              <w:rPr>
                <w:color w:val="auto"/>
                <w:sz w:val="21"/>
                <w:highlight w:val="none"/>
              </w:rPr>
              <w:t>在建工程排放量（固体废物产生量）</w:t>
            </w:r>
            <w:r>
              <w:rPr>
                <w:color w:val="auto"/>
                <w:sz w:val="21"/>
                <w:highlight w:val="none"/>
              </w:rPr>
              <w:fldChar w:fldCharType="begin"/>
            </w:r>
            <w:r>
              <w:rPr>
                <w:color w:val="auto"/>
                <w:sz w:val="21"/>
                <w:highlight w:val="none"/>
              </w:rPr>
              <w:instrText xml:space="preserve"> = 3 \* GB3 \* MERGEFORMAT </w:instrText>
            </w:r>
            <w:r>
              <w:rPr>
                <w:color w:val="auto"/>
                <w:sz w:val="21"/>
                <w:highlight w:val="none"/>
              </w:rPr>
              <w:fldChar w:fldCharType="separate"/>
            </w:r>
            <w:r>
              <w:rPr>
                <w:color w:val="auto"/>
                <w:sz w:val="21"/>
                <w:highlight w:val="none"/>
              </w:rPr>
              <w:t>③</w:t>
            </w:r>
            <w:r>
              <w:rPr>
                <w:color w:val="auto"/>
                <w:sz w:val="21"/>
                <w:highlight w:val="none"/>
              </w:rPr>
              <w:fldChar w:fldCharType="end"/>
            </w:r>
          </w:p>
        </w:tc>
        <w:tc>
          <w:tcPr>
            <w:tcW w:w="568" w:type="pct"/>
            <w:tcMar>
              <w:left w:w="28" w:type="dxa"/>
              <w:right w:w="28" w:type="dxa"/>
            </w:tcMar>
            <w:vAlign w:val="center"/>
          </w:tcPr>
          <w:p>
            <w:pPr>
              <w:pStyle w:val="63"/>
              <w:adjustRightInd/>
              <w:snapToGrid w:val="0"/>
              <w:jc w:val="center"/>
              <w:rPr>
                <w:color w:val="auto"/>
                <w:sz w:val="21"/>
                <w:highlight w:val="none"/>
              </w:rPr>
            </w:pPr>
            <w:r>
              <w:rPr>
                <w:color w:val="auto"/>
                <w:sz w:val="21"/>
                <w:highlight w:val="none"/>
              </w:rPr>
              <w:t>本项目排放量（固体废物产生量）</w:t>
            </w:r>
            <w:r>
              <w:rPr>
                <w:color w:val="auto"/>
                <w:sz w:val="21"/>
                <w:highlight w:val="none"/>
              </w:rPr>
              <w:fldChar w:fldCharType="begin"/>
            </w:r>
            <w:r>
              <w:rPr>
                <w:color w:val="auto"/>
                <w:sz w:val="21"/>
                <w:highlight w:val="none"/>
              </w:rPr>
              <w:instrText xml:space="preserve"> = 4 \* GB3 \* MERGEFORMAT </w:instrText>
            </w:r>
            <w:r>
              <w:rPr>
                <w:color w:val="auto"/>
                <w:sz w:val="21"/>
                <w:highlight w:val="none"/>
              </w:rPr>
              <w:fldChar w:fldCharType="separate"/>
            </w:r>
            <w:r>
              <w:rPr>
                <w:color w:val="auto"/>
                <w:sz w:val="21"/>
                <w:highlight w:val="none"/>
              </w:rPr>
              <w:t>④</w:t>
            </w:r>
            <w:r>
              <w:rPr>
                <w:color w:val="auto"/>
                <w:sz w:val="21"/>
                <w:highlight w:val="none"/>
              </w:rPr>
              <w:fldChar w:fldCharType="end"/>
            </w:r>
          </w:p>
        </w:tc>
        <w:tc>
          <w:tcPr>
            <w:tcW w:w="586" w:type="pct"/>
            <w:tcMar>
              <w:left w:w="28" w:type="dxa"/>
              <w:right w:w="28" w:type="dxa"/>
            </w:tcMar>
            <w:vAlign w:val="center"/>
          </w:tcPr>
          <w:p>
            <w:pPr>
              <w:pStyle w:val="63"/>
              <w:adjustRightInd/>
              <w:snapToGrid w:val="0"/>
              <w:jc w:val="center"/>
              <w:rPr>
                <w:color w:val="auto"/>
                <w:sz w:val="21"/>
                <w:highlight w:val="none"/>
              </w:rPr>
            </w:pPr>
            <w:r>
              <w:rPr>
                <w:color w:val="auto"/>
                <w:sz w:val="21"/>
                <w:highlight w:val="none"/>
              </w:rPr>
              <w:t>以新带老削减量（新建项目不填）</w:t>
            </w:r>
            <w:r>
              <w:rPr>
                <w:color w:val="auto"/>
                <w:sz w:val="21"/>
                <w:highlight w:val="none"/>
              </w:rPr>
              <w:fldChar w:fldCharType="begin"/>
            </w:r>
            <w:r>
              <w:rPr>
                <w:color w:val="auto"/>
                <w:sz w:val="21"/>
                <w:highlight w:val="none"/>
              </w:rPr>
              <w:instrText xml:space="preserve"> = 5 \* GB3 \* MERGEFORMAT </w:instrText>
            </w:r>
            <w:r>
              <w:rPr>
                <w:color w:val="auto"/>
                <w:sz w:val="21"/>
                <w:highlight w:val="none"/>
              </w:rPr>
              <w:fldChar w:fldCharType="separate"/>
            </w:r>
            <w:r>
              <w:rPr>
                <w:color w:val="auto"/>
                <w:sz w:val="21"/>
                <w:highlight w:val="none"/>
              </w:rPr>
              <w:t>⑤</w:t>
            </w:r>
            <w:r>
              <w:rPr>
                <w:color w:val="auto"/>
                <w:sz w:val="21"/>
                <w:highlight w:val="none"/>
              </w:rPr>
              <w:fldChar w:fldCharType="end"/>
            </w:r>
          </w:p>
        </w:tc>
        <w:tc>
          <w:tcPr>
            <w:tcW w:w="567" w:type="pct"/>
            <w:tcMar>
              <w:left w:w="28" w:type="dxa"/>
              <w:right w:w="28" w:type="dxa"/>
            </w:tcMar>
            <w:vAlign w:val="center"/>
          </w:tcPr>
          <w:p>
            <w:pPr>
              <w:pStyle w:val="63"/>
              <w:adjustRightInd/>
              <w:snapToGrid w:val="0"/>
              <w:jc w:val="center"/>
              <w:rPr>
                <w:color w:val="auto"/>
                <w:sz w:val="21"/>
                <w:highlight w:val="none"/>
              </w:rPr>
            </w:pPr>
            <w:r>
              <w:rPr>
                <w:color w:val="auto"/>
                <w:sz w:val="21"/>
                <w:highlight w:val="none"/>
              </w:rPr>
              <w:t>本项目建成后全厂排放量（固体废物产生量）</w:t>
            </w:r>
            <w:r>
              <w:rPr>
                <w:color w:val="auto"/>
                <w:sz w:val="21"/>
                <w:highlight w:val="none"/>
              </w:rPr>
              <w:fldChar w:fldCharType="begin"/>
            </w:r>
            <w:r>
              <w:rPr>
                <w:color w:val="auto"/>
                <w:sz w:val="21"/>
                <w:highlight w:val="none"/>
              </w:rPr>
              <w:instrText xml:space="preserve"> = 6 \* GB3 \* MERGEFORMAT </w:instrText>
            </w:r>
            <w:r>
              <w:rPr>
                <w:color w:val="auto"/>
                <w:sz w:val="21"/>
                <w:highlight w:val="none"/>
              </w:rPr>
              <w:fldChar w:fldCharType="separate"/>
            </w:r>
            <w:r>
              <w:rPr>
                <w:color w:val="auto"/>
                <w:sz w:val="21"/>
                <w:highlight w:val="none"/>
              </w:rPr>
              <w:t>⑥</w:t>
            </w:r>
            <w:r>
              <w:rPr>
                <w:color w:val="auto"/>
                <w:sz w:val="21"/>
                <w:highlight w:val="none"/>
              </w:rPr>
              <w:fldChar w:fldCharType="end"/>
            </w:r>
          </w:p>
        </w:tc>
        <w:tc>
          <w:tcPr>
            <w:tcW w:w="399" w:type="pct"/>
            <w:tcMar>
              <w:left w:w="28" w:type="dxa"/>
              <w:right w:w="28" w:type="dxa"/>
            </w:tcMar>
            <w:vAlign w:val="center"/>
          </w:tcPr>
          <w:p>
            <w:pPr>
              <w:pStyle w:val="63"/>
              <w:adjustRightInd/>
              <w:snapToGrid w:val="0"/>
              <w:jc w:val="center"/>
              <w:rPr>
                <w:color w:val="auto"/>
                <w:sz w:val="21"/>
                <w:highlight w:val="none"/>
              </w:rPr>
            </w:pPr>
            <w:r>
              <w:rPr>
                <w:color w:val="auto"/>
                <w:sz w:val="21"/>
                <w:highlight w:val="none"/>
              </w:rPr>
              <w:t>变化量</w:t>
            </w:r>
            <w:r>
              <w:rPr>
                <w:color w:val="auto"/>
                <w:sz w:val="21"/>
                <w:highlight w:val="none"/>
              </w:rPr>
              <w:fldChar w:fldCharType="begin"/>
            </w:r>
            <w:r>
              <w:rPr>
                <w:color w:val="auto"/>
                <w:sz w:val="21"/>
                <w:highlight w:val="none"/>
              </w:rPr>
              <w:instrText xml:space="preserve"> = 7 \* GB3 \* MERGEFORMAT </w:instrText>
            </w:r>
            <w:r>
              <w:rPr>
                <w:color w:val="auto"/>
                <w:sz w:val="21"/>
                <w:highlight w:val="none"/>
              </w:rPr>
              <w:fldChar w:fldCharType="separate"/>
            </w:r>
            <w:r>
              <w:rPr>
                <w:color w:val="auto"/>
                <w:sz w:val="21"/>
                <w:highlight w:val="none"/>
              </w:rPr>
              <w:t>⑦</w:t>
            </w:r>
            <w:r>
              <w:rPr>
                <w:color w:val="auto"/>
                <w:sz w:val="21"/>
                <w:highlight w:val="none"/>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5" w:type="pct"/>
            <w:vMerge w:val="restart"/>
            <w:vAlign w:val="center"/>
          </w:tcPr>
          <w:p>
            <w:pPr>
              <w:pStyle w:val="63"/>
              <w:adjustRightInd/>
              <w:ind w:left="420" w:hanging="420"/>
              <w:jc w:val="center"/>
              <w:rPr>
                <w:color w:val="auto"/>
                <w:sz w:val="21"/>
                <w:highlight w:val="none"/>
              </w:rPr>
            </w:pPr>
            <w:r>
              <w:rPr>
                <w:color w:val="auto"/>
                <w:sz w:val="21"/>
                <w:highlight w:val="none"/>
              </w:rPr>
              <w:t>废气</w:t>
            </w:r>
          </w:p>
        </w:tc>
        <w:tc>
          <w:tcPr>
            <w:tcW w:w="651" w:type="pct"/>
            <w:vAlign w:val="center"/>
          </w:tcPr>
          <w:p>
            <w:pPr>
              <w:pStyle w:val="63"/>
              <w:adjustRightInd/>
              <w:ind w:left="420" w:hanging="420"/>
              <w:jc w:val="center"/>
              <w:rPr>
                <w:color w:val="auto"/>
                <w:sz w:val="21"/>
                <w:szCs w:val="21"/>
                <w:highlight w:val="none"/>
              </w:rPr>
            </w:pPr>
            <w:r>
              <w:rPr>
                <w:color w:val="auto"/>
                <w:sz w:val="21"/>
                <w:szCs w:val="21"/>
                <w:highlight w:val="none"/>
              </w:rPr>
              <w:t>NMHC</w:t>
            </w:r>
          </w:p>
        </w:tc>
        <w:tc>
          <w:tcPr>
            <w:tcW w:w="790" w:type="pct"/>
            <w:vAlign w:val="center"/>
          </w:tcPr>
          <w:p>
            <w:pPr>
              <w:snapToGrid w:val="0"/>
              <w:jc w:val="center"/>
              <w:rPr>
                <w:rFonts w:ascii="Times New Roman" w:hAnsi="Times New Roman" w:eastAsia="宋体" w:cs="Times New Roman"/>
                <w:bCs/>
                <w:snapToGrid w:val="0"/>
                <w:color w:val="auto"/>
                <w:kern w:val="21"/>
                <w:szCs w:val="21"/>
                <w:highlight w:val="none"/>
              </w:rPr>
            </w:pPr>
            <w:r>
              <w:rPr>
                <w:rFonts w:hint="default" w:ascii="Times New Roman" w:hAnsi="Times New Roman" w:eastAsia="宋体" w:cs="Times New Roman"/>
                <w:bCs/>
                <w:snapToGrid w:val="0"/>
                <w:color w:val="auto"/>
                <w:kern w:val="21"/>
                <w:szCs w:val="21"/>
                <w:highlight w:val="none"/>
                <w:lang w:val="en-US" w:eastAsia="zh-CN"/>
              </w:rPr>
              <w:t>0.058</w:t>
            </w:r>
          </w:p>
        </w:tc>
        <w:tc>
          <w:tcPr>
            <w:tcW w:w="454" w:type="pct"/>
            <w:vAlign w:val="center"/>
          </w:tcPr>
          <w:p>
            <w:pPr>
              <w:pStyle w:val="53"/>
              <w:spacing w:beforeLines="0" w:afterLines="0" w:line="240" w:lineRule="auto"/>
              <w:ind w:left="400" w:hanging="400" w:hangingChars="200"/>
              <w:rPr>
                <w:rFonts w:ascii="Times New Roman"/>
                <w:bCs w:val="0"/>
                <w:snapToGrid w:val="0"/>
                <w:color w:val="auto"/>
                <w:kern w:val="21"/>
                <w:szCs w:val="21"/>
                <w:highlight w:val="none"/>
              </w:rPr>
            </w:pPr>
          </w:p>
        </w:tc>
        <w:tc>
          <w:tcPr>
            <w:tcW w:w="676" w:type="pct"/>
            <w:vAlign w:val="center"/>
          </w:tcPr>
          <w:p>
            <w:pPr>
              <w:pStyle w:val="53"/>
              <w:spacing w:beforeLines="0" w:afterLines="0" w:line="240" w:lineRule="auto"/>
              <w:ind w:left="400" w:hanging="400" w:hangingChars="200"/>
              <w:rPr>
                <w:rFonts w:ascii="Times New Roman"/>
                <w:bCs w:val="0"/>
                <w:snapToGrid w:val="0"/>
                <w:color w:val="auto"/>
                <w:kern w:val="21"/>
                <w:szCs w:val="21"/>
                <w:highlight w:val="none"/>
              </w:rPr>
            </w:pPr>
          </w:p>
        </w:tc>
        <w:tc>
          <w:tcPr>
            <w:tcW w:w="568" w:type="pct"/>
            <w:vAlign w:val="center"/>
          </w:tcPr>
          <w:p>
            <w:pPr>
              <w:snapToGrid w:val="0"/>
              <w:jc w:val="center"/>
              <w:rPr>
                <w:rFonts w:hint="default" w:eastAsia="宋体"/>
                <w:bCs/>
                <w:snapToGrid w:val="0"/>
                <w:color w:val="auto"/>
                <w:kern w:val="21"/>
                <w:szCs w:val="21"/>
                <w:highlight w:val="none"/>
                <w:lang w:val="en-US" w:eastAsia="zh-CN"/>
              </w:rPr>
            </w:pPr>
            <w:r>
              <w:rPr>
                <w:rFonts w:hint="eastAsia" w:cs="Times New Roman"/>
                <w:i w:val="0"/>
                <w:iCs w:val="0"/>
                <w:color w:val="auto"/>
                <w:kern w:val="0"/>
                <w:sz w:val="21"/>
                <w:szCs w:val="21"/>
                <w:highlight w:val="none"/>
                <w:u w:val="none"/>
                <w:lang w:val="en-US" w:eastAsia="zh-CN" w:bidi="ar"/>
              </w:rPr>
              <w:t>0.611</w:t>
            </w:r>
          </w:p>
        </w:tc>
        <w:tc>
          <w:tcPr>
            <w:tcW w:w="586" w:type="pct"/>
            <w:vAlign w:val="center"/>
          </w:tcPr>
          <w:p>
            <w:pPr>
              <w:keepNext w:val="0"/>
              <w:keepLines w:val="0"/>
              <w:widowControl/>
              <w:suppressLineNumbers w:val="0"/>
              <w:jc w:val="center"/>
              <w:textAlignment w:val="center"/>
              <w:rPr>
                <w:rFonts w:ascii="Times New Roman"/>
                <w:bCs w:val="0"/>
                <w:snapToGrid w:val="0"/>
                <w:color w:val="auto"/>
                <w:kern w:val="21"/>
                <w:szCs w:val="21"/>
                <w:highlight w:val="none"/>
              </w:rPr>
            </w:pPr>
            <w:r>
              <w:rPr>
                <w:rFonts w:hint="default" w:ascii="Times New Roman" w:hAnsi="Times New Roman" w:eastAsia="宋体" w:cs="Times New Roman"/>
                <w:i w:val="0"/>
                <w:iCs w:val="0"/>
                <w:color w:val="auto"/>
                <w:kern w:val="0"/>
                <w:sz w:val="20"/>
                <w:szCs w:val="20"/>
                <w:highlight w:val="none"/>
                <w:u w:val="none"/>
                <w:lang w:val="en-US" w:eastAsia="zh-CN" w:bidi="ar"/>
              </w:rPr>
              <w:t>0</w:t>
            </w:r>
          </w:p>
        </w:tc>
        <w:tc>
          <w:tcPr>
            <w:tcW w:w="567" w:type="pct"/>
            <w:vAlign w:val="center"/>
          </w:tcPr>
          <w:p>
            <w:pPr>
              <w:keepNext w:val="0"/>
              <w:keepLines w:val="0"/>
              <w:widowControl/>
              <w:suppressLineNumbers w:val="0"/>
              <w:jc w:val="center"/>
              <w:textAlignment w:val="center"/>
              <w:rPr>
                <w:rFonts w:hint="default" w:ascii="Times New Roman" w:hAnsi="Times New Roman" w:eastAsia="宋体" w:cs="Times New Roman"/>
                <w:bCs/>
                <w:snapToGrid w:val="0"/>
                <w:color w:val="auto"/>
                <w:kern w:val="21"/>
                <w:sz w:val="21"/>
                <w:szCs w:val="21"/>
                <w:highlight w:val="none"/>
                <w:lang w:val="en-US" w:eastAsia="zh-CN" w:bidi="ar-SA"/>
              </w:rPr>
            </w:pPr>
            <w:r>
              <w:rPr>
                <w:rFonts w:hint="eastAsia" w:cs="Times New Roman"/>
                <w:i w:val="0"/>
                <w:iCs w:val="0"/>
                <w:color w:val="auto"/>
                <w:kern w:val="0"/>
                <w:sz w:val="21"/>
                <w:szCs w:val="21"/>
                <w:highlight w:val="none"/>
                <w:u w:val="none"/>
                <w:lang w:val="en-US" w:eastAsia="zh-CN" w:bidi="ar"/>
              </w:rPr>
              <w:t>0.669</w:t>
            </w:r>
          </w:p>
        </w:tc>
        <w:tc>
          <w:tcPr>
            <w:tcW w:w="399" w:type="pct"/>
            <w:vAlign w:val="center"/>
          </w:tcPr>
          <w:p>
            <w:pPr>
              <w:keepNext w:val="0"/>
              <w:keepLines w:val="0"/>
              <w:widowControl/>
              <w:suppressLineNumbers w:val="0"/>
              <w:jc w:val="center"/>
              <w:textAlignment w:val="center"/>
              <w:rPr>
                <w:rFonts w:hint="default" w:ascii="Times New Roman" w:hAnsi="Times New Roman" w:eastAsia="宋体" w:cs="Times New Roman"/>
                <w:bCs/>
                <w:snapToGrid w:val="0"/>
                <w:color w:val="auto"/>
                <w:kern w:val="21"/>
                <w:sz w:val="21"/>
                <w:szCs w:val="21"/>
                <w:highlight w:val="none"/>
                <w:lang w:val="en-US" w:eastAsia="zh-CN" w:bidi="ar-SA"/>
              </w:rPr>
            </w:pPr>
            <w:r>
              <w:rPr>
                <w:rFonts w:hint="eastAsia" w:cs="Times New Roman"/>
                <w:i w:val="0"/>
                <w:iCs w:val="0"/>
                <w:color w:val="auto"/>
                <w:kern w:val="0"/>
                <w:sz w:val="21"/>
                <w:szCs w:val="21"/>
                <w:highlight w:val="none"/>
                <w:u w:val="none"/>
                <w:lang w:val="en-US" w:eastAsia="zh-CN" w:bidi="ar"/>
              </w:rPr>
              <w:t>0.611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5" w:type="pct"/>
            <w:vMerge w:val="continue"/>
            <w:vAlign w:val="center"/>
          </w:tcPr>
          <w:p>
            <w:pPr>
              <w:pStyle w:val="63"/>
              <w:adjustRightInd/>
              <w:ind w:left="420" w:hanging="420"/>
              <w:jc w:val="center"/>
              <w:rPr>
                <w:color w:val="auto"/>
                <w:sz w:val="21"/>
                <w:highlight w:val="none"/>
              </w:rPr>
            </w:pPr>
          </w:p>
        </w:tc>
        <w:tc>
          <w:tcPr>
            <w:tcW w:w="651" w:type="pct"/>
            <w:vAlign w:val="center"/>
          </w:tcPr>
          <w:p>
            <w:pPr>
              <w:pStyle w:val="63"/>
              <w:adjustRightInd/>
              <w:ind w:left="420" w:hanging="420"/>
              <w:jc w:val="center"/>
              <w:rPr>
                <w:color w:val="auto"/>
                <w:sz w:val="21"/>
                <w:szCs w:val="21"/>
                <w:highlight w:val="none"/>
              </w:rPr>
            </w:pPr>
            <w:r>
              <w:rPr>
                <w:color w:val="auto"/>
                <w:sz w:val="21"/>
                <w:szCs w:val="21"/>
                <w:highlight w:val="none"/>
              </w:rPr>
              <w:t>颗粒物</w:t>
            </w:r>
          </w:p>
        </w:tc>
        <w:tc>
          <w:tcPr>
            <w:tcW w:w="790" w:type="pct"/>
            <w:vAlign w:val="center"/>
          </w:tcPr>
          <w:p>
            <w:pPr>
              <w:snapToGrid w:val="0"/>
              <w:jc w:val="center"/>
              <w:rPr>
                <w:rFonts w:hint="eastAsia" w:ascii="Times New Roman" w:hAnsi="Times New Roman" w:eastAsia="宋体" w:cs="Times New Roman"/>
                <w:bCs/>
                <w:snapToGrid w:val="0"/>
                <w:color w:val="auto"/>
                <w:kern w:val="21"/>
                <w:szCs w:val="21"/>
                <w:highlight w:val="none"/>
                <w:lang w:val="en-US" w:eastAsia="zh-CN"/>
              </w:rPr>
            </w:pPr>
            <w:r>
              <w:rPr>
                <w:rFonts w:hint="eastAsia" w:ascii="Times New Roman" w:hAnsi="Times New Roman" w:eastAsia="宋体" w:cs="Times New Roman"/>
                <w:bCs/>
                <w:snapToGrid w:val="0"/>
                <w:color w:val="auto"/>
                <w:kern w:val="21"/>
                <w:szCs w:val="21"/>
                <w:highlight w:val="none"/>
                <w:lang w:val="en-US" w:eastAsia="zh-CN"/>
              </w:rPr>
              <w:t>/</w:t>
            </w:r>
          </w:p>
        </w:tc>
        <w:tc>
          <w:tcPr>
            <w:tcW w:w="454" w:type="pct"/>
            <w:vAlign w:val="center"/>
          </w:tcPr>
          <w:p>
            <w:pPr>
              <w:pStyle w:val="53"/>
              <w:spacing w:beforeLines="0" w:afterLines="0" w:line="240" w:lineRule="auto"/>
              <w:ind w:left="400" w:hanging="400" w:hangingChars="200"/>
              <w:rPr>
                <w:rFonts w:ascii="Times New Roman"/>
                <w:bCs w:val="0"/>
                <w:snapToGrid w:val="0"/>
                <w:color w:val="auto"/>
                <w:kern w:val="21"/>
                <w:szCs w:val="21"/>
                <w:highlight w:val="none"/>
              </w:rPr>
            </w:pPr>
          </w:p>
        </w:tc>
        <w:tc>
          <w:tcPr>
            <w:tcW w:w="676" w:type="pct"/>
            <w:vAlign w:val="center"/>
          </w:tcPr>
          <w:p>
            <w:pPr>
              <w:pStyle w:val="53"/>
              <w:spacing w:beforeLines="0" w:afterLines="0" w:line="240" w:lineRule="auto"/>
              <w:ind w:left="400" w:hanging="400" w:hangingChars="200"/>
              <w:rPr>
                <w:rFonts w:ascii="Times New Roman"/>
                <w:bCs w:val="0"/>
                <w:snapToGrid w:val="0"/>
                <w:color w:val="auto"/>
                <w:kern w:val="21"/>
                <w:szCs w:val="21"/>
                <w:highlight w:val="none"/>
              </w:rPr>
            </w:pPr>
          </w:p>
        </w:tc>
        <w:tc>
          <w:tcPr>
            <w:tcW w:w="568" w:type="pct"/>
            <w:vAlign w:val="center"/>
          </w:tcPr>
          <w:p>
            <w:pPr>
              <w:snapToGrid w:val="0"/>
              <w:jc w:val="center"/>
              <w:rPr>
                <w:rFonts w:hint="eastAsia" w:eastAsia="宋体"/>
                <w:bCs/>
                <w:snapToGrid w:val="0"/>
                <w:color w:val="auto"/>
                <w:kern w:val="21"/>
                <w:szCs w:val="21"/>
                <w:highlight w:val="none"/>
                <w:lang w:val="en-US" w:eastAsia="zh-CN"/>
              </w:rPr>
            </w:pPr>
            <w:r>
              <w:rPr>
                <w:rFonts w:hint="eastAsia"/>
                <w:bCs/>
                <w:snapToGrid w:val="0"/>
                <w:color w:val="auto"/>
                <w:kern w:val="21"/>
                <w:szCs w:val="21"/>
                <w:highlight w:val="none"/>
                <w:lang w:eastAsia="zh-CN"/>
              </w:rPr>
              <w:t>0.000094</w:t>
            </w:r>
          </w:p>
        </w:tc>
        <w:tc>
          <w:tcPr>
            <w:tcW w:w="586" w:type="pct"/>
            <w:vAlign w:val="center"/>
          </w:tcPr>
          <w:p>
            <w:pPr>
              <w:keepNext w:val="0"/>
              <w:keepLines w:val="0"/>
              <w:widowControl/>
              <w:suppressLineNumbers w:val="0"/>
              <w:jc w:val="center"/>
              <w:textAlignment w:val="center"/>
              <w:rPr>
                <w:rFonts w:ascii="Times New Roman"/>
                <w:bCs w:val="0"/>
                <w:snapToGrid w:val="0"/>
                <w:color w:val="auto"/>
                <w:kern w:val="21"/>
                <w:szCs w:val="21"/>
                <w:highlight w:val="none"/>
              </w:rPr>
            </w:pPr>
            <w:r>
              <w:rPr>
                <w:rFonts w:hint="default" w:ascii="Times New Roman" w:hAnsi="Times New Roman" w:eastAsia="宋体" w:cs="Times New Roman"/>
                <w:i w:val="0"/>
                <w:iCs w:val="0"/>
                <w:color w:val="auto"/>
                <w:kern w:val="0"/>
                <w:sz w:val="20"/>
                <w:szCs w:val="20"/>
                <w:highlight w:val="none"/>
                <w:u w:val="none"/>
                <w:lang w:val="en-US" w:eastAsia="zh-CN" w:bidi="ar"/>
              </w:rPr>
              <w:t>0</w:t>
            </w:r>
          </w:p>
        </w:tc>
        <w:tc>
          <w:tcPr>
            <w:tcW w:w="567" w:type="pct"/>
            <w:vAlign w:val="center"/>
          </w:tcPr>
          <w:p>
            <w:pPr>
              <w:keepNext w:val="0"/>
              <w:keepLines w:val="0"/>
              <w:widowControl/>
              <w:suppressLineNumbers w:val="0"/>
              <w:jc w:val="center"/>
              <w:textAlignment w:val="center"/>
              <w:rPr>
                <w:rFonts w:hint="default" w:ascii="Times New Roman" w:hAnsi="Times New Roman" w:eastAsia="宋体" w:cs="Times New Roman"/>
                <w:bCs/>
                <w:snapToGrid w:val="0"/>
                <w:color w:val="auto"/>
                <w:kern w:val="21"/>
                <w:sz w:val="21"/>
                <w:szCs w:val="21"/>
                <w:highlight w:val="none"/>
                <w:lang w:val="en-US" w:eastAsia="zh-CN" w:bidi="ar-SA"/>
              </w:rPr>
            </w:pPr>
            <w:r>
              <w:rPr>
                <w:rFonts w:hint="eastAsia" w:cs="Times New Roman"/>
                <w:i w:val="0"/>
                <w:iCs w:val="0"/>
                <w:color w:val="auto"/>
                <w:kern w:val="0"/>
                <w:sz w:val="21"/>
                <w:szCs w:val="21"/>
                <w:highlight w:val="none"/>
                <w:u w:val="none"/>
                <w:lang w:val="en-US" w:eastAsia="zh-CN" w:bidi="ar"/>
              </w:rPr>
              <w:t>0.000094</w:t>
            </w:r>
          </w:p>
        </w:tc>
        <w:tc>
          <w:tcPr>
            <w:tcW w:w="399" w:type="pct"/>
            <w:vAlign w:val="center"/>
          </w:tcPr>
          <w:p>
            <w:pPr>
              <w:keepNext w:val="0"/>
              <w:keepLines w:val="0"/>
              <w:widowControl/>
              <w:suppressLineNumbers w:val="0"/>
              <w:jc w:val="center"/>
              <w:textAlignment w:val="center"/>
              <w:rPr>
                <w:rFonts w:hint="default" w:ascii="Times New Roman" w:hAnsi="Times New Roman" w:eastAsia="宋体" w:cs="Times New Roman"/>
                <w:bCs/>
                <w:snapToGrid w:val="0"/>
                <w:color w:val="auto"/>
                <w:kern w:val="21"/>
                <w:sz w:val="21"/>
                <w:szCs w:val="21"/>
                <w:highlight w:val="none"/>
                <w:lang w:val="en-US" w:eastAsia="zh-CN" w:bidi="ar-SA"/>
              </w:rPr>
            </w:pPr>
            <w:r>
              <w:rPr>
                <w:rFonts w:hint="eastAsia" w:cs="Times New Roman"/>
                <w:i w:val="0"/>
                <w:iCs w:val="0"/>
                <w:color w:val="auto"/>
                <w:kern w:val="0"/>
                <w:sz w:val="21"/>
                <w:szCs w:val="21"/>
                <w:highlight w:val="none"/>
                <w:u w:val="none"/>
                <w:lang w:val="en-US" w:eastAsia="zh-CN" w:bidi="ar"/>
              </w:rPr>
              <w:t>0.000094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5" w:type="pct"/>
            <w:vMerge w:val="restart"/>
            <w:vAlign w:val="center"/>
          </w:tcPr>
          <w:p>
            <w:pPr>
              <w:pStyle w:val="63"/>
              <w:adjustRightInd/>
              <w:ind w:left="420" w:hanging="420"/>
              <w:jc w:val="center"/>
              <w:rPr>
                <w:color w:val="auto"/>
                <w:sz w:val="21"/>
                <w:highlight w:val="none"/>
              </w:rPr>
            </w:pPr>
            <w:r>
              <w:rPr>
                <w:color w:val="auto"/>
                <w:sz w:val="21"/>
                <w:highlight w:val="none"/>
              </w:rPr>
              <w:t>废水</w:t>
            </w:r>
          </w:p>
        </w:tc>
        <w:tc>
          <w:tcPr>
            <w:tcW w:w="651" w:type="pct"/>
            <w:vAlign w:val="center"/>
          </w:tcPr>
          <w:p>
            <w:pPr>
              <w:pStyle w:val="63"/>
              <w:adjustRightInd/>
              <w:ind w:left="420" w:hanging="420"/>
              <w:jc w:val="center"/>
              <w:rPr>
                <w:color w:val="auto"/>
                <w:sz w:val="21"/>
                <w:szCs w:val="21"/>
                <w:highlight w:val="none"/>
              </w:rPr>
            </w:pPr>
            <w:r>
              <w:rPr>
                <w:color w:val="auto"/>
                <w:sz w:val="21"/>
                <w:szCs w:val="21"/>
                <w:highlight w:val="none"/>
              </w:rPr>
              <w:t>COD</w:t>
            </w:r>
          </w:p>
        </w:tc>
        <w:tc>
          <w:tcPr>
            <w:tcW w:w="790"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r>
              <w:rPr>
                <w:rFonts w:hint="default" w:ascii="Times New Roman" w:hAnsi="Times New Roman" w:eastAsia="宋体" w:cs="Times New Roman"/>
                <w:bCs/>
                <w:snapToGrid w:val="0"/>
                <w:color w:val="auto"/>
                <w:kern w:val="21"/>
                <w:sz w:val="21"/>
                <w:szCs w:val="21"/>
                <w:highlight w:val="none"/>
                <w:lang w:val="en-US" w:eastAsia="zh-CN" w:bidi="ar-SA"/>
              </w:rPr>
              <w:t>0.08</w:t>
            </w:r>
          </w:p>
        </w:tc>
        <w:tc>
          <w:tcPr>
            <w:tcW w:w="454" w:type="pct"/>
            <w:vAlign w:val="center"/>
          </w:tcPr>
          <w:p>
            <w:pPr>
              <w:pStyle w:val="53"/>
              <w:spacing w:beforeLines="0" w:afterLines="0"/>
              <w:ind w:left="400" w:hanging="400" w:hangingChars="200"/>
              <w:rPr>
                <w:rFonts w:ascii="Times New Roman"/>
                <w:bCs w:val="0"/>
                <w:snapToGrid w:val="0"/>
                <w:color w:val="auto"/>
                <w:kern w:val="21"/>
                <w:szCs w:val="21"/>
                <w:highlight w:val="none"/>
              </w:rPr>
            </w:pPr>
          </w:p>
        </w:tc>
        <w:tc>
          <w:tcPr>
            <w:tcW w:w="676" w:type="pct"/>
            <w:vAlign w:val="center"/>
          </w:tcPr>
          <w:p>
            <w:pPr>
              <w:pStyle w:val="53"/>
              <w:spacing w:beforeLines="0" w:afterLines="0"/>
              <w:ind w:left="400" w:hanging="400" w:hangingChars="200"/>
              <w:rPr>
                <w:rFonts w:ascii="Times New Roman"/>
                <w:bCs w:val="0"/>
                <w:snapToGrid w:val="0"/>
                <w:color w:val="auto"/>
                <w:kern w:val="21"/>
                <w:szCs w:val="21"/>
                <w:highlight w:val="none"/>
              </w:rPr>
            </w:pPr>
          </w:p>
        </w:tc>
        <w:tc>
          <w:tcPr>
            <w:tcW w:w="568" w:type="pct"/>
            <w:vAlign w:val="center"/>
          </w:tcPr>
          <w:p>
            <w:pPr>
              <w:snapToGrid w:val="0"/>
              <w:jc w:val="center"/>
              <w:rPr>
                <w:rFonts w:hint="eastAsia" w:eastAsia="宋体"/>
                <w:bCs/>
                <w:snapToGrid w:val="0"/>
                <w:color w:val="auto"/>
                <w:kern w:val="21"/>
                <w:szCs w:val="21"/>
                <w:highlight w:val="none"/>
                <w:lang w:eastAsia="zh-CN"/>
              </w:rPr>
            </w:pPr>
            <w:r>
              <w:rPr>
                <w:rFonts w:hint="eastAsia"/>
                <w:bCs/>
                <w:snapToGrid w:val="0"/>
                <w:color w:val="auto"/>
                <w:kern w:val="21"/>
                <w:szCs w:val="21"/>
                <w:highlight w:val="none"/>
                <w:lang w:eastAsia="zh-CN"/>
              </w:rPr>
              <w:t>0.0625</w:t>
            </w:r>
          </w:p>
        </w:tc>
        <w:tc>
          <w:tcPr>
            <w:tcW w:w="586" w:type="pct"/>
            <w:vAlign w:val="center"/>
          </w:tcPr>
          <w:p>
            <w:pPr>
              <w:keepNext w:val="0"/>
              <w:keepLines w:val="0"/>
              <w:widowControl/>
              <w:suppressLineNumbers w:val="0"/>
              <w:jc w:val="center"/>
              <w:textAlignment w:val="center"/>
              <w:rPr>
                <w:rFonts w:ascii="Times New Roman"/>
                <w:bCs w:val="0"/>
                <w:snapToGrid w:val="0"/>
                <w:color w:val="auto"/>
                <w:kern w:val="21"/>
                <w:szCs w:val="21"/>
                <w:highlight w:val="none"/>
              </w:rPr>
            </w:pPr>
            <w:r>
              <w:rPr>
                <w:rFonts w:hint="default" w:ascii="Times New Roman" w:hAnsi="Times New Roman" w:eastAsia="宋体" w:cs="Times New Roman"/>
                <w:i w:val="0"/>
                <w:iCs w:val="0"/>
                <w:color w:val="auto"/>
                <w:kern w:val="0"/>
                <w:sz w:val="20"/>
                <w:szCs w:val="20"/>
                <w:highlight w:val="none"/>
                <w:u w:val="none"/>
                <w:lang w:val="en-US" w:eastAsia="zh-CN" w:bidi="ar"/>
              </w:rPr>
              <w:t>0</w:t>
            </w:r>
          </w:p>
        </w:tc>
        <w:tc>
          <w:tcPr>
            <w:tcW w:w="567" w:type="pct"/>
            <w:vAlign w:val="center"/>
          </w:tcPr>
          <w:p>
            <w:pPr>
              <w:keepNext w:val="0"/>
              <w:keepLines w:val="0"/>
              <w:widowControl/>
              <w:suppressLineNumbers w:val="0"/>
              <w:jc w:val="center"/>
              <w:textAlignment w:val="center"/>
              <w:rPr>
                <w:rFonts w:hint="eastAsia" w:ascii="Times New Roman" w:hAnsi="Times New Roman" w:eastAsia="宋体" w:cs="Times New Roman"/>
                <w:bCs/>
                <w:snapToGrid w:val="0"/>
                <w:color w:val="auto"/>
                <w:kern w:val="21"/>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0.1425</w:t>
            </w:r>
          </w:p>
        </w:tc>
        <w:tc>
          <w:tcPr>
            <w:tcW w:w="399" w:type="pct"/>
            <w:vAlign w:val="center"/>
          </w:tcPr>
          <w:p>
            <w:pPr>
              <w:keepNext w:val="0"/>
              <w:keepLines w:val="0"/>
              <w:widowControl/>
              <w:suppressLineNumbers w:val="0"/>
              <w:jc w:val="center"/>
              <w:textAlignment w:val="center"/>
              <w:rPr>
                <w:rFonts w:hint="eastAsia" w:ascii="Times New Roman" w:hAnsi="Times New Roman" w:eastAsia="宋体" w:cs="Times New Roman"/>
                <w:bCs/>
                <w:snapToGrid w:val="0"/>
                <w:color w:val="auto"/>
                <w:kern w:val="21"/>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0.0625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5" w:type="pct"/>
            <w:vMerge w:val="continue"/>
            <w:vAlign w:val="center"/>
          </w:tcPr>
          <w:p>
            <w:pPr>
              <w:pStyle w:val="63"/>
              <w:adjustRightInd/>
              <w:ind w:left="420" w:hanging="420"/>
              <w:jc w:val="center"/>
              <w:rPr>
                <w:color w:val="auto"/>
                <w:sz w:val="21"/>
                <w:highlight w:val="none"/>
              </w:rPr>
            </w:pPr>
          </w:p>
        </w:tc>
        <w:tc>
          <w:tcPr>
            <w:tcW w:w="651" w:type="pct"/>
            <w:vAlign w:val="center"/>
          </w:tcPr>
          <w:p>
            <w:pPr>
              <w:pStyle w:val="63"/>
              <w:adjustRightInd/>
              <w:snapToGrid w:val="0"/>
              <w:jc w:val="center"/>
              <w:rPr>
                <w:color w:val="auto"/>
                <w:sz w:val="21"/>
                <w:szCs w:val="21"/>
                <w:highlight w:val="none"/>
              </w:rPr>
            </w:pPr>
            <w:r>
              <w:rPr>
                <w:color w:val="auto"/>
                <w:sz w:val="21"/>
                <w:szCs w:val="21"/>
                <w:highlight w:val="none"/>
              </w:rPr>
              <w:t>SS</w:t>
            </w:r>
          </w:p>
        </w:tc>
        <w:tc>
          <w:tcPr>
            <w:tcW w:w="790"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r>
              <w:rPr>
                <w:rFonts w:hint="default" w:ascii="Times New Roman" w:hAnsi="Times New Roman" w:eastAsia="宋体" w:cs="Times New Roman"/>
                <w:bCs/>
                <w:snapToGrid w:val="0"/>
                <w:color w:val="auto"/>
                <w:kern w:val="21"/>
                <w:sz w:val="21"/>
                <w:szCs w:val="21"/>
                <w:highlight w:val="none"/>
                <w:lang w:val="en-US" w:eastAsia="zh-CN" w:bidi="ar-SA"/>
              </w:rPr>
              <w:t>0.04</w:t>
            </w:r>
          </w:p>
        </w:tc>
        <w:tc>
          <w:tcPr>
            <w:tcW w:w="454" w:type="pct"/>
            <w:vAlign w:val="center"/>
          </w:tcPr>
          <w:p>
            <w:pPr>
              <w:pStyle w:val="53"/>
              <w:spacing w:beforeLines="0" w:afterLines="0"/>
              <w:ind w:left="400" w:hanging="400" w:hangingChars="200"/>
              <w:rPr>
                <w:rFonts w:ascii="Times New Roman"/>
                <w:bCs w:val="0"/>
                <w:snapToGrid w:val="0"/>
                <w:color w:val="auto"/>
                <w:kern w:val="21"/>
                <w:szCs w:val="21"/>
                <w:highlight w:val="none"/>
              </w:rPr>
            </w:pPr>
          </w:p>
        </w:tc>
        <w:tc>
          <w:tcPr>
            <w:tcW w:w="676" w:type="pct"/>
            <w:vAlign w:val="center"/>
          </w:tcPr>
          <w:p>
            <w:pPr>
              <w:pStyle w:val="53"/>
              <w:spacing w:beforeLines="0" w:afterLines="0"/>
              <w:ind w:left="400" w:hanging="400" w:hangingChars="200"/>
              <w:rPr>
                <w:rFonts w:ascii="Times New Roman"/>
                <w:bCs w:val="0"/>
                <w:snapToGrid w:val="0"/>
                <w:color w:val="auto"/>
                <w:kern w:val="21"/>
                <w:szCs w:val="21"/>
                <w:highlight w:val="none"/>
              </w:rPr>
            </w:pPr>
          </w:p>
        </w:tc>
        <w:tc>
          <w:tcPr>
            <w:tcW w:w="568" w:type="pct"/>
            <w:vAlign w:val="center"/>
          </w:tcPr>
          <w:p>
            <w:pPr>
              <w:snapToGrid w:val="0"/>
              <w:jc w:val="center"/>
              <w:rPr>
                <w:rFonts w:hint="default" w:eastAsia="宋体"/>
                <w:bCs/>
                <w:snapToGrid w:val="0"/>
                <w:color w:val="auto"/>
                <w:kern w:val="21"/>
                <w:szCs w:val="21"/>
                <w:highlight w:val="none"/>
                <w:lang w:val="en-US" w:eastAsia="zh-CN"/>
              </w:rPr>
            </w:pPr>
            <w:r>
              <w:rPr>
                <w:bCs/>
                <w:snapToGrid w:val="0"/>
                <w:color w:val="auto"/>
                <w:kern w:val="21"/>
                <w:szCs w:val="21"/>
                <w:highlight w:val="none"/>
              </w:rPr>
              <w:t>0.</w:t>
            </w:r>
            <w:r>
              <w:rPr>
                <w:rFonts w:hint="eastAsia"/>
                <w:bCs/>
                <w:snapToGrid w:val="0"/>
                <w:color w:val="auto"/>
                <w:kern w:val="21"/>
                <w:szCs w:val="21"/>
                <w:highlight w:val="none"/>
                <w:lang w:val="en-US" w:eastAsia="zh-CN"/>
              </w:rPr>
              <w:t>041</w:t>
            </w:r>
          </w:p>
        </w:tc>
        <w:tc>
          <w:tcPr>
            <w:tcW w:w="586" w:type="pct"/>
            <w:vAlign w:val="center"/>
          </w:tcPr>
          <w:p>
            <w:pPr>
              <w:keepNext w:val="0"/>
              <w:keepLines w:val="0"/>
              <w:widowControl/>
              <w:suppressLineNumbers w:val="0"/>
              <w:jc w:val="center"/>
              <w:textAlignment w:val="center"/>
              <w:rPr>
                <w:rFonts w:ascii="Times New Roman"/>
                <w:bCs w:val="0"/>
                <w:snapToGrid w:val="0"/>
                <w:color w:val="auto"/>
                <w:kern w:val="21"/>
                <w:szCs w:val="21"/>
                <w:highlight w:val="none"/>
              </w:rPr>
            </w:pPr>
            <w:r>
              <w:rPr>
                <w:rFonts w:hint="default" w:ascii="Times New Roman" w:hAnsi="Times New Roman" w:eastAsia="宋体" w:cs="Times New Roman"/>
                <w:i w:val="0"/>
                <w:iCs w:val="0"/>
                <w:color w:val="auto"/>
                <w:kern w:val="0"/>
                <w:sz w:val="20"/>
                <w:szCs w:val="20"/>
                <w:highlight w:val="none"/>
                <w:u w:val="none"/>
                <w:lang w:val="en-US" w:eastAsia="zh-CN" w:bidi="ar"/>
              </w:rPr>
              <w:t>0</w:t>
            </w:r>
          </w:p>
        </w:tc>
        <w:tc>
          <w:tcPr>
            <w:tcW w:w="567" w:type="pct"/>
            <w:vAlign w:val="center"/>
          </w:tcPr>
          <w:p>
            <w:pPr>
              <w:keepNext w:val="0"/>
              <w:keepLines w:val="0"/>
              <w:widowControl/>
              <w:suppressLineNumbers w:val="0"/>
              <w:jc w:val="center"/>
              <w:textAlignment w:val="center"/>
              <w:rPr>
                <w:rFonts w:hint="default" w:ascii="Times New Roman" w:hAnsi="Times New Roman" w:eastAsia="宋体" w:cs="Times New Roman"/>
                <w:bCs/>
                <w:snapToGrid w:val="0"/>
                <w:color w:val="auto"/>
                <w:kern w:val="21"/>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0.081</w:t>
            </w:r>
          </w:p>
        </w:tc>
        <w:tc>
          <w:tcPr>
            <w:tcW w:w="399" w:type="pct"/>
            <w:vAlign w:val="center"/>
          </w:tcPr>
          <w:p>
            <w:pPr>
              <w:keepNext w:val="0"/>
              <w:keepLines w:val="0"/>
              <w:widowControl/>
              <w:suppressLineNumbers w:val="0"/>
              <w:jc w:val="center"/>
              <w:textAlignment w:val="center"/>
              <w:rPr>
                <w:rFonts w:hint="default" w:ascii="Times New Roman" w:hAnsi="Times New Roman" w:eastAsia="宋体" w:cs="Times New Roman"/>
                <w:bCs/>
                <w:snapToGrid w:val="0"/>
                <w:color w:val="auto"/>
                <w:kern w:val="21"/>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0.041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5" w:type="pct"/>
            <w:vMerge w:val="continue"/>
            <w:vAlign w:val="center"/>
          </w:tcPr>
          <w:p>
            <w:pPr>
              <w:pStyle w:val="63"/>
              <w:adjustRightInd/>
              <w:ind w:left="420" w:hanging="420"/>
              <w:jc w:val="center"/>
              <w:rPr>
                <w:color w:val="auto"/>
                <w:sz w:val="21"/>
                <w:highlight w:val="none"/>
              </w:rPr>
            </w:pPr>
          </w:p>
        </w:tc>
        <w:tc>
          <w:tcPr>
            <w:tcW w:w="651" w:type="pct"/>
            <w:vAlign w:val="center"/>
          </w:tcPr>
          <w:p>
            <w:pPr>
              <w:pStyle w:val="63"/>
              <w:adjustRightInd/>
              <w:snapToGrid w:val="0"/>
              <w:jc w:val="center"/>
              <w:rPr>
                <w:color w:val="auto"/>
                <w:sz w:val="21"/>
                <w:szCs w:val="21"/>
                <w:highlight w:val="none"/>
              </w:rPr>
            </w:pPr>
            <w:r>
              <w:rPr>
                <w:color w:val="auto"/>
                <w:sz w:val="21"/>
                <w:szCs w:val="21"/>
                <w:highlight w:val="none"/>
              </w:rPr>
              <w:t>BOD</w:t>
            </w:r>
            <w:r>
              <w:rPr>
                <w:color w:val="auto"/>
                <w:sz w:val="21"/>
                <w:szCs w:val="21"/>
                <w:highlight w:val="none"/>
                <w:vertAlign w:val="subscript"/>
              </w:rPr>
              <w:t>5</w:t>
            </w:r>
          </w:p>
        </w:tc>
        <w:tc>
          <w:tcPr>
            <w:tcW w:w="790"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r>
              <w:rPr>
                <w:rFonts w:hint="default" w:ascii="Times New Roman" w:hAnsi="Times New Roman" w:eastAsia="宋体" w:cs="Times New Roman"/>
                <w:bCs/>
                <w:snapToGrid w:val="0"/>
                <w:color w:val="auto"/>
                <w:kern w:val="21"/>
                <w:sz w:val="21"/>
                <w:szCs w:val="21"/>
                <w:highlight w:val="none"/>
                <w:lang w:val="en-US" w:eastAsia="zh-CN" w:bidi="ar-SA"/>
              </w:rPr>
              <w:t>0.03</w:t>
            </w:r>
          </w:p>
        </w:tc>
        <w:tc>
          <w:tcPr>
            <w:tcW w:w="454" w:type="pct"/>
            <w:vAlign w:val="center"/>
          </w:tcPr>
          <w:p>
            <w:pPr>
              <w:pStyle w:val="53"/>
              <w:spacing w:beforeLines="0" w:afterLines="0"/>
              <w:ind w:left="400" w:hanging="400" w:hangingChars="200"/>
              <w:rPr>
                <w:rFonts w:ascii="Times New Roman"/>
                <w:bCs w:val="0"/>
                <w:snapToGrid w:val="0"/>
                <w:color w:val="auto"/>
                <w:kern w:val="21"/>
                <w:szCs w:val="21"/>
                <w:highlight w:val="none"/>
              </w:rPr>
            </w:pPr>
          </w:p>
        </w:tc>
        <w:tc>
          <w:tcPr>
            <w:tcW w:w="676" w:type="pct"/>
            <w:vAlign w:val="center"/>
          </w:tcPr>
          <w:p>
            <w:pPr>
              <w:pStyle w:val="53"/>
              <w:spacing w:beforeLines="0" w:afterLines="0"/>
              <w:ind w:left="400" w:hanging="400" w:hangingChars="200"/>
              <w:rPr>
                <w:rFonts w:ascii="Times New Roman"/>
                <w:bCs w:val="0"/>
                <w:snapToGrid w:val="0"/>
                <w:color w:val="auto"/>
                <w:kern w:val="21"/>
                <w:szCs w:val="21"/>
                <w:highlight w:val="none"/>
              </w:rPr>
            </w:pPr>
          </w:p>
        </w:tc>
        <w:tc>
          <w:tcPr>
            <w:tcW w:w="568" w:type="pct"/>
            <w:vAlign w:val="center"/>
          </w:tcPr>
          <w:p>
            <w:pPr>
              <w:snapToGrid w:val="0"/>
              <w:jc w:val="center"/>
              <w:rPr>
                <w:rFonts w:hint="eastAsia" w:eastAsia="宋体"/>
                <w:bCs/>
                <w:snapToGrid w:val="0"/>
                <w:color w:val="auto"/>
                <w:kern w:val="21"/>
                <w:szCs w:val="21"/>
                <w:highlight w:val="none"/>
                <w:lang w:eastAsia="zh-CN"/>
              </w:rPr>
            </w:pPr>
            <w:r>
              <w:rPr>
                <w:bCs/>
                <w:snapToGrid w:val="0"/>
                <w:color w:val="auto"/>
                <w:kern w:val="21"/>
                <w:szCs w:val="21"/>
                <w:highlight w:val="none"/>
              </w:rPr>
              <w:t>0.0</w:t>
            </w:r>
            <w:r>
              <w:rPr>
                <w:rFonts w:hint="eastAsia"/>
                <w:bCs/>
                <w:snapToGrid w:val="0"/>
                <w:color w:val="auto"/>
                <w:kern w:val="21"/>
                <w:szCs w:val="21"/>
                <w:highlight w:val="none"/>
                <w:lang w:val="en-US" w:eastAsia="zh-CN"/>
              </w:rPr>
              <w:t>3</w:t>
            </w:r>
          </w:p>
        </w:tc>
        <w:tc>
          <w:tcPr>
            <w:tcW w:w="586" w:type="pct"/>
            <w:vAlign w:val="center"/>
          </w:tcPr>
          <w:p>
            <w:pPr>
              <w:keepNext w:val="0"/>
              <w:keepLines w:val="0"/>
              <w:widowControl/>
              <w:suppressLineNumbers w:val="0"/>
              <w:jc w:val="center"/>
              <w:textAlignment w:val="center"/>
              <w:rPr>
                <w:rFonts w:ascii="Times New Roman"/>
                <w:bCs w:val="0"/>
                <w:snapToGrid w:val="0"/>
                <w:color w:val="auto"/>
                <w:kern w:val="21"/>
                <w:szCs w:val="21"/>
                <w:highlight w:val="none"/>
              </w:rPr>
            </w:pPr>
            <w:r>
              <w:rPr>
                <w:rFonts w:hint="default" w:ascii="Times New Roman" w:hAnsi="Times New Roman" w:eastAsia="宋体" w:cs="Times New Roman"/>
                <w:i w:val="0"/>
                <w:iCs w:val="0"/>
                <w:color w:val="auto"/>
                <w:kern w:val="0"/>
                <w:sz w:val="20"/>
                <w:szCs w:val="20"/>
                <w:highlight w:val="none"/>
                <w:u w:val="none"/>
                <w:lang w:val="en-US" w:eastAsia="zh-CN" w:bidi="ar"/>
              </w:rPr>
              <w:t>0</w:t>
            </w:r>
          </w:p>
        </w:tc>
        <w:tc>
          <w:tcPr>
            <w:tcW w:w="567" w:type="pct"/>
            <w:vAlign w:val="center"/>
          </w:tcPr>
          <w:p>
            <w:pPr>
              <w:keepNext w:val="0"/>
              <w:keepLines w:val="0"/>
              <w:widowControl/>
              <w:suppressLineNumbers w:val="0"/>
              <w:jc w:val="center"/>
              <w:textAlignment w:val="center"/>
              <w:rPr>
                <w:rFonts w:hint="eastAsia" w:ascii="Times New Roman" w:hAnsi="Times New Roman" w:eastAsia="宋体" w:cs="Times New Roman"/>
                <w:bCs/>
                <w:snapToGrid w:val="0"/>
                <w:color w:val="auto"/>
                <w:kern w:val="21"/>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0.06</w:t>
            </w:r>
          </w:p>
        </w:tc>
        <w:tc>
          <w:tcPr>
            <w:tcW w:w="399" w:type="pct"/>
            <w:vAlign w:val="center"/>
          </w:tcPr>
          <w:p>
            <w:pPr>
              <w:keepNext w:val="0"/>
              <w:keepLines w:val="0"/>
              <w:widowControl/>
              <w:suppressLineNumbers w:val="0"/>
              <w:jc w:val="center"/>
              <w:textAlignment w:val="center"/>
              <w:rPr>
                <w:rFonts w:hint="eastAsia" w:ascii="Times New Roman" w:hAnsi="Times New Roman" w:eastAsia="宋体" w:cs="Times New Roman"/>
                <w:bCs/>
                <w:snapToGrid w:val="0"/>
                <w:color w:val="auto"/>
                <w:kern w:val="21"/>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0.03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5" w:type="pct"/>
            <w:vMerge w:val="continue"/>
            <w:vAlign w:val="center"/>
          </w:tcPr>
          <w:p>
            <w:pPr>
              <w:pStyle w:val="63"/>
              <w:adjustRightInd/>
              <w:ind w:left="420" w:hanging="420"/>
              <w:jc w:val="center"/>
              <w:rPr>
                <w:color w:val="auto"/>
                <w:sz w:val="21"/>
                <w:highlight w:val="none"/>
              </w:rPr>
            </w:pPr>
          </w:p>
        </w:tc>
        <w:tc>
          <w:tcPr>
            <w:tcW w:w="651" w:type="pct"/>
            <w:vAlign w:val="center"/>
          </w:tcPr>
          <w:p>
            <w:pPr>
              <w:pStyle w:val="63"/>
              <w:adjustRightInd/>
              <w:snapToGrid w:val="0"/>
              <w:jc w:val="center"/>
              <w:rPr>
                <w:color w:val="auto"/>
                <w:sz w:val="21"/>
                <w:szCs w:val="21"/>
                <w:highlight w:val="none"/>
              </w:rPr>
            </w:pPr>
            <w:r>
              <w:rPr>
                <w:color w:val="auto"/>
                <w:sz w:val="21"/>
                <w:szCs w:val="21"/>
                <w:highlight w:val="none"/>
              </w:rPr>
              <w:t>氨氮</w:t>
            </w:r>
          </w:p>
        </w:tc>
        <w:tc>
          <w:tcPr>
            <w:tcW w:w="790"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r>
              <w:rPr>
                <w:rFonts w:hint="default" w:ascii="Times New Roman" w:hAnsi="Times New Roman" w:eastAsia="宋体" w:cs="Times New Roman"/>
                <w:bCs/>
                <w:snapToGrid w:val="0"/>
                <w:color w:val="auto"/>
                <w:kern w:val="21"/>
                <w:sz w:val="21"/>
                <w:szCs w:val="21"/>
                <w:highlight w:val="none"/>
                <w:lang w:val="en-US" w:eastAsia="zh-CN" w:bidi="ar-SA"/>
              </w:rPr>
              <w:t>0.005</w:t>
            </w:r>
          </w:p>
        </w:tc>
        <w:tc>
          <w:tcPr>
            <w:tcW w:w="454" w:type="pct"/>
            <w:vAlign w:val="center"/>
          </w:tcPr>
          <w:p>
            <w:pPr>
              <w:pStyle w:val="53"/>
              <w:spacing w:beforeLines="0" w:afterLines="0"/>
              <w:ind w:left="400" w:hanging="400" w:hangingChars="200"/>
              <w:rPr>
                <w:rFonts w:ascii="Times New Roman"/>
                <w:bCs w:val="0"/>
                <w:snapToGrid w:val="0"/>
                <w:color w:val="auto"/>
                <w:kern w:val="21"/>
                <w:szCs w:val="21"/>
                <w:highlight w:val="none"/>
              </w:rPr>
            </w:pPr>
          </w:p>
        </w:tc>
        <w:tc>
          <w:tcPr>
            <w:tcW w:w="676" w:type="pct"/>
            <w:vAlign w:val="center"/>
          </w:tcPr>
          <w:p>
            <w:pPr>
              <w:pStyle w:val="53"/>
              <w:spacing w:beforeLines="0" w:afterLines="0"/>
              <w:ind w:left="400" w:hanging="400" w:hangingChars="200"/>
              <w:rPr>
                <w:rFonts w:ascii="Times New Roman"/>
                <w:bCs w:val="0"/>
                <w:snapToGrid w:val="0"/>
                <w:color w:val="auto"/>
                <w:kern w:val="21"/>
                <w:szCs w:val="21"/>
                <w:highlight w:val="none"/>
              </w:rPr>
            </w:pPr>
          </w:p>
        </w:tc>
        <w:tc>
          <w:tcPr>
            <w:tcW w:w="568" w:type="pct"/>
            <w:vAlign w:val="center"/>
          </w:tcPr>
          <w:p>
            <w:pPr>
              <w:snapToGrid w:val="0"/>
              <w:jc w:val="center"/>
              <w:rPr>
                <w:rFonts w:hint="eastAsia" w:eastAsia="宋体"/>
                <w:bCs/>
                <w:snapToGrid w:val="0"/>
                <w:color w:val="auto"/>
                <w:kern w:val="21"/>
                <w:szCs w:val="21"/>
                <w:highlight w:val="none"/>
                <w:lang w:eastAsia="zh-CN"/>
              </w:rPr>
            </w:pPr>
            <w:r>
              <w:rPr>
                <w:bCs/>
                <w:snapToGrid w:val="0"/>
                <w:color w:val="auto"/>
                <w:kern w:val="21"/>
                <w:szCs w:val="21"/>
                <w:highlight w:val="none"/>
              </w:rPr>
              <w:t>0.00</w:t>
            </w:r>
            <w:r>
              <w:rPr>
                <w:rFonts w:hint="eastAsia"/>
                <w:bCs/>
                <w:snapToGrid w:val="0"/>
                <w:color w:val="auto"/>
                <w:kern w:val="21"/>
                <w:szCs w:val="21"/>
                <w:highlight w:val="none"/>
                <w:lang w:val="en-US" w:eastAsia="zh-CN"/>
              </w:rPr>
              <w:t>5</w:t>
            </w:r>
          </w:p>
        </w:tc>
        <w:tc>
          <w:tcPr>
            <w:tcW w:w="586" w:type="pct"/>
            <w:vAlign w:val="center"/>
          </w:tcPr>
          <w:p>
            <w:pPr>
              <w:keepNext w:val="0"/>
              <w:keepLines w:val="0"/>
              <w:widowControl/>
              <w:suppressLineNumbers w:val="0"/>
              <w:jc w:val="center"/>
              <w:textAlignment w:val="center"/>
              <w:rPr>
                <w:rFonts w:ascii="Times New Roman"/>
                <w:bCs w:val="0"/>
                <w:snapToGrid w:val="0"/>
                <w:color w:val="auto"/>
                <w:kern w:val="21"/>
                <w:szCs w:val="21"/>
                <w:highlight w:val="none"/>
              </w:rPr>
            </w:pPr>
            <w:r>
              <w:rPr>
                <w:rFonts w:hint="default" w:ascii="Times New Roman" w:hAnsi="Times New Roman" w:eastAsia="宋体" w:cs="Times New Roman"/>
                <w:i w:val="0"/>
                <w:iCs w:val="0"/>
                <w:color w:val="auto"/>
                <w:kern w:val="0"/>
                <w:sz w:val="20"/>
                <w:szCs w:val="20"/>
                <w:highlight w:val="none"/>
                <w:u w:val="none"/>
                <w:lang w:val="en-US" w:eastAsia="zh-CN" w:bidi="ar"/>
              </w:rPr>
              <w:t>0</w:t>
            </w:r>
          </w:p>
        </w:tc>
        <w:tc>
          <w:tcPr>
            <w:tcW w:w="567" w:type="pct"/>
            <w:vAlign w:val="center"/>
          </w:tcPr>
          <w:p>
            <w:pPr>
              <w:keepNext w:val="0"/>
              <w:keepLines w:val="0"/>
              <w:widowControl/>
              <w:suppressLineNumbers w:val="0"/>
              <w:jc w:val="center"/>
              <w:textAlignment w:val="center"/>
              <w:rPr>
                <w:rFonts w:hint="eastAsia" w:ascii="Times New Roman" w:hAnsi="Times New Roman" w:eastAsia="宋体" w:cs="Times New Roman"/>
                <w:bCs/>
                <w:snapToGrid w:val="0"/>
                <w:color w:val="auto"/>
                <w:kern w:val="21"/>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0.01</w:t>
            </w:r>
          </w:p>
        </w:tc>
        <w:tc>
          <w:tcPr>
            <w:tcW w:w="399" w:type="pct"/>
            <w:vAlign w:val="center"/>
          </w:tcPr>
          <w:p>
            <w:pPr>
              <w:keepNext w:val="0"/>
              <w:keepLines w:val="0"/>
              <w:widowControl/>
              <w:suppressLineNumbers w:val="0"/>
              <w:jc w:val="center"/>
              <w:textAlignment w:val="center"/>
              <w:rPr>
                <w:rFonts w:hint="eastAsia" w:ascii="Times New Roman" w:hAnsi="Times New Roman" w:eastAsia="宋体" w:cs="Times New Roman"/>
                <w:bCs/>
                <w:snapToGrid w:val="0"/>
                <w:color w:val="auto"/>
                <w:kern w:val="21"/>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5" w:type="pct"/>
            <w:vMerge w:val="restart"/>
            <w:vAlign w:val="center"/>
          </w:tcPr>
          <w:p>
            <w:pPr>
              <w:pStyle w:val="53"/>
              <w:spacing w:beforeLines="0" w:afterLines="0" w:line="240" w:lineRule="auto"/>
              <w:ind w:firstLine="0" w:firstLineChars="0"/>
              <w:rPr>
                <w:rFonts w:ascii="Times New Roman"/>
                <w:bCs w:val="0"/>
                <w:snapToGrid w:val="0"/>
                <w:color w:val="auto"/>
                <w:kern w:val="21"/>
                <w:szCs w:val="21"/>
                <w:highlight w:val="none"/>
              </w:rPr>
            </w:pPr>
            <w:r>
              <w:rPr>
                <w:rFonts w:ascii="Times New Roman"/>
                <w:bCs w:val="0"/>
                <w:snapToGrid w:val="0"/>
                <w:color w:val="auto"/>
                <w:kern w:val="21"/>
                <w:szCs w:val="21"/>
                <w:highlight w:val="none"/>
              </w:rPr>
              <w:t>一般工业固体废物</w:t>
            </w:r>
          </w:p>
        </w:tc>
        <w:tc>
          <w:tcPr>
            <w:tcW w:w="651" w:type="pct"/>
            <w:vAlign w:val="center"/>
          </w:tcPr>
          <w:p>
            <w:pPr>
              <w:bidi w:val="0"/>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shd w:val="clear" w:color="auto" w:fill="auto"/>
                <w:lang w:val="en-US" w:eastAsia="zh-CN"/>
              </w:rPr>
              <w:t>不合格产品</w:t>
            </w:r>
          </w:p>
        </w:tc>
        <w:tc>
          <w:tcPr>
            <w:tcW w:w="790" w:type="pct"/>
            <w:vAlign w:val="center"/>
          </w:tcPr>
          <w:p>
            <w:pPr>
              <w:pStyle w:val="53"/>
              <w:spacing w:beforeLines="0" w:afterLines="0"/>
              <w:ind w:left="400" w:hanging="420" w:hangingChars="200"/>
              <w:rPr>
                <w:rFonts w:hint="eastAsia" w:ascii="Times New Roman" w:hAnsi="Times New Roman" w:eastAsia="宋体" w:cs="Times New Roman"/>
                <w:bCs/>
                <w:snapToGrid w:val="0"/>
                <w:color w:val="auto"/>
                <w:kern w:val="21"/>
                <w:sz w:val="21"/>
                <w:szCs w:val="21"/>
                <w:highlight w:val="none"/>
                <w:lang w:val="en-US" w:eastAsia="zh-CN" w:bidi="ar-SA"/>
              </w:rPr>
            </w:pPr>
            <w:r>
              <w:rPr>
                <w:rFonts w:hint="eastAsia" w:ascii="Times New Roman" w:hAnsi="Times New Roman" w:eastAsia="宋体" w:cs="Times New Roman"/>
                <w:bCs/>
                <w:snapToGrid w:val="0"/>
                <w:color w:val="auto"/>
                <w:kern w:val="21"/>
                <w:sz w:val="21"/>
                <w:szCs w:val="21"/>
                <w:highlight w:val="none"/>
                <w:lang w:val="en-US" w:eastAsia="zh-CN" w:bidi="ar-SA"/>
              </w:rPr>
              <w:t>/</w:t>
            </w:r>
          </w:p>
        </w:tc>
        <w:tc>
          <w:tcPr>
            <w:tcW w:w="454"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p>
        </w:tc>
        <w:tc>
          <w:tcPr>
            <w:tcW w:w="676"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p>
        </w:tc>
        <w:tc>
          <w:tcPr>
            <w:tcW w:w="568" w:type="pct"/>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lang w:val="en-US" w:eastAsia="zh-CN"/>
              </w:rPr>
              <w:t>5.0</w:t>
            </w:r>
          </w:p>
        </w:tc>
        <w:tc>
          <w:tcPr>
            <w:tcW w:w="586" w:type="pct"/>
            <w:vAlign w:val="center"/>
          </w:tcPr>
          <w:p>
            <w:pPr>
              <w:keepNext w:val="0"/>
              <w:keepLines w:val="0"/>
              <w:widowControl/>
              <w:suppressLineNumbers w:val="0"/>
              <w:jc w:val="center"/>
              <w:textAlignment w:val="center"/>
              <w:rPr>
                <w:rFonts w:ascii="Times New Roman"/>
                <w:bCs w:val="0"/>
                <w:snapToGrid w:val="0"/>
                <w:color w:val="auto"/>
                <w:kern w:val="21"/>
                <w:szCs w:val="21"/>
                <w:highlight w:val="none"/>
              </w:rPr>
            </w:pPr>
            <w:r>
              <w:rPr>
                <w:rFonts w:hint="default" w:ascii="Times New Roman" w:hAnsi="Times New Roman" w:eastAsia="宋体" w:cs="Times New Roman"/>
                <w:i w:val="0"/>
                <w:iCs w:val="0"/>
                <w:color w:val="auto"/>
                <w:kern w:val="0"/>
                <w:sz w:val="20"/>
                <w:szCs w:val="20"/>
                <w:highlight w:val="none"/>
                <w:u w:val="none"/>
                <w:lang w:val="en-US" w:eastAsia="zh-CN" w:bidi="ar"/>
              </w:rPr>
              <w:t>0</w:t>
            </w:r>
          </w:p>
        </w:tc>
        <w:tc>
          <w:tcPr>
            <w:tcW w:w="567" w:type="pct"/>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i w:val="0"/>
                <w:iCs w:val="0"/>
                <w:color w:val="auto"/>
                <w:kern w:val="0"/>
                <w:sz w:val="21"/>
                <w:szCs w:val="21"/>
                <w:highlight w:val="none"/>
                <w:u w:val="none"/>
                <w:lang w:val="en-US" w:eastAsia="zh-CN" w:bidi="ar"/>
              </w:rPr>
              <w:t>5</w:t>
            </w:r>
            <w:r>
              <w:rPr>
                <w:rFonts w:hint="eastAsia"/>
                <w:color w:val="auto"/>
                <w:szCs w:val="21"/>
                <w:highlight w:val="none"/>
                <w:lang w:val="en-US" w:eastAsia="zh-CN"/>
              </w:rPr>
              <w:t>.0</w:t>
            </w:r>
          </w:p>
        </w:tc>
        <w:tc>
          <w:tcPr>
            <w:tcW w:w="399" w:type="pct"/>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i w:val="0"/>
                <w:iCs w:val="0"/>
                <w:color w:val="auto"/>
                <w:kern w:val="0"/>
                <w:sz w:val="21"/>
                <w:szCs w:val="21"/>
                <w:highlight w:val="none"/>
                <w:u w:val="none"/>
                <w:lang w:val="en-US" w:eastAsia="zh-CN" w:bidi="ar"/>
              </w:rPr>
              <w:t>5</w:t>
            </w:r>
            <w:r>
              <w:rPr>
                <w:rFonts w:hint="eastAsia"/>
                <w:color w:val="auto"/>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5" w:type="pct"/>
            <w:vMerge w:val="continue"/>
            <w:vAlign w:val="center"/>
          </w:tcPr>
          <w:p>
            <w:pPr>
              <w:pStyle w:val="53"/>
              <w:spacing w:beforeLines="0" w:afterLines="0" w:line="240" w:lineRule="auto"/>
              <w:ind w:left="420" w:firstLine="400"/>
              <w:rPr>
                <w:rFonts w:ascii="Times New Roman"/>
                <w:bCs w:val="0"/>
                <w:snapToGrid w:val="0"/>
                <w:color w:val="auto"/>
                <w:kern w:val="21"/>
                <w:szCs w:val="21"/>
                <w:highlight w:val="none"/>
              </w:rPr>
            </w:pPr>
          </w:p>
        </w:tc>
        <w:tc>
          <w:tcPr>
            <w:tcW w:w="651" w:type="pct"/>
            <w:vAlign w:val="center"/>
          </w:tcPr>
          <w:p>
            <w:pPr>
              <w:keepNext w:val="0"/>
              <w:keepLines w:val="0"/>
              <w:pageBreakBefore w:val="0"/>
              <w:kinsoku/>
              <w:wordWrap/>
              <w:overflowPunct/>
              <w:topLinePunct w:val="0"/>
              <w:bidi w:val="0"/>
              <w:spacing w:line="240" w:lineRule="auto"/>
              <w:jc w:val="center"/>
              <w:textAlignment w:val="auto"/>
              <w:outlineLvl w:val="9"/>
              <w:rPr>
                <w:rFonts w:hint="default" w:ascii="Times New Roman" w:hAnsi="Times New Roman" w:eastAsia="宋体" w:cs="Times New Roman"/>
                <w:b w:val="0"/>
                <w:bCs/>
                <w:i w:val="0"/>
                <w:iCs w:val="0"/>
                <w:color w:val="auto"/>
                <w:kern w:val="2"/>
                <w:sz w:val="21"/>
                <w:szCs w:val="21"/>
                <w:highlight w:val="none"/>
                <w:u w:val="none"/>
                <w:vertAlign w:val="baseline"/>
                <w:lang w:val="en-US" w:eastAsia="zh-CN" w:bidi="ar-SA"/>
              </w:rPr>
            </w:pPr>
            <w:r>
              <w:rPr>
                <w:rFonts w:hint="default"/>
                <w:color w:val="auto"/>
                <w:sz w:val="21"/>
                <w:szCs w:val="21"/>
                <w:highlight w:val="none"/>
                <w:lang w:val="en-US" w:eastAsia="zh-CN"/>
              </w:rPr>
              <w:t>袋式除尘器废弃布袋</w:t>
            </w:r>
            <w:r>
              <w:rPr>
                <w:rFonts w:hint="eastAsia"/>
                <w:color w:val="auto"/>
                <w:sz w:val="21"/>
                <w:szCs w:val="21"/>
                <w:highlight w:val="none"/>
                <w:lang w:val="en-US" w:eastAsia="zh-CN"/>
              </w:rPr>
              <w:t>、除尘器</w:t>
            </w:r>
            <w:r>
              <w:rPr>
                <w:rFonts w:hint="default"/>
                <w:color w:val="auto"/>
                <w:sz w:val="21"/>
                <w:szCs w:val="21"/>
                <w:highlight w:val="none"/>
                <w:lang w:val="en-US" w:eastAsia="zh-CN"/>
              </w:rPr>
              <w:t>集尘粉</w:t>
            </w:r>
          </w:p>
        </w:tc>
        <w:tc>
          <w:tcPr>
            <w:tcW w:w="790" w:type="pct"/>
            <w:vAlign w:val="center"/>
          </w:tcPr>
          <w:p>
            <w:pPr>
              <w:pStyle w:val="53"/>
              <w:spacing w:beforeLines="0" w:afterLines="0"/>
              <w:ind w:left="400" w:hanging="420" w:hangingChars="200"/>
              <w:rPr>
                <w:rFonts w:hint="eastAsia" w:ascii="Times New Roman" w:hAnsi="Times New Roman" w:eastAsia="宋体" w:cs="Times New Roman"/>
                <w:bCs/>
                <w:snapToGrid w:val="0"/>
                <w:color w:val="auto"/>
                <w:kern w:val="21"/>
                <w:sz w:val="21"/>
                <w:szCs w:val="21"/>
                <w:highlight w:val="none"/>
                <w:lang w:val="en-US" w:eastAsia="zh-CN" w:bidi="ar-SA"/>
              </w:rPr>
            </w:pPr>
            <w:r>
              <w:rPr>
                <w:rFonts w:hint="default" w:ascii="Times New Roman" w:hAnsi="Times New Roman" w:eastAsia="宋体" w:cs="Times New Roman"/>
                <w:bCs/>
                <w:snapToGrid w:val="0"/>
                <w:color w:val="auto"/>
                <w:kern w:val="21"/>
                <w:sz w:val="21"/>
                <w:szCs w:val="21"/>
                <w:highlight w:val="none"/>
                <w:lang w:val="en-US" w:eastAsia="zh-CN" w:bidi="ar-SA"/>
              </w:rPr>
              <w:t>0.0001</w:t>
            </w:r>
          </w:p>
        </w:tc>
        <w:tc>
          <w:tcPr>
            <w:tcW w:w="454" w:type="pct"/>
            <w:vAlign w:val="center"/>
          </w:tcPr>
          <w:p>
            <w:pPr>
              <w:pStyle w:val="53"/>
              <w:spacing w:beforeLines="0" w:afterLines="0"/>
              <w:ind w:left="400" w:hanging="420" w:hangingChars="200"/>
              <w:rPr>
                <w:rFonts w:hint="eastAsia" w:ascii="Times New Roman" w:hAnsi="Times New Roman" w:eastAsia="宋体" w:cs="Times New Roman"/>
                <w:bCs/>
                <w:snapToGrid w:val="0"/>
                <w:color w:val="auto"/>
                <w:kern w:val="21"/>
                <w:sz w:val="21"/>
                <w:szCs w:val="21"/>
                <w:highlight w:val="none"/>
                <w:lang w:val="en-US" w:eastAsia="zh-CN" w:bidi="ar-SA"/>
              </w:rPr>
            </w:pPr>
          </w:p>
        </w:tc>
        <w:tc>
          <w:tcPr>
            <w:tcW w:w="676" w:type="pct"/>
            <w:vAlign w:val="center"/>
          </w:tcPr>
          <w:p>
            <w:pPr>
              <w:pStyle w:val="53"/>
              <w:spacing w:beforeLines="0" w:afterLines="0"/>
              <w:ind w:left="400" w:hanging="420" w:hangingChars="200"/>
              <w:rPr>
                <w:rFonts w:hint="eastAsia" w:ascii="Times New Roman" w:hAnsi="Times New Roman" w:eastAsia="宋体" w:cs="Times New Roman"/>
                <w:bCs/>
                <w:snapToGrid w:val="0"/>
                <w:color w:val="auto"/>
                <w:kern w:val="21"/>
                <w:sz w:val="21"/>
                <w:szCs w:val="21"/>
                <w:highlight w:val="none"/>
                <w:lang w:val="en-US" w:eastAsia="zh-CN" w:bidi="ar-SA"/>
              </w:rPr>
            </w:pPr>
          </w:p>
        </w:tc>
        <w:tc>
          <w:tcPr>
            <w:tcW w:w="568" w:type="pct"/>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lang w:val="en-US" w:eastAsia="zh-CN"/>
              </w:rPr>
              <w:t>0.102</w:t>
            </w:r>
          </w:p>
        </w:tc>
        <w:tc>
          <w:tcPr>
            <w:tcW w:w="586" w:type="pct"/>
            <w:vAlign w:val="center"/>
          </w:tcPr>
          <w:p>
            <w:pPr>
              <w:keepNext w:val="0"/>
              <w:keepLines w:val="0"/>
              <w:widowControl/>
              <w:suppressLineNumbers w:val="0"/>
              <w:jc w:val="center"/>
              <w:textAlignment w:val="center"/>
              <w:rPr>
                <w:rFonts w:ascii="Times New Roman" w:hAnsi="Times New Roman" w:eastAsia="宋体" w:cs="Times New Roman"/>
                <w:bCs w:val="0"/>
                <w:snapToGrid w:val="0"/>
                <w:color w:val="auto"/>
                <w:kern w:val="21"/>
                <w:sz w:val="20"/>
                <w:szCs w:val="21"/>
                <w:highlight w:val="none"/>
                <w:lang w:val="en-US" w:eastAsia="zh-CN" w:bidi="ar-SA"/>
              </w:rPr>
            </w:pPr>
            <w:r>
              <w:rPr>
                <w:rFonts w:hint="default" w:ascii="Times New Roman" w:hAnsi="Times New Roman" w:eastAsia="宋体" w:cs="Times New Roman"/>
                <w:i w:val="0"/>
                <w:iCs w:val="0"/>
                <w:color w:val="auto"/>
                <w:kern w:val="0"/>
                <w:sz w:val="20"/>
                <w:szCs w:val="20"/>
                <w:highlight w:val="none"/>
                <w:u w:val="none"/>
                <w:lang w:val="en-US" w:eastAsia="zh-CN" w:bidi="ar"/>
              </w:rPr>
              <w:t>0</w:t>
            </w:r>
          </w:p>
        </w:tc>
        <w:tc>
          <w:tcPr>
            <w:tcW w:w="567" w:type="pct"/>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0.10</w:t>
            </w:r>
            <w:r>
              <w:rPr>
                <w:rFonts w:hint="eastAsia" w:cs="Times New Roman"/>
                <w:i w:val="0"/>
                <w:iCs w:val="0"/>
                <w:color w:val="auto"/>
                <w:kern w:val="0"/>
                <w:sz w:val="21"/>
                <w:szCs w:val="21"/>
                <w:highlight w:val="none"/>
                <w:u w:val="none"/>
                <w:lang w:val="en-US" w:eastAsia="zh-CN" w:bidi="ar"/>
              </w:rPr>
              <w:t>2</w:t>
            </w:r>
            <w:r>
              <w:rPr>
                <w:rFonts w:hint="default" w:ascii="Times New Roman" w:hAnsi="Times New Roman" w:eastAsia="宋体" w:cs="Times New Roman"/>
                <w:i w:val="0"/>
                <w:iCs w:val="0"/>
                <w:color w:val="auto"/>
                <w:kern w:val="0"/>
                <w:sz w:val="21"/>
                <w:szCs w:val="21"/>
                <w:highlight w:val="none"/>
                <w:u w:val="none"/>
                <w:lang w:val="en-US" w:eastAsia="zh-CN" w:bidi="ar"/>
              </w:rPr>
              <w:t>1</w:t>
            </w:r>
          </w:p>
        </w:tc>
        <w:tc>
          <w:tcPr>
            <w:tcW w:w="399" w:type="pct"/>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0.10</w:t>
            </w:r>
            <w:r>
              <w:rPr>
                <w:rFonts w:hint="eastAsia" w:cs="Times New Roman"/>
                <w:i w:val="0"/>
                <w:iCs w:val="0"/>
                <w:color w:val="auto"/>
                <w:kern w:val="0"/>
                <w:sz w:val="21"/>
                <w:szCs w:val="21"/>
                <w:highlight w:val="none"/>
                <w:u w:val="none"/>
                <w:lang w:val="en-US" w:eastAsia="zh-CN" w:bidi="ar"/>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5" w:type="pct"/>
            <w:vMerge w:val="continue"/>
            <w:vAlign w:val="center"/>
          </w:tcPr>
          <w:p>
            <w:pPr>
              <w:pStyle w:val="53"/>
              <w:spacing w:beforeLines="0" w:afterLines="0" w:line="240" w:lineRule="auto"/>
              <w:ind w:left="420" w:firstLine="400"/>
              <w:rPr>
                <w:rFonts w:ascii="Times New Roman"/>
                <w:bCs w:val="0"/>
                <w:snapToGrid w:val="0"/>
                <w:color w:val="auto"/>
                <w:kern w:val="21"/>
                <w:szCs w:val="21"/>
                <w:highlight w:val="none"/>
              </w:rPr>
            </w:pPr>
          </w:p>
        </w:tc>
        <w:tc>
          <w:tcPr>
            <w:tcW w:w="651" w:type="pct"/>
            <w:vAlign w:val="center"/>
          </w:tcPr>
          <w:p>
            <w:pPr>
              <w:keepNext w:val="0"/>
              <w:keepLines w:val="0"/>
              <w:pageBreakBefore w:val="0"/>
              <w:kinsoku/>
              <w:wordWrap/>
              <w:overflowPunct/>
              <w:topLinePunct w:val="0"/>
              <w:bidi w:val="0"/>
              <w:spacing w:line="240" w:lineRule="auto"/>
              <w:jc w:val="center"/>
              <w:textAlignment w:val="auto"/>
              <w:outlineLvl w:val="9"/>
              <w:rPr>
                <w:rFonts w:hint="eastAsia" w:ascii="Times New Roman" w:hAnsi="Times New Roman" w:eastAsia="宋体" w:cs="Times New Roman"/>
                <w:b w:val="0"/>
                <w:bCs/>
                <w:i w:val="0"/>
                <w:iCs w:val="0"/>
                <w:color w:val="auto"/>
                <w:kern w:val="2"/>
                <w:sz w:val="21"/>
                <w:szCs w:val="21"/>
                <w:highlight w:val="none"/>
                <w:u w:val="none"/>
                <w:vertAlign w:val="baseline"/>
                <w:lang w:val="en-US" w:eastAsia="zh-CN" w:bidi="ar-SA"/>
              </w:rPr>
            </w:pPr>
            <w:r>
              <w:rPr>
                <w:rFonts w:hint="eastAsia"/>
                <w:i w:val="0"/>
                <w:iCs w:val="0"/>
                <w:color w:val="auto"/>
                <w:sz w:val="21"/>
                <w:szCs w:val="21"/>
                <w:highlight w:val="none"/>
                <w:u w:val="none"/>
                <w:lang w:val="en-US" w:eastAsia="zh-CN"/>
              </w:rPr>
              <w:t>原料废包装袋</w:t>
            </w:r>
          </w:p>
        </w:tc>
        <w:tc>
          <w:tcPr>
            <w:tcW w:w="790" w:type="pct"/>
            <w:vAlign w:val="center"/>
          </w:tcPr>
          <w:p>
            <w:pPr>
              <w:pStyle w:val="53"/>
              <w:spacing w:beforeLines="0" w:afterLines="0"/>
              <w:ind w:left="400" w:hanging="420" w:hangingChars="200"/>
              <w:rPr>
                <w:rFonts w:hint="eastAsia" w:ascii="Times New Roman" w:hAnsi="Times New Roman" w:eastAsia="宋体" w:cs="Times New Roman"/>
                <w:bCs/>
                <w:snapToGrid w:val="0"/>
                <w:color w:val="auto"/>
                <w:kern w:val="21"/>
                <w:sz w:val="21"/>
                <w:szCs w:val="21"/>
                <w:highlight w:val="none"/>
                <w:lang w:val="en-US" w:eastAsia="zh-CN" w:bidi="ar-SA"/>
              </w:rPr>
            </w:pPr>
            <w:r>
              <w:rPr>
                <w:rFonts w:hint="default" w:ascii="Times New Roman" w:hAnsi="Times New Roman" w:eastAsia="宋体" w:cs="Times New Roman"/>
                <w:bCs/>
                <w:snapToGrid w:val="0"/>
                <w:color w:val="auto"/>
                <w:kern w:val="21"/>
                <w:sz w:val="21"/>
                <w:szCs w:val="21"/>
                <w:highlight w:val="none"/>
                <w:lang w:val="en-US" w:eastAsia="zh-CN" w:bidi="ar-SA"/>
              </w:rPr>
              <w:t>0.003</w:t>
            </w:r>
          </w:p>
        </w:tc>
        <w:tc>
          <w:tcPr>
            <w:tcW w:w="454" w:type="pct"/>
            <w:vAlign w:val="center"/>
          </w:tcPr>
          <w:p>
            <w:pPr>
              <w:pStyle w:val="53"/>
              <w:spacing w:beforeLines="0" w:afterLines="0"/>
              <w:ind w:left="400" w:hanging="420" w:hangingChars="200"/>
              <w:rPr>
                <w:rFonts w:hint="eastAsia" w:ascii="Times New Roman" w:hAnsi="Times New Roman" w:eastAsia="宋体" w:cs="Times New Roman"/>
                <w:bCs/>
                <w:snapToGrid w:val="0"/>
                <w:color w:val="auto"/>
                <w:kern w:val="21"/>
                <w:sz w:val="21"/>
                <w:szCs w:val="21"/>
                <w:highlight w:val="none"/>
                <w:lang w:val="en-US" w:eastAsia="zh-CN" w:bidi="ar-SA"/>
              </w:rPr>
            </w:pPr>
          </w:p>
        </w:tc>
        <w:tc>
          <w:tcPr>
            <w:tcW w:w="676" w:type="pct"/>
            <w:vAlign w:val="center"/>
          </w:tcPr>
          <w:p>
            <w:pPr>
              <w:pStyle w:val="53"/>
              <w:spacing w:beforeLines="0" w:afterLines="0"/>
              <w:ind w:left="400" w:hanging="420" w:hangingChars="200"/>
              <w:rPr>
                <w:rFonts w:hint="eastAsia" w:ascii="Times New Roman" w:hAnsi="Times New Roman" w:eastAsia="宋体" w:cs="Times New Roman"/>
                <w:bCs/>
                <w:snapToGrid w:val="0"/>
                <w:color w:val="auto"/>
                <w:kern w:val="21"/>
                <w:sz w:val="21"/>
                <w:szCs w:val="21"/>
                <w:highlight w:val="none"/>
                <w:lang w:val="en-US" w:eastAsia="zh-CN" w:bidi="ar-SA"/>
              </w:rPr>
            </w:pPr>
          </w:p>
        </w:tc>
        <w:tc>
          <w:tcPr>
            <w:tcW w:w="568" w:type="pct"/>
            <w:vAlign w:val="center"/>
          </w:tcPr>
          <w:p>
            <w:pPr>
              <w:keepNext w:val="0"/>
              <w:keepLines w:val="0"/>
              <w:pageBreakBefore w:val="0"/>
              <w:kinsoku/>
              <w:wordWrap/>
              <w:overflowPunct/>
              <w:topLinePunct w:val="0"/>
              <w:bidi w:val="0"/>
              <w:spacing w:line="240" w:lineRule="auto"/>
              <w:jc w:val="center"/>
              <w:textAlignment w:val="auto"/>
              <w:outlineLvl w:val="9"/>
              <w:rPr>
                <w:rFonts w:hint="default" w:ascii="Times New Roman" w:hAnsi="Times New Roman" w:eastAsia="宋体" w:cs="Times New Roman"/>
                <w:b w:val="0"/>
                <w:bCs/>
                <w:i w:val="0"/>
                <w:iCs w:val="0"/>
                <w:color w:val="auto"/>
                <w:kern w:val="2"/>
                <w:sz w:val="21"/>
                <w:szCs w:val="21"/>
                <w:highlight w:val="none"/>
                <w:u w:val="none"/>
                <w:vertAlign w:val="baseline"/>
                <w:lang w:val="en-US" w:eastAsia="zh-CN" w:bidi="ar-SA"/>
              </w:rPr>
            </w:pPr>
            <w:r>
              <w:rPr>
                <w:rFonts w:hint="eastAsia" w:ascii="Times New Roman" w:hAnsi="Times New Roman" w:cs="Times New Roman"/>
                <w:b w:val="0"/>
                <w:bCs/>
                <w:i w:val="0"/>
                <w:iCs w:val="0"/>
                <w:color w:val="auto"/>
                <w:sz w:val="21"/>
                <w:szCs w:val="21"/>
                <w:highlight w:val="none"/>
                <w:u w:val="none"/>
                <w:vertAlign w:val="baseline"/>
                <w:lang w:val="en-US" w:eastAsia="zh-CN"/>
              </w:rPr>
              <w:t>0.03</w:t>
            </w:r>
          </w:p>
        </w:tc>
        <w:tc>
          <w:tcPr>
            <w:tcW w:w="586" w:type="pct"/>
            <w:vAlign w:val="center"/>
          </w:tcPr>
          <w:p>
            <w:pPr>
              <w:keepNext w:val="0"/>
              <w:keepLines w:val="0"/>
              <w:widowControl/>
              <w:suppressLineNumbers w:val="0"/>
              <w:jc w:val="center"/>
              <w:textAlignment w:val="center"/>
              <w:rPr>
                <w:rFonts w:ascii="Times New Roman" w:hAnsi="Times New Roman" w:eastAsia="宋体" w:cs="Times New Roman"/>
                <w:bCs w:val="0"/>
                <w:snapToGrid w:val="0"/>
                <w:color w:val="auto"/>
                <w:kern w:val="21"/>
                <w:sz w:val="20"/>
                <w:szCs w:val="21"/>
                <w:highlight w:val="none"/>
                <w:lang w:val="en-US" w:eastAsia="zh-CN" w:bidi="ar-SA"/>
              </w:rPr>
            </w:pPr>
            <w:r>
              <w:rPr>
                <w:rFonts w:hint="default" w:ascii="Times New Roman" w:hAnsi="Times New Roman" w:eastAsia="宋体" w:cs="Times New Roman"/>
                <w:i w:val="0"/>
                <w:iCs w:val="0"/>
                <w:color w:val="auto"/>
                <w:kern w:val="0"/>
                <w:sz w:val="20"/>
                <w:szCs w:val="20"/>
                <w:highlight w:val="none"/>
                <w:u w:val="none"/>
                <w:lang w:val="en-US" w:eastAsia="zh-CN" w:bidi="ar"/>
              </w:rPr>
              <w:t>0</w:t>
            </w:r>
          </w:p>
        </w:tc>
        <w:tc>
          <w:tcPr>
            <w:tcW w:w="567" w:type="pct"/>
            <w:vAlign w:val="center"/>
          </w:tcPr>
          <w:p>
            <w:pPr>
              <w:keepNext w:val="0"/>
              <w:keepLines w:val="0"/>
              <w:widowControl/>
              <w:suppressLineNumbers w:val="0"/>
              <w:jc w:val="center"/>
              <w:textAlignment w:val="center"/>
              <w:rPr>
                <w:rFonts w:hint="default" w:ascii="Times New Roman" w:hAnsi="Times New Roman" w:eastAsia="宋体" w:cs="Times New Roman"/>
                <w:b w:val="0"/>
                <w:bCs/>
                <w:i w:val="0"/>
                <w:iCs w:val="0"/>
                <w:color w:val="auto"/>
                <w:kern w:val="2"/>
                <w:sz w:val="21"/>
                <w:szCs w:val="21"/>
                <w:highlight w:val="none"/>
                <w:u w:val="none"/>
                <w:vertAlign w:val="baseli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0.033</w:t>
            </w:r>
          </w:p>
        </w:tc>
        <w:tc>
          <w:tcPr>
            <w:tcW w:w="399" w:type="pct"/>
            <w:vAlign w:val="center"/>
          </w:tcPr>
          <w:p>
            <w:pPr>
              <w:keepNext w:val="0"/>
              <w:keepLines w:val="0"/>
              <w:widowControl/>
              <w:suppressLineNumbers w:val="0"/>
              <w:jc w:val="center"/>
              <w:textAlignment w:val="center"/>
              <w:rPr>
                <w:rFonts w:hint="default" w:ascii="Times New Roman" w:hAnsi="Times New Roman" w:eastAsia="宋体" w:cs="Times New Roman"/>
                <w:b w:val="0"/>
                <w:bCs/>
                <w:i w:val="0"/>
                <w:iCs w:val="0"/>
                <w:color w:val="auto"/>
                <w:kern w:val="2"/>
                <w:sz w:val="21"/>
                <w:szCs w:val="21"/>
                <w:highlight w:val="none"/>
                <w:u w:val="none"/>
                <w:vertAlign w:val="baseli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0.03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5" w:type="pct"/>
            <w:vMerge w:val="restart"/>
            <w:vAlign w:val="center"/>
          </w:tcPr>
          <w:p>
            <w:pPr>
              <w:pStyle w:val="53"/>
              <w:spacing w:beforeLines="0" w:afterLines="0" w:line="240" w:lineRule="auto"/>
              <w:ind w:firstLine="0" w:firstLineChars="0"/>
              <w:rPr>
                <w:rFonts w:ascii="Times New Roman"/>
                <w:bCs w:val="0"/>
                <w:snapToGrid w:val="0"/>
                <w:color w:val="auto"/>
                <w:kern w:val="21"/>
                <w:szCs w:val="21"/>
                <w:highlight w:val="none"/>
              </w:rPr>
            </w:pPr>
            <w:r>
              <w:rPr>
                <w:rFonts w:ascii="Times New Roman"/>
                <w:bCs w:val="0"/>
                <w:snapToGrid w:val="0"/>
                <w:color w:val="auto"/>
                <w:kern w:val="21"/>
                <w:szCs w:val="21"/>
                <w:highlight w:val="none"/>
              </w:rPr>
              <w:t>危险废物</w:t>
            </w:r>
          </w:p>
        </w:tc>
        <w:tc>
          <w:tcPr>
            <w:tcW w:w="651" w:type="pct"/>
            <w:vAlign w:val="center"/>
          </w:tcPr>
          <w:p>
            <w:pPr>
              <w:pStyle w:val="53"/>
              <w:spacing w:beforeLines="0" w:afterLines="0"/>
              <w:ind w:left="400" w:hanging="420" w:hangingChars="200"/>
              <w:jc w:val="center"/>
              <w:rPr>
                <w:rFonts w:hint="eastAsia" w:ascii="Times New Roman" w:hAnsi="Times New Roman" w:eastAsia="宋体" w:cs="Times New Roman"/>
                <w:bCs/>
                <w:snapToGrid w:val="0"/>
                <w:color w:val="auto"/>
                <w:kern w:val="21"/>
                <w:sz w:val="21"/>
                <w:szCs w:val="21"/>
                <w:highlight w:val="none"/>
                <w:lang w:val="en-US" w:eastAsia="zh-CN" w:bidi="ar-SA"/>
              </w:rPr>
            </w:pPr>
            <w:r>
              <w:rPr>
                <w:rFonts w:hint="eastAsia" w:ascii="Times New Roman" w:hAnsi="Times New Roman" w:eastAsia="宋体" w:cs="Times New Roman"/>
                <w:bCs/>
                <w:snapToGrid w:val="0"/>
                <w:color w:val="auto"/>
                <w:kern w:val="21"/>
                <w:sz w:val="21"/>
                <w:szCs w:val="21"/>
                <w:highlight w:val="none"/>
                <w:lang w:val="en-US" w:eastAsia="zh-CN" w:bidi="ar-SA"/>
              </w:rPr>
              <w:t>废弃含油抹布</w:t>
            </w:r>
          </w:p>
        </w:tc>
        <w:tc>
          <w:tcPr>
            <w:tcW w:w="790"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r>
              <w:rPr>
                <w:rFonts w:hint="eastAsia" w:ascii="Times New Roman" w:hAnsi="Times New Roman" w:eastAsia="宋体" w:cs="Times New Roman"/>
                <w:bCs/>
                <w:snapToGrid w:val="0"/>
                <w:color w:val="auto"/>
                <w:kern w:val="21"/>
                <w:sz w:val="21"/>
                <w:szCs w:val="21"/>
                <w:highlight w:val="none"/>
                <w:lang w:val="en-US" w:eastAsia="zh-CN" w:bidi="ar-SA"/>
              </w:rPr>
              <w:t>0.003</w:t>
            </w:r>
          </w:p>
        </w:tc>
        <w:tc>
          <w:tcPr>
            <w:tcW w:w="454"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p>
        </w:tc>
        <w:tc>
          <w:tcPr>
            <w:tcW w:w="676"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p>
        </w:tc>
        <w:tc>
          <w:tcPr>
            <w:tcW w:w="568"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r>
              <w:rPr>
                <w:rFonts w:hint="eastAsia" w:ascii="Times New Roman" w:hAnsi="Times New Roman" w:eastAsia="宋体" w:cs="Times New Roman"/>
                <w:bCs/>
                <w:snapToGrid w:val="0"/>
                <w:color w:val="auto"/>
                <w:kern w:val="21"/>
                <w:sz w:val="21"/>
                <w:szCs w:val="21"/>
                <w:highlight w:val="none"/>
                <w:lang w:val="en-US" w:eastAsia="zh-CN" w:bidi="ar-SA"/>
              </w:rPr>
              <w:t>0.005</w:t>
            </w:r>
          </w:p>
        </w:tc>
        <w:tc>
          <w:tcPr>
            <w:tcW w:w="586"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r>
              <w:rPr>
                <w:rFonts w:hint="default" w:ascii="Times New Roman" w:hAnsi="Times New Roman" w:eastAsia="宋体" w:cs="Times New Roman"/>
                <w:bCs/>
                <w:snapToGrid w:val="0"/>
                <w:color w:val="auto"/>
                <w:kern w:val="21"/>
                <w:sz w:val="21"/>
                <w:szCs w:val="21"/>
                <w:highlight w:val="none"/>
                <w:lang w:val="en-US" w:eastAsia="zh-CN" w:bidi="ar-SA"/>
              </w:rPr>
              <w:t>0</w:t>
            </w:r>
          </w:p>
        </w:tc>
        <w:tc>
          <w:tcPr>
            <w:tcW w:w="567"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r>
              <w:rPr>
                <w:rFonts w:hint="default" w:ascii="Times New Roman" w:hAnsi="Times New Roman" w:eastAsia="宋体" w:cs="Times New Roman"/>
                <w:bCs/>
                <w:snapToGrid w:val="0"/>
                <w:color w:val="auto"/>
                <w:kern w:val="21"/>
                <w:sz w:val="21"/>
                <w:szCs w:val="21"/>
                <w:highlight w:val="none"/>
                <w:lang w:val="en-US" w:eastAsia="zh-CN" w:bidi="ar-SA"/>
              </w:rPr>
              <w:t>0.008</w:t>
            </w:r>
          </w:p>
        </w:tc>
        <w:tc>
          <w:tcPr>
            <w:tcW w:w="399"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r>
              <w:rPr>
                <w:rFonts w:hint="default" w:ascii="Times New Roman" w:hAnsi="Times New Roman" w:eastAsia="宋体" w:cs="Times New Roman"/>
                <w:bCs/>
                <w:snapToGrid w:val="0"/>
                <w:color w:val="auto"/>
                <w:kern w:val="21"/>
                <w:sz w:val="21"/>
                <w:szCs w:val="21"/>
                <w:highlight w:val="none"/>
                <w:lang w:val="en-US" w:eastAsia="zh-CN" w:bidi="ar-SA"/>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5" w:type="pct"/>
            <w:vMerge w:val="continue"/>
          </w:tcPr>
          <w:p>
            <w:pPr>
              <w:pStyle w:val="53"/>
              <w:spacing w:beforeLines="0" w:afterLines="0" w:line="240" w:lineRule="auto"/>
              <w:ind w:firstLine="0" w:firstLineChars="0"/>
              <w:rPr>
                <w:rFonts w:ascii="Times New Roman"/>
                <w:bCs w:val="0"/>
                <w:snapToGrid w:val="0"/>
                <w:color w:val="auto"/>
                <w:kern w:val="21"/>
                <w:szCs w:val="21"/>
                <w:highlight w:val="none"/>
              </w:rPr>
            </w:pPr>
          </w:p>
        </w:tc>
        <w:tc>
          <w:tcPr>
            <w:tcW w:w="651" w:type="pct"/>
            <w:vAlign w:val="center"/>
          </w:tcPr>
          <w:p>
            <w:pPr>
              <w:pStyle w:val="53"/>
              <w:spacing w:beforeLines="0" w:afterLines="0"/>
              <w:ind w:left="400" w:hanging="420" w:hangingChars="200"/>
              <w:jc w:val="center"/>
              <w:rPr>
                <w:rFonts w:hint="eastAsia" w:ascii="Times New Roman" w:hAnsi="Times New Roman" w:eastAsia="宋体" w:cs="Times New Roman"/>
                <w:bCs/>
                <w:snapToGrid w:val="0"/>
                <w:color w:val="auto"/>
                <w:kern w:val="21"/>
                <w:sz w:val="21"/>
                <w:szCs w:val="21"/>
                <w:highlight w:val="none"/>
                <w:lang w:val="en-US" w:eastAsia="zh-CN" w:bidi="ar-SA"/>
              </w:rPr>
            </w:pPr>
            <w:r>
              <w:rPr>
                <w:rFonts w:hint="eastAsia" w:ascii="Times New Roman" w:hAnsi="Times New Roman" w:eastAsia="宋体" w:cs="Times New Roman"/>
                <w:bCs/>
                <w:snapToGrid w:val="0"/>
                <w:color w:val="auto"/>
                <w:kern w:val="21"/>
                <w:sz w:val="21"/>
                <w:szCs w:val="21"/>
                <w:highlight w:val="none"/>
                <w:lang w:val="en-US" w:eastAsia="zh-CN" w:bidi="ar-SA"/>
              </w:rPr>
              <w:t>废液压油</w:t>
            </w:r>
          </w:p>
        </w:tc>
        <w:tc>
          <w:tcPr>
            <w:tcW w:w="790"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r>
              <w:rPr>
                <w:rFonts w:hint="eastAsia" w:ascii="Times New Roman" w:hAnsi="Times New Roman" w:eastAsia="宋体" w:cs="Times New Roman"/>
                <w:bCs/>
                <w:snapToGrid w:val="0"/>
                <w:color w:val="auto"/>
                <w:kern w:val="21"/>
                <w:sz w:val="21"/>
                <w:szCs w:val="21"/>
                <w:highlight w:val="none"/>
                <w:lang w:val="en-US" w:eastAsia="zh-CN" w:bidi="ar-SA"/>
              </w:rPr>
              <w:t>0.04</w:t>
            </w:r>
          </w:p>
        </w:tc>
        <w:tc>
          <w:tcPr>
            <w:tcW w:w="454"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p>
        </w:tc>
        <w:tc>
          <w:tcPr>
            <w:tcW w:w="676"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p>
        </w:tc>
        <w:tc>
          <w:tcPr>
            <w:tcW w:w="568"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r>
              <w:rPr>
                <w:rFonts w:hint="eastAsia" w:ascii="Times New Roman" w:hAnsi="Times New Roman" w:eastAsia="宋体" w:cs="Times New Roman"/>
                <w:bCs/>
                <w:snapToGrid w:val="0"/>
                <w:color w:val="auto"/>
                <w:kern w:val="21"/>
                <w:sz w:val="21"/>
                <w:szCs w:val="21"/>
                <w:highlight w:val="none"/>
                <w:lang w:val="en-US" w:eastAsia="zh-CN" w:bidi="ar-SA"/>
              </w:rPr>
              <w:t>0.005</w:t>
            </w:r>
          </w:p>
        </w:tc>
        <w:tc>
          <w:tcPr>
            <w:tcW w:w="586"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r>
              <w:rPr>
                <w:rFonts w:hint="default" w:ascii="Times New Roman" w:hAnsi="Times New Roman" w:eastAsia="宋体" w:cs="Times New Roman"/>
                <w:bCs/>
                <w:snapToGrid w:val="0"/>
                <w:color w:val="auto"/>
                <w:kern w:val="21"/>
                <w:sz w:val="21"/>
                <w:szCs w:val="21"/>
                <w:highlight w:val="none"/>
                <w:lang w:val="en-US" w:eastAsia="zh-CN" w:bidi="ar-SA"/>
              </w:rPr>
              <w:t>0</w:t>
            </w:r>
          </w:p>
        </w:tc>
        <w:tc>
          <w:tcPr>
            <w:tcW w:w="567"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r>
              <w:rPr>
                <w:rFonts w:hint="default" w:ascii="Times New Roman" w:hAnsi="Times New Roman" w:eastAsia="宋体" w:cs="Times New Roman"/>
                <w:bCs/>
                <w:snapToGrid w:val="0"/>
                <w:color w:val="auto"/>
                <w:kern w:val="21"/>
                <w:sz w:val="21"/>
                <w:szCs w:val="21"/>
                <w:highlight w:val="none"/>
                <w:lang w:val="en-US" w:eastAsia="zh-CN" w:bidi="ar-SA"/>
              </w:rPr>
              <w:t>0.045</w:t>
            </w:r>
          </w:p>
        </w:tc>
        <w:tc>
          <w:tcPr>
            <w:tcW w:w="399"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r>
              <w:rPr>
                <w:rFonts w:hint="default" w:ascii="Times New Roman" w:hAnsi="Times New Roman" w:eastAsia="宋体" w:cs="Times New Roman"/>
                <w:bCs/>
                <w:snapToGrid w:val="0"/>
                <w:color w:val="auto"/>
                <w:kern w:val="21"/>
                <w:sz w:val="21"/>
                <w:szCs w:val="21"/>
                <w:highlight w:val="none"/>
                <w:lang w:val="en-US" w:eastAsia="zh-CN" w:bidi="ar-SA"/>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5" w:type="pct"/>
            <w:vMerge w:val="continue"/>
          </w:tcPr>
          <w:p>
            <w:pPr>
              <w:pStyle w:val="53"/>
              <w:spacing w:beforeLines="0" w:afterLines="0" w:line="240" w:lineRule="auto"/>
              <w:ind w:firstLine="0" w:firstLineChars="0"/>
              <w:rPr>
                <w:rFonts w:ascii="Times New Roman"/>
                <w:bCs w:val="0"/>
                <w:snapToGrid w:val="0"/>
                <w:color w:val="auto"/>
                <w:kern w:val="21"/>
                <w:szCs w:val="21"/>
                <w:highlight w:val="none"/>
              </w:rPr>
            </w:pPr>
          </w:p>
        </w:tc>
        <w:tc>
          <w:tcPr>
            <w:tcW w:w="651" w:type="pct"/>
            <w:vAlign w:val="center"/>
          </w:tcPr>
          <w:p>
            <w:pPr>
              <w:pStyle w:val="53"/>
              <w:spacing w:beforeLines="0" w:afterLines="0"/>
              <w:ind w:left="400" w:hanging="420" w:hangingChars="200"/>
              <w:jc w:val="center"/>
              <w:rPr>
                <w:rFonts w:hint="eastAsia" w:ascii="Times New Roman" w:hAnsi="Times New Roman" w:eastAsia="宋体" w:cs="Times New Roman"/>
                <w:bCs/>
                <w:snapToGrid w:val="0"/>
                <w:color w:val="auto"/>
                <w:kern w:val="21"/>
                <w:sz w:val="21"/>
                <w:szCs w:val="21"/>
                <w:highlight w:val="none"/>
                <w:lang w:val="en-US" w:eastAsia="zh-CN" w:bidi="ar-SA"/>
              </w:rPr>
            </w:pPr>
            <w:r>
              <w:rPr>
                <w:rFonts w:hint="eastAsia" w:ascii="Times New Roman" w:hAnsi="Times New Roman" w:eastAsia="宋体" w:cs="Times New Roman"/>
                <w:bCs/>
                <w:snapToGrid w:val="0"/>
                <w:color w:val="auto"/>
                <w:kern w:val="21"/>
                <w:sz w:val="21"/>
                <w:szCs w:val="21"/>
                <w:highlight w:val="none"/>
                <w:lang w:val="en-US" w:eastAsia="zh-CN" w:bidi="ar-SA"/>
              </w:rPr>
              <w:t>废导热油</w:t>
            </w:r>
          </w:p>
        </w:tc>
        <w:tc>
          <w:tcPr>
            <w:tcW w:w="790" w:type="pct"/>
            <w:vAlign w:val="center"/>
          </w:tcPr>
          <w:p>
            <w:pPr>
              <w:pStyle w:val="53"/>
              <w:spacing w:beforeLines="0" w:afterLines="0"/>
              <w:ind w:left="400" w:hanging="420" w:hangingChars="200"/>
              <w:rPr>
                <w:rFonts w:hint="eastAsia" w:ascii="Times New Roman" w:hAnsi="Times New Roman" w:eastAsia="宋体" w:cs="Times New Roman"/>
                <w:bCs/>
                <w:snapToGrid w:val="0"/>
                <w:color w:val="auto"/>
                <w:kern w:val="21"/>
                <w:sz w:val="21"/>
                <w:szCs w:val="21"/>
                <w:highlight w:val="none"/>
                <w:lang w:val="en-US" w:eastAsia="zh-CN" w:bidi="ar-SA"/>
              </w:rPr>
            </w:pPr>
            <w:r>
              <w:rPr>
                <w:rFonts w:hint="eastAsia" w:ascii="Times New Roman" w:hAnsi="Times New Roman" w:eastAsia="宋体" w:cs="Times New Roman"/>
                <w:bCs/>
                <w:snapToGrid w:val="0"/>
                <w:color w:val="auto"/>
                <w:kern w:val="21"/>
                <w:sz w:val="21"/>
                <w:szCs w:val="21"/>
                <w:highlight w:val="none"/>
                <w:lang w:val="en-US" w:eastAsia="zh-CN" w:bidi="ar-SA"/>
              </w:rPr>
              <w:t>/</w:t>
            </w:r>
          </w:p>
        </w:tc>
        <w:tc>
          <w:tcPr>
            <w:tcW w:w="454"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p>
        </w:tc>
        <w:tc>
          <w:tcPr>
            <w:tcW w:w="676"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p>
        </w:tc>
        <w:tc>
          <w:tcPr>
            <w:tcW w:w="568"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r>
              <w:rPr>
                <w:rFonts w:hint="eastAsia" w:ascii="Times New Roman" w:hAnsi="Times New Roman" w:eastAsia="宋体" w:cs="Times New Roman"/>
                <w:bCs/>
                <w:snapToGrid w:val="0"/>
                <w:color w:val="auto"/>
                <w:kern w:val="21"/>
                <w:sz w:val="21"/>
                <w:szCs w:val="21"/>
                <w:highlight w:val="none"/>
                <w:lang w:val="en-US" w:eastAsia="zh-CN" w:bidi="ar-SA"/>
              </w:rPr>
              <w:t>0.05</w:t>
            </w:r>
          </w:p>
        </w:tc>
        <w:tc>
          <w:tcPr>
            <w:tcW w:w="586"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r>
              <w:rPr>
                <w:rFonts w:hint="default" w:ascii="Times New Roman" w:hAnsi="Times New Roman" w:eastAsia="宋体" w:cs="Times New Roman"/>
                <w:bCs/>
                <w:snapToGrid w:val="0"/>
                <w:color w:val="auto"/>
                <w:kern w:val="21"/>
                <w:sz w:val="21"/>
                <w:szCs w:val="21"/>
                <w:highlight w:val="none"/>
                <w:lang w:val="en-US" w:eastAsia="zh-CN" w:bidi="ar-SA"/>
              </w:rPr>
              <w:t>0</w:t>
            </w:r>
          </w:p>
        </w:tc>
        <w:tc>
          <w:tcPr>
            <w:tcW w:w="567"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r>
              <w:rPr>
                <w:rFonts w:hint="default" w:ascii="Times New Roman" w:hAnsi="Times New Roman" w:eastAsia="宋体" w:cs="Times New Roman"/>
                <w:bCs/>
                <w:snapToGrid w:val="0"/>
                <w:color w:val="auto"/>
                <w:kern w:val="21"/>
                <w:sz w:val="21"/>
                <w:szCs w:val="21"/>
                <w:highlight w:val="none"/>
                <w:lang w:val="en-US" w:eastAsia="zh-CN" w:bidi="ar-SA"/>
              </w:rPr>
              <w:t>0.05</w:t>
            </w:r>
          </w:p>
        </w:tc>
        <w:tc>
          <w:tcPr>
            <w:tcW w:w="399"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r>
              <w:rPr>
                <w:rFonts w:hint="default" w:ascii="Times New Roman" w:hAnsi="Times New Roman" w:eastAsia="宋体" w:cs="Times New Roman"/>
                <w:bCs/>
                <w:snapToGrid w:val="0"/>
                <w:color w:val="auto"/>
                <w:kern w:val="21"/>
                <w:sz w:val="21"/>
                <w:szCs w:val="21"/>
                <w:highlight w:val="none"/>
                <w:lang w:val="en-US" w:eastAsia="zh-CN" w:bidi="ar-SA"/>
              </w:rPr>
              <w:t>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5" w:type="pct"/>
            <w:vMerge w:val="continue"/>
          </w:tcPr>
          <w:p>
            <w:pPr>
              <w:pStyle w:val="53"/>
              <w:spacing w:beforeLines="0" w:afterLines="0" w:line="240" w:lineRule="auto"/>
              <w:ind w:firstLine="0" w:firstLineChars="0"/>
              <w:rPr>
                <w:rFonts w:ascii="Times New Roman"/>
                <w:bCs w:val="0"/>
                <w:snapToGrid w:val="0"/>
                <w:color w:val="auto"/>
                <w:kern w:val="21"/>
                <w:szCs w:val="21"/>
                <w:highlight w:val="none"/>
              </w:rPr>
            </w:pPr>
          </w:p>
        </w:tc>
        <w:tc>
          <w:tcPr>
            <w:tcW w:w="651" w:type="pct"/>
            <w:vAlign w:val="center"/>
          </w:tcPr>
          <w:p>
            <w:pPr>
              <w:pStyle w:val="53"/>
              <w:spacing w:beforeLines="0" w:afterLines="0"/>
              <w:ind w:left="400" w:hanging="420" w:hangingChars="200"/>
              <w:jc w:val="center"/>
              <w:rPr>
                <w:rFonts w:hint="default" w:ascii="Times New Roman" w:hAnsi="Times New Roman" w:eastAsia="宋体" w:cs="Times New Roman"/>
                <w:bCs/>
                <w:snapToGrid w:val="0"/>
                <w:color w:val="auto"/>
                <w:kern w:val="21"/>
                <w:sz w:val="21"/>
                <w:szCs w:val="21"/>
                <w:highlight w:val="none"/>
                <w:lang w:val="en-US" w:eastAsia="zh-CN" w:bidi="ar-SA"/>
              </w:rPr>
            </w:pPr>
            <w:r>
              <w:rPr>
                <w:rFonts w:hint="default" w:ascii="Times New Roman" w:hAnsi="Times New Roman" w:eastAsia="宋体" w:cs="Times New Roman"/>
                <w:bCs/>
                <w:snapToGrid w:val="0"/>
                <w:color w:val="auto"/>
                <w:kern w:val="21"/>
                <w:sz w:val="21"/>
                <w:szCs w:val="21"/>
                <w:highlight w:val="none"/>
                <w:lang w:val="en-US" w:eastAsia="zh-CN" w:bidi="ar-SA"/>
              </w:rPr>
              <w:t>含有机溶剂的废抹布</w:t>
            </w:r>
          </w:p>
        </w:tc>
        <w:tc>
          <w:tcPr>
            <w:tcW w:w="790"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r>
              <w:rPr>
                <w:rFonts w:hint="eastAsia" w:ascii="Times New Roman" w:hAnsi="Times New Roman" w:eastAsia="宋体" w:cs="Times New Roman"/>
                <w:bCs/>
                <w:snapToGrid w:val="0"/>
                <w:color w:val="auto"/>
                <w:kern w:val="21"/>
                <w:sz w:val="21"/>
                <w:szCs w:val="21"/>
                <w:highlight w:val="none"/>
                <w:lang w:val="en-US" w:eastAsia="zh-CN" w:bidi="ar-SA"/>
              </w:rPr>
              <w:t>0.03</w:t>
            </w:r>
          </w:p>
        </w:tc>
        <w:tc>
          <w:tcPr>
            <w:tcW w:w="454"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p>
        </w:tc>
        <w:tc>
          <w:tcPr>
            <w:tcW w:w="676"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p>
        </w:tc>
        <w:tc>
          <w:tcPr>
            <w:tcW w:w="568"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r>
              <w:rPr>
                <w:rFonts w:hint="eastAsia" w:ascii="Times New Roman" w:hAnsi="Times New Roman" w:eastAsia="宋体" w:cs="Times New Roman"/>
                <w:bCs/>
                <w:snapToGrid w:val="0"/>
                <w:color w:val="auto"/>
                <w:kern w:val="21"/>
                <w:sz w:val="21"/>
                <w:szCs w:val="21"/>
                <w:highlight w:val="none"/>
                <w:lang w:val="en-US" w:eastAsia="zh-CN" w:bidi="ar-SA"/>
              </w:rPr>
              <w:t>0.5</w:t>
            </w:r>
          </w:p>
        </w:tc>
        <w:tc>
          <w:tcPr>
            <w:tcW w:w="586"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r>
              <w:rPr>
                <w:rFonts w:hint="default" w:ascii="Times New Roman" w:hAnsi="Times New Roman" w:eastAsia="宋体" w:cs="Times New Roman"/>
                <w:bCs/>
                <w:snapToGrid w:val="0"/>
                <w:color w:val="auto"/>
                <w:kern w:val="21"/>
                <w:sz w:val="21"/>
                <w:szCs w:val="21"/>
                <w:highlight w:val="none"/>
                <w:lang w:val="en-US" w:eastAsia="zh-CN" w:bidi="ar-SA"/>
              </w:rPr>
              <w:t>0</w:t>
            </w:r>
          </w:p>
        </w:tc>
        <w:tc>
          <w:tcPr>
            <w:tcW w:w="567"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r>
              <w:rPr>
                <w:rFonts w:hint="default" w:ascii="Times New Roman" w:hAnsi="Times New Roman" w:eastAsia="宋体" w:cs="Times New Roman"/>
                <w:bCs/>
                <w:snapToGrid w:val="0"/>
                <w:color w:val="auto"/>
                <w:kern w:val="21"/>
                <w:sz w:val="21"/>
                <w:szCs w:val="21"/>
                <w:highlight w:val="none"/>
                <w:lang w:val="en-US" w:eastAsia="zh-CN" w:bidi="ar-SA"/>
              </w:rPr>
              <w:t>0.53</w:t>
            </w:r>
          </w:p>
        </w:tc>
        <w:tc>
          <w:tcPr>
            <w:tcW w:w="399"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r>
              <w:rPr>
                <w:rFonts w:hint="default" w:ascii="Times New Roman" w:hAnsi="Times New Roman" w:eastAsia="宋体" w:cs="Times New Roman"/>
                <w:bCs/>
                <w:snapToGrid w:val="0"/>
                <w:color w:val="auto"/>
                <w:kern w:val="21"/>
                <w:sz w:val="21"/>
                <w:szCs w:val="21"/>
                <w:highlight w:val="none"/>
                <w:lang w:val="en-US" w:eastAsia="zh-CN" w:bidi="ar-SA"/>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5" w:type="pct"/>
            <w:vMerge w:val="continue"/>
          </w:tcPr>
          <w:p>
            <w:pPr>
              <w:pStyle w:val="53"/>
              <w:spacing w:beforeLines="0" w:afterLines="0" w:line="240" w:lineRule="auto"/>
              <w:ind w:firstLine="0" w:firstLineChars="0"/>
              <w:rPr>
                <w:rFonts w:ascii="Times New Roman"/>
                <w:bCs w:val="0"/>
                <w:snapToGrid w:val="0"/>
                <w:color w:val="auto"/>
                <w:kern w:val="21"/>
                <w:szCs w:val="21"/>
                <w:highlight w:val="none"/>
              </w:rPr>
            </w:pPr>
          </w:p>
        </w:tc>
        <w:tc>
          <w:tcPr>
            <w:tcW w:w="651" w:type="pct"/>
            <w:vAlign w:val="center"/>
          </w:tcPr>
          <w:p>
            <w:pPr>
              <w:bidi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废活性炭</w:t>
            </w:r>
          </w:p>
        </w:tc>
        <w:tc>
          <w:tcPr>
            <w:tcW w:w="790" w:type="pct"/>
            <w:vAlign w:val="center"/>
          </w:tcPr>
          <w:p>
            <w:pPr>
              <w:pStyle w:val="53"/>
              <w:spacing w:beforeLines="0" w:afterLines="0"/>
              <w:ind w:left="400" w:hanging="420" w:hangingChars="200"/>
              <w:rPr>
                <w:rFonts w:hint="eastAsia" w:ascii="Times New Roman" w:hAnsi="Times New Roman" w:eastAsia="宋体" w:cs="Times New Roman"/>
                <w:bCs/>
                <w:snapToGrid w:val="0"/>
                <w:color w:val="auto"/>
                <w:kern w:val="21"/>
                <w:sz w:val="21"/>
                <w:szCs w:val="21"/>
                <w:highlight w:val="none"/>
                <w:lang w:val="en-US" w:eastAsia="zh-CN" w:bidi="ar-SA"/>
              </w:rPr>
            </w:pPr>
            <w:r>
              <w:rPr>
                <w:rFonts w:hint="eastAsia" w:ascii="Times New Roman" w:hAnsi="Times New Roman" w:eastAsia="宋体" w:cs="Times New Roman"/>
                <w:bCs/>
                <w:snapToGrid w:val="0"/>
                <w:color w:val="auto"/>
                <w:kern w:val="21"/>
                <w:sz w:val="21"/>
                <w:szCs w:val="21"/>
                <w:highlight w:val="none"/>
                <w:lang w:val="en-US" w:eastAsia="zh-CN" w:bidi="ar-SA"/>
              </w:rPr>
              <w:t>/</w:t>
            </w:r>
          </w:p>
        </w:tc>
        <w:tc>
          <w:tcPr>
            <w:tcW w:w="454" w:type="pct"/>
            <w:vAlign w:val="center"/>
          </w:tcPr>
          <w:p>
            <w:pPr>
              <w:pStyle w:val="53"/>
              <w:spacing w:beforeLines="0" w:afterLines="0" w:line="240" w:lineRule="auto"/>
              <w:ind w:left="400" w:hanging="400" w:hangingChars="200"/>
              <w:rPr>
                <w:rFonts w:ascii="Times New Roman"/>
                <w:bCs w:val="0"/>
                <w:snapToGrid w:val="0"/>
                <w:color w:val="auto"/>
                <w:kern w:val="21"/>
                <w:szCs w:val="21"/>
                <w:highlight w:val="none"/>
              </w:rPr>
            </w:pPr>
          </w:p>
        </w:tc>
        <w:tc>
          <w:tcPr>
            <w:tcW w:w="676" w:type="pct"/>
            <w:vAlign w:val="center"/>
          </w:tcPr>
          <w:p>
            <w:pPr>
              <w:pStyle w:val="53"/>
              <w:spacing w:beforeLines="0" w:afterLines="0" w:line="240" w:lineRule="auto"/>
              <w:ind w:left="400" w:hanging="400" w:hangingChars="200"/>
              <w:rPr>
                <w:rFonts w:ascii="Times New Roman"/>
                <w:bCs w:val="0"/>
                <w:snapToGrid w:val="0"/>
                <w:color w:val="auto"/>
                <w:kern w:val="21"/>
                <w:szCs w:val="21"/>
                <w:highlight w:val="none"/>
              </w:rPr>
            </w:pPr>
          </w:p>
        </w:tc>
        <w:tc>
          <w:tcPr>
            <w:tcW w:w="568" w:type="pct"/>
            <w:vAlign w:val="center"/>
          </w:tcPr>
          <w:p>
            <w:pPr>
              <w:bidi w:val="0"/>
              <w:jc w:val="center"/>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3.0</w:t>
            </w:r>
          </w:p>
        </w:tc>
        <w:tc>
          <w:tcPr>
            <w:tcW w:w="586" w:type="pct"/>
            <w:vAlign w:val="center"/>
          </w:tcPr>
          <w:p>
            <w:pPr>
              <w:keepNext w:val="0"/>
              <w:keepLines w:val="0"/>
              <w:widowControl/>
              <w:suppressLineNumbers w:val="0"/>
              <w:jc w:val="center"/>
              <w:textAlignment w:val="center"/>
              <w:rPr>
                <w:rFonts w:ascii="Times New Roman"/>
                <w:bCs w:val="0"/>
                <w:snapToGrid w:val="0"/>
                <w:color w:val="auto"/>
                <w:kern w:val="21"/>
                <w:szCs w:val="21"/>
                <w:highlight w:val="none"/>
              </w:rPr>
            </w:pPr>
            <w:r>
              <w:rPr>
                <w:rFonts w:hint="default" w:ascii="Times New Roman" w:hAnsi="Times New Roman" w:eastAsia="宋体" w:cs="Times New Roman"/>
                <w:i w:val="0"/>
                <w:iCs w:val="0"/>
                <w:color w:val="auto"/>
                <w:kern w:val="0"/>
                <w:sz w:val="20"/>
                <w:szCs w:val="20"/>
                <w:highlight w:val="none"/>
                <w:u w:val="none"/>
                <w:lang w:val="en-US" w:eastAsia="zh-CN" w:bidi="ar"/>
              </w:rPr>
              <w:t>0</w:t>
            </w:r>
          </w:p>
        </w:tc>
        <w:tc>
          <w:tcPr>
            <w:tcW w:w="567" w:type="pct"/>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eastAsia" w:cs="Times New Roman"/>
                <w:i w:val="0"/>
                <w:iCs w:val="0"/>
                <w:color w:val="auto"/>
                <w:kern w:val="0"/>
                <w:sz w:val="21"/>
                <w:szCs w:val="21"/>
                <w:highlight w:val="none"/>
                <w:u w:val="none"/>
                <w:lang w:val="en-US" w:eastAsia="zh-CN" w:bidi="ar"/>
              </w:rPr>
              <w:t>3.0</w:t>
            </w:r>
          </w:p>
        </w:tc>
        <w:tc>
          <w:tcPr>
            <w:tcW w:w="399" w:type="pct"/>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eastAsia" w:cs="Times New Roman"/>
                <w:i w:val="0"/>
                <w:iCs w:val="0"/>
                <w:color w:val="auto"/>
                <w:kern w:val="0"/>
                <w:sz w:val="21"/>
                <w:szCs w:val="21"/>
                <w:highlight w:val="none"/>
                <w:u w:val="none"/>
                <w:lang w:val="en-US" w:eastAsia="zh-CN" w:bidi="ar"/>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5" w:type="pct"/>
            <w:vMerge w:val="continue"/>
          </w:tcPr>
          <w:p>
            <w:pPr>
              <w:pStyle w:val="53"/>
              <w:spacing w:beforeLines="0" w:afterLines="0" w:line="240" w:lineRule="auto"/>
              <w:ind w:firstLine="0" w:firstLineChars="0"/>
              <w:rPr>
                <w:rFonts w:ascii="Times New Roman"/>
                <w:bCs w:val="0"/>
                <w:snapToGrid w:val="0"/>
                <w:color w:val="auto"/>
                <w:kern w:val="21"/>
                <w:szCs w:val="21"/>
                <w:highlight w:val="none"/>
              </w:rPr>
            </w:pPr>
          </w:p>
        </w:tc>
        <w:tc>
          <w:tcPr>
            <w:tcW w:w="651" w:type="pct"/>
            <w:vAlign w:val="center"/>
          </w:tcPr>
          <w:p>
            <w:pPr>
              <w:bidi w:val="0"/>
              <w:jc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沾染原料的废包装品</w:t>
            </w:r>
          </w:p>
        </w:tc>
        <w:tc>
          <w:tcPr>
            <w:tcW w:w="790" w:type="pct"/>
            <w:vAlign w:val="center"/>
          </w:tcPr>
          <w:p>
            <w:pPr>
              <w:pStyle w:val="53"/>
              <w:spacing w:beforeLines="0" w:afterLines="0"/>
              <w:ind w:left="400" w:hanging="420" w:hangingChars="200"/>
              <w:rPr>
                <w:rFonts w:hint="default" w:ascii="Times New Roman" w:hAnsi="Times New Roman" w:eastAsia="宋体" w:cs="Times New Roman"/>
                <w:bCs/>
                <w:snapToGrid w:val="0"/>
                <w:color w:val="auto"/>
                <w:kern w:val="21"/>
                <w:sz w:val="21"/>
                <w:szCs w:val="21"/>
                <w:highlight w:val="none"/>
                <w:lang w:val="en-US" w:eastAsia="zh-CN" w:bidi="ar-SA"/>
              </w:rPr>
            </w:pPr>
            <w:r>
              <w:rPr>
                <w:rFonts w:hint="eastAsia" w:ascii="Times New Roman" w:hAnsi="Times New Roman" w:eastAsia="宋体" w:cs="Times New Roman"/>
                <w:bCs/>
                <w:snapToGrid w:val="0"/>
                <w:color w:val="auto"/>
                <w:kern w:val="21"/>
                <w:sz w:val="21"/>
                <w:szCs w:val="21"/>
                <w:highlight w:val="none"/>
                <w:lang w:val="en-US" w:eastAsia="zh-CN" w:bidi="ar-SA"/>
              </w:rPr>
              <w:t>0.01</w:t>
            </w:r>
          </w:p>
        </w:tc>
        <w:tc>
          <w:tcPr>
            <w:tcW w:w="454" w:type="pct"/>
            <w:vAlign w:val="center"/>
          </w:tcPr>
          <w:p>
            <w:pPr>
              <w:pStyle w:val="53"/>
              <w:spacing w:beforeLines="0" w:afterLines="0" w:line="240" w:lineRule="auto"/>
              <w:ind w:left="400" w:hanging="400" w:hangingChars="200"/>
              <w:rPr>
                <w:rFonts w:ascii="Times New Roman"/>
                <w:bCs w:val="0"/>
                <w:snapToGrid w:val="0"/>
                <w:color w:val="auto"/>
                <w:kern w:val="21"/>
                <w:szCs w:val="21"/>
                <w:highlight w:val="none"/>
              </w:rPr>
            </w:pPr>
          </w:p>
        </w:tc>
        <w:tc>
          <w:tcPr>
            <w:tcW w:w="676" w:type="pct"/>
            <w:vAlign w:val="center"/>
          </w:tcPr>
          <w:p>
            <w:pPr>
              <w:pStyle w:val="53"/>
              <w:spacing w:beforeLines="0" w:afterLines="0" w:line="240" w:lineRule="auto"/>
              <w:ind w:left="400" w:hanging="400" w:hangingChars="200"/>
              <w:rPr>
                <w:rFonts w:ascii="Times New Roman"/>
                <w:bCs w:val="0"/>
                <w:snapToGrid w:val="0"/>
                <w:color w:val="auto"/>
                <w:kern w:val="21"/>
                <w:szCs w:val="21"/>
                <w:highlight w:val="none"/>
              </w:rPr>
            </w:pPr>
          </w:p>
        </w:tc>
        <w:tc>
          <w:tcPr>
            <w:tcW w:w="568" w:type="pct"/>
            <w:vAlign w:val="center"/>
          </w:tcPr>
          <w:p>
            <w:pPr>
              <w:bidi w:val="0"/>
              <w:jc w:val="center"/>
              <w:rPr>
                <w:rFonts w:hint="default"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0.15</w:t>
            </w:r>
          </w:p>
        </w:tc>
        <w:tc>
          <w:tcPr>
            <w:tcW w:w="586" w:type="pct"/>
            <w:vAlign w:val="center"/>
          </w:tcPr>
          <w:p>
            <w:pPr>
              <w:keepNext w:val="0"/>
              <w:keepLines w:val="0"/>
              <w:widowControl/>
              <w:suppressLineNumbers w:val="0"/>
              <w:jc w:val="center"/>
              <w:textAlignment w:val="center"/>
              <w:rPr>
                <w:rFonts w:ascii="Times New Roman"/>
                <w:bCs w:val="0"/>
                <w:snapToGrid w:val="0"/>
                <w:color w:val="auto"/>
                <w:kern w:val="21"/>
                <w:szCs w:val="21"/>
                <w:highlight w:val="none"/>
              </w:rPr>
            </w:pPr>
            <w:r>
              <w:rPr>
                <w:rFonts w:hint="default" w:ascii="Times New Roman" w:hAnsi="Times New Roman" w:eastAsia="宋体" w:cs="Times New Roman"/>
                <w:i w:val="0"/>
                <w:iCs w:val="0"/>
                <w:color w:val="auto"/>
                <w:kern w:val="0"/>
                <w:sz w:val="20"/>
                <w:szCs w:val="20"/>
                <w:highlight w:val="none"/>
                <w:u w:val="none"/>
                <w:lang w:val="en-US" w:eastAsia="zh-CN" w:bidi="ar"/>
              </w:rPr>
              <w:t>0</w:t>
            </w:r>
          </w:p>
        </w:tc>
        <w:tc>
          <w:tcPr>
            <w:tcW w:w="567" w:type="pct"/>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0.16</w:t>
            </w:r>
          </w:p>
        </w:tc>
        <w:tc>
          <w:tcPr>
            <w:tcW w:w="399" w:type="pct"/>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0.15</w:t>
            </w:r>
          </w:p>
        </w:tc>
      </w:tr>
    </w:tbl>
    <w:p>
      <w:pPr>
        <w:rPr>
          <w:color w:val="auto"/>
          <w:highlight w:val="none"/>
        </w:rPr>
      </w:pPr>
      <w:r>
        <w:rPr>
          <w:snapToGrid w:val="0"/>
          <w:color w:val="auto"/>
          <w:kern w:val="21"/>
          <w:szCs w:val="21"/>
          <w:highlight w:val="none"/>
        </w:rPr>
        <w:t>注：</w:t>
      </w:r>
      <w:r>
        <w:rPr>
          <w:snapToGrid w:val="0"/>
          <w:color w:val="auto"/>
          <w:spacing w:val="-16"/>
          <w:kern w:val="21"/>
          <w:szCs w:val="21"/>
          <w:highlight w:val="none"/>
        </w:rPr>
        <w:fldChar w:fldCharType="begin"/>
      </w:r>
      <w:r>
        <w:rPr>
          <w:snapToGrid w:val="0"/>
          <w:color w:val="auto"/>
          <w:spacing w:val="-16"/>
          <w:kern w:val="21"/>
          <w:szCs w:val="21"/>
          <w:highlight w:val="none"/>
        </w:rPr>
        <w:instrText xml:space="preserve"> = 6 \* GB3 \* MERGEFORMAT </w:instrText>
      </w:r>
      <w:r>
        <w:rPr>
          <w:snapToGrid w:val="0"/>
          <w:color w:val="auto"/>
          <w:spacing w:val="-16"/>
          <w:kern w:val="21"/>
          <w:szCs w:val="21"/>
          <w:highlight w:val="none"/>
        </w:rPr>
        <w:fldChar w:fldCharType="separate"/>
      </w:r>
      <w:r>
        <w:rPr>
          <w:color w:val="auto"/>
          <w:szCs w:val="21"/>
          <w:highlight w:val="none"/>
        </w:rPr>
        <w:t>⑥</w:t>
      </w:r>
      <w:r>
        <w:rPr>
          <w:snapToGrid w:val="0"/>
          <w:color w:val="auto"/>
          <w:spacing w:val="-16"/>
          <w:kern w:val="21"/>
          <w:szCs w:val="21"/>
          <w:highlight w:val="none"/>
        </w:rPr>
        <w:fldChar w:fldCharType="end"/>
      </w:r>
      <w:r>
        <w:rPr>
          <w:snapToGrid w:val="0"/>
          <w:color w:val="auto"/>
          <w:spacing w:val="-16"/>
          <w:kern w:val="21"/>
          <w:szCs w:val="21"/>
          <w:highlight w:val="none"/>
        </w:rPr>
        <w:t>=</w:t>
      </w:r>
      <w:r>
        <w:rPr>
          <w:snapToGrid w:val="0"/>
          <w:color w:val="auto"/>
          <w:spacing w:val="-6"/>
          <w:kern w:val="21"/>
          <w:szCs w:val="21"/>
          <w:highlight w:val="none"/>
        </w:rPr>
        <w:fldChar w:fldCharType="begin"/>
      </w:r>
      <w:r>
        <w:rPr>
          <w:snapToGrid w:val="0"/>
          <w:color w:val="auto"/>
          <w:spacing w:val="-6"/>
          <w:kern w:val="21"/>
          <w:szCs w:val="21"/>
          <w:highlight w:val="none"/>
        </w:rPr>
        <w:instrText xml:space="preserve"> = 1 \* GB3 \* MERGEFORMAT </w:instrText>
      </w:r>
      <w:r>
        <w:rPr>
          <w:snapToGrid w:val="0"/>
          <w:color w:val="auto"/>
          <w:spacing w:val="-6"/>
          <w:kern w:val="21"/>
          <w:szCs w:val="21"/>
          <w:highlight w:val="none"/>
        </w:rPr>
        <w:fldChar w:fldCharType="separate"/>
      </w:r>
      <w:r>
        <w:rPr>
          <w:color w:val="auto"/>
          <w:szCs w:val="21"/>
          <w:highlight w:val="none"/>
        </w:rPr>
        <w:t>①</w:t>
      </w:r>
      <w:r>
        <w:rPr>
          <w:snapToGrid w:val="0"/>
          <w:color w:val="auto"/>
          <w:spacing w:val="-6"/>
          <w:kern w:val="21"/>
          <w:szCs w:val="21"/>
          <w:highlight w:val="none"/>
        </w:rPr>
        <w:fldChar w:fldCharType="end"/>
      </w:r>
      <w:r>
        <w:rPr>
          <w:snapToGrid w:val="0"/>
          <w:color w:val="auto"/>
          <w:spacing w:val="-6"/>
          <w:kern w:val="21"/>
          <w:szCs w:val="21"/>
          <w:highlight w:val="none"/>
        </w:rPr>
        <w:t>+</w:t>
      </w:r>
      <w:r>
        <w:rPr>
          <w:snapToGrid w:val="0"/>
          <w:color w:val="auto"/>
          <w:spacing w:val="-6"/>
          <w:kern w:val="21"/>
          <w:szCs w:val="21"/>
          <w:highlight w:val="none"/>
        </w:rPr>
        <w:fldChar w:fldCharType="begin"/>
      </w:r>
      <w:r>
        <w:rPr>
          <w:snapToGrid w:val="0"/>
          <w:color w:val="auto"/>
          <w:spacing w:val="-6"/>
          <w:kern w:val="21"/>
          <w:szCs w:val="21"/>
          <w:highlight w:val="none"/>
        </w:rPr>
        <w:instrText xml:space="preserve"> = 3 \* GB3 \* MERGEFORMAT </w:instrText>
      </w:r>
      <w:r>
        <w:rPr>
          <w:snapToGrid w:val="0"/>
          <w:color w:val="auto"/>
          <w:spacing w:val="-6"/>
          <w:kern w:val="21"/>
          <w:szCs w:val="21"/>
          <w:highlight w:val="none"/>
        </w:rPr>
        <w:fldChar w:fldCharType="separate"/>
      </w:r>
      <w:r>
        <w:rPr>
          <w:color w:val="auto"/>
          <w:szCs w:val="21"/>
          <w:highlight w:val="none"/>
        </w:rPr>
        <w:t>③</w:t>
      </w:r>
      <w:r>
        <w:rPr>
          <w:snapToGrid w:val="0"/>
          <w:color w:val="auto"/>
          <w:spacing w:val="-6"/>
          <w:kern w:val="21"/>
          <w:szCs w:val="21"/>
          <w:highlight w:val="none"/>
        </w:rPr>
        <w:fldChar w:fldCharType="end"/>
      </w:r>
      <w:r>
        <w:rPr>
          <w:snapToGrid w:val="0"/>
          <w:color w:val="auto"/>
          <w:spacing w:val="-6"/>
          <w:kern w:val="21"/>
          <w:szCs w:val="21"/>
          <w:highlight w:val="none"/>
        </w:rPr>
        <w:t>+</w:t>
      </w:r>
      <w:r>
        <w:rPr>
          <w:snapToGrid w:val="0"/>
          <w:color w:val="auto"/>
          <w:spacing w:val="-6"/>
          <w:kern w:val="21"/>
          <w:szCs w:val="21"/>
          <w:highlight w:val="none"/>
        </w:rPr>
        <w:fldChar w:fldCharType="begin"/>
      </w:r>
      <w:r>
        <w:rPr>
          <w:snapToGrid w:val="0"/>
          <w:color w:val="auto"/>
          <w:spacing w:val="-6"/>
          <w:kern w:val="21"/>
          <w:szCs w:val="21"/>
          <w:highlight w:val="none"/>
        </w:rPr>
        <w:instrText xml:space="preserve"> = 4 \* GB3 \* MERGEFORMAT </w:instrText>
      </w:r>
      <w:r>
        <w:rPr>
          <w:snapToGrid w:val="0"/>
          <w:color w:val="auto"/>
          <w:spacing w:val="-6"/>
          <w:kern w:val="21"/>
          <w:szCs w:val="21"/>
          <w:highlight w:val="none"/>
        </w:rPr>
        <w:fldChar w:fldCharType="separate"/>
      </w:r>
      <w:r>
        <w:rPr>
          <w:color w:val="auto"/>
          <w:szCs w:val="21"/>
          <w:highlight w:val="none"/>
        </w:rPr>
        <w:t>④</w:t>
      </w:r>
      <w:r>
        <w:rPr>
          <w:snapToGrid w:val="0"/>
          <w:color w:val="auto"/>
          <w:spacing w:val="-6"/>
          <w:kern w:val="21"/>
          <w:szCs w:val="21"/>
          <w:highlight w:val="none"/>
        </w:rPr>
        <w:fldChar w:fldCharType="end"/>
      </w:r>
      <w:r>
        <w:rPr>
          <w:snapToGrid w:val="0"/>
          <w:color w:val="auto"/>
          <w:spacing w:val="-6"/>
          <w:kern w:val="21"/>
          <w:szCs w:val="21"/>
          <w:highlight w:val="none"/>
        </w:rPr>
        <w:t>-</w:t>
      </w:r>
      <w:r>
        <w:rPr>
          <w:snapToGrid w:val="0"/>
          <w:color w:val="auto"/>
          <w:spacing w:val="-16"/>
          <w:kern w:val="21"/>
          <w:szCs w:val="21"/>
          <w:highlight w:val="none"/>
        </w:rPr>
        <w:fldChar w:fldCharType="begin"/>
      </w:r>
      <w:r>
        <w:rPr>
          <w:snapToGrid w:val="0"/>
          <w:color w:val="auto"/>
          <w:spacing w:val="-16"/>
          <w:kern w:val="21"/>
          <w:szCs w:val="21"/>
          <w:highlight w:val="none"/>
        </w:rPr>
        <w:instrText xml:space="preserve"> = 5 \* GB3 \* MERGEFORMAT </w:instrText>
      </w:r>
      <w:r>
        <w:rPr>
          <w:snapToGrid w:val="0"/>
          <w:color w:val="auto"/>
          <w:spacing w:val="-16"/>
          <w:kern w:val="21"/>
          <w:szCs w:val="21"/>
          <w:highlight w:val="none"/>
        </w:rPr>
        <w:fldChar w:fldCharType="separate"/>
      </w:r>
      <w:r>
        <w:rPr>
          <w:color w:val="auto"/>
          <w:szCs w:val="21"/>
          <w:highlight w:val="none"/>
        </w:rPr>
        <w:t>⑤</w:t>
      </w:r>
      <w:r>
        <w:rPr>
          <w:snapToGrid w:val="0"/>
          <w:color w:val="auto"/>
          <w:spacing w:val="-16"/>
          <w:kern w:val="21"/>
          <w:szCs w:val="21"/>
          <w:highlight w:val="none"/>
        </w:rPr>
        <w:fldChar w:fldCharType="end"/>
      </w:r>
      <w:r>
        <w:rPr>
          <w:snapToGrid w:val="0"/>
          <w:color w:val="auto"/>
          <w:spacing w:val="-16"/>
          <w:kern w:val="21"/>
          <w:szCs w:val="21"/>
          <w:highlight w:val="none"/>
        </w:rPr>
        <w:t>；</w:t>
      </w:r>
      <w:r>
        <w:rPr>
          <w:snapToGrid w:val="0"/>
          <w:color w:val="auto"/>
          <w:spacing w:val="-6"/>
          <w:kern w:val="21"/>
          <w:szCs w:val="21"/>
          <w:highlight w:val="none"/>
        </w:rPr>
        <w:fldChar w:fldCharType="begin"/>
      </w:r>
      <w:r>
        <w:rPr>
          <w:snapToGrid w:val="0"/>
          <w:color w:val="auto"/>
          <w:spacing w:val="-6"/>
          <w:kern w:val="21"/>
          <w:szCs w:val="21"/>
          <w:highlight w:val="none"/>
        </w:rPr>
        <w:instrText xml:space="preserve"> = 7 \* GB3 \* MERGEFORMAT </w:instrText>
      </w:r>
      <w:r>
        <w:rPr>
          <w:snapToGrid w:val="0"/>
          <w:color w:val="auto"/>
          <w:spacing w:val="-6"/>
          <w:kern w:val="21"/>
          <w:szCs w:val="21"/>
          <w:highlight w:val="none"/>
        </w:rPr>
        <w:fldChar w:fldCharType="separate"/>
      </w:r>
      <w:r>
        <w:rPr>
          <w:color w:val="auto"/>
          <w:szCs w:val="21"/>
          <w:highlight w:val="none"/>
        </w:rPr>
        <w:t>⑦</w:t>
      </w:r>
      <w:r>
        <w:rPr>
          <w:snapToGrid w:val="0"/>
          <w:color w:val="auto"/>
          <w:spacing w:val="-6"/>
          <w:kern w:val="21"/>
          <w:szCs w:val="21"/>
          <w:highlight w:val="none"/>
        </w:rPr>
        <w:fldChar w:fldCharType="end"/>
      </w:r>
      <w:r>
        <w:rPr>
          <w:snapToGrid w:val="0"/>
          <w:color w:val="auto"/>
          <w:spacing w:val="-6"/>
          <w:kern w:val="21"/>
          <w:szCs w:val="21"/>
          <w:highlight w:val="none"/>
        </w:rPr>
        <w:t>=</w:t>
      </w:r>
      <w:r>
        <w:rPr>
          <w:snapToGrid w:val="0"/>
          <w:color w:val="auto"/>
          <w:spacing w:val="-16"/>
          <w:kern w:val="21"/>
          <w:szCs w:val="21"/>
          <w:highlight w:val="none"/>
        </w:rPr>
        <w:fldChar w:fldCharType="begin"/>
      </w:r>
      <w:r>
        <w:rPr>
          <w:snapToGrid w:val="0"/>
          <w:color w:val="auto"/>
          <w:spacing w:val="-16"/>
          <w:kern w:val="21"/>
          <w:szCs w:val="21"/>
          <w:highlight w:val="none"/>
        </w:rPr>
        <w:instrText xml:space="preserve"> = 6 \* GB3 \* MERGEFORMAT </w:instrText>
      </w:r>
      <w:r>
        <w:rPr>
          <w:snapToGrid w:val="0"/>
          <w:color w:val="auto"/>
          <w:spacing w:val="-16"/>
          <w:kern w:val="21"/>
          <w:szCs w:val="21"/>
          <w:highlight w:val="none"/>
        </w:rPr>
        <w:fldChar w:fldCharType="separate"/>
      </w:r>
      <w:r>
        <w:rPr>
          <w:color w:val="auto"/>
          <w:szCs w:val="21"/>
          <w:highlight w:val="none"/>
        </w:rPr>
        <w:t>⑥</w:t>
      </w:r>
      <w:r>
        <w:rPr>
          <w:snapToGrid w:val="0"/>
          <w:color w:val="auto"/>
          <w:spacing w:val="-16"/>
          <w:kern w:val="21"/>
          <w:szCs w:val="21"/>
          <w:highlight w:val="none"/>
        </w:rPr>
        <w:fldChar w:fldCharType="end"/>
      </w:r>
      <w:r>
        <w:rPr>
          <w:snapToGrid w:val="0"/>
          <w:color w:val="auto"/>
          <w:spacing w:val="-16"/>
          <w:kern w:val="21"/>
          <w:szCs w:val="21"/>
          <w:highlight w:val="none"/>
        </w:rPr>
        <w:t>-</w:t>
      </w:r>
      <w:r>
        <w:rPr>
          <w:snapToGrid w:val="0"/>
          <w:color w:val="auto"/>
          <w:spacing w:val="-6"/>
          <w:kern w:val="21"/>
          <w:szCs w:val="21"/>
          <w:highlight w:val="none"/>
        </w:rPr>
        <w:fldChar w:fldCharType="begin"/>
      </w:r>
      <w:r>
        <w:rPr>
          <w:snapToGrid w:val="0"/>
          <w:color w:val="auto"/>
          <w:spacing w:val="-6"/>
          <w:kern w:val="21"/>
          <w:szCs w:val="21"/>
          <w:highlight w:val="none"/>
        </w:rPr>
        <w:instrText xml:space="preserve"> = 1 \* GB3 \* MERGEFORMAT </w:instrText>
      </w:r>
      <w:r>
        <w:rPr>
          <w:snapToGrid w:val="0"/>
          <w:color w:val="auto"/>
          <w:spacing w:val="-6"/>
          <w:kern w:val="21"/>
          <w:szCs w:val="21"/>
          <w:highlight w:val="none"/>
        </w:rPr>
        <w:fldChar w:fldCharType="separate"/>
      </w:r>
      <w:r>
        <w:rPr>
          <w:color w:val="auto"/>
          <w:szCs w:val="21"/>
          <w:highlight w:val="none"/>
        </w:rPr>
        <w:t>①</w:t>
      </w:r>
      <w:r>
        <w:rPr>
          <w:snapToGrid w:val="0"/>
          <w:color w:val="auto"/>
          <w:spacing w:val="-6"/>
          <w:kern w:val="21"/>
          <w:szCs w:val="21"/>
          <w:highlight w:val="none"/>
        </w:rPr>
        <w:fldChar w:fldCharType="end"/>
      </w:r>
    </w:p>
    <w:p>
      <w:pPr>
        <w:rPr>
          <w:color w:val="auto"/>
          <w:highlight w:val="none"/>
        </w:rPr>
      </w:pPr>
    </w:p>
    <w:sectPr>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行楷">
    <w:panose1 w:val="02010800040101010101"/>
    <w:charset w:val="86"/>
    <w:family w:val="auto"/>
    <w:pitch w:val="default"/>
    <w:sig w:usb0="00000001" w:usb1="080F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altName w:val="Arial Unicode MS"/>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8FDFB"/>
    <w:multiLevelType w:val="singleLevel"/>
    <w:tmpl w:val="86E8FDFB"/>
    <w:lvl w:ilvl="0" w:tentative="0">
      <w:start w:val="2"/>
      <w:numFmt w:val="decimal"/>
      <w:suff w:val="nothing"/>
      <w:lvlText w:val="（%1）"/>
      <w:lvlJc w:val="left"/>
    </w:lvl>
  </w:abstractNum>
  <w:abstractNum w:abstractNumId="1">
    <w:nsid w:val="871982C9"/>
    <w:multiLevelType w:val="singleLevel"/>
    <w:tmpl w:val="871982C9"/>
    <w:lvl w:ilvl="0" w:tentative="0">
      <w:start w:val="1"/>
      <w:numFmt w:val="decimal"/>
      <w:suff w:val="nothing"/>
      <w:lvlText w:val="（%1）"/>
      <w:lvlJc w:val="left"/>
    </w:lvl>
  </w:abstractNum>
  <w:abstractNum w:abstractNumId="2">
    <w:nsid w:val="9FE92904"/>
    <w:multiLevelType w:val="singleLevel"/>
    <w:tmpl w:val="9FE92904"/>
    <w:lvl w:ilvl="0" w:tentative="0">
      <w:start w:val="1"/>
      <w:numFmt w:val="lowerLetter"/>
      <w:suff w:val="nothing"/>
      <w:lvlText w:val="%1、"/>
      <w:lvlJc w:val="left"/>
      <w:rPr>
        <w:rFonts w:hint="default"/>
        <w:b/>
        <w:bCs/>
      </w:rPr>
    </w:lvl>
  </w:abstractNum>
  <w:abstractNum w:abstractNumId="3">
    <w:nsid w:val="D57C4C64"/>
    <w:multiLevelType w:val="singleLevel"/>
    <w:tmpl w:val="D57C4C64"/>
    <w:lvl w:ilvl="0" w:tentative="0">
      <w:start w:val="1"/>
      <w:numFmt w:val="upperLetter"/>
      <w:lvlText w:val="%1."/>
      <w:lvlJc w:val="left"/>
      <w:pPr>
        <w:ind w:left="425" w:hanging="425"/>
      </w:pPr>
      <w:rPr>
        <w:rFonts w:hint="default"/>
      </w:rPr>
    </w:lvl>
  </w:abstractNum>
  <w:abstractNum w:abstractNumId="4">
    <w:nsid w:val="0614CE27"/>
    <w:multiLevelType w:val="multilevel"/>
    <w:tmpl w:val="0614CE27"/>
    <w:lvl w:ilvl="0" w:tentative="0">
      <w:start w:val="1"/>
      <w:numFmt w:val="decimal"/>
      <w:pStyle w:val="79"/>
      <w:lvlText w:val="表%1   "/>
      <w:lvlJc w:val="left"/>
      <w:pPr>
        <w:ind w:left="420" w:hanging="420"/>
      </w:pPr>
      <w:rPr>
        <w:rFonts w:hint="eastAsia"/>
        <w:b/>
        <w:i w:val="0"/>
        <w:u w:val="none"/>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279B4FB"/>
    <w:multiLevelType w:val="singleLevel"/>
    <w:tmpl w:val="1279B4FB"/>
    <w:lvl w:ilvl="0" w:tentative="0">
      <w:start w:val="1"/>
      <w:numFmt w:val="bullet"/>
      <w:pStyle w:val="14"/>
      <w:lvlText w:val=""/>
      <w:lvlJc w:val="left"/>
      <w:pPr>
        <w:tabs>
          <w:tab w:val="left" w:pos="2040"/>
        </w:tabs>
        <w:ind w:left="2040" w:hanging="360"/>
      </w:pPr>
      <w:rPr>
        <w:rFonts w:hint="default" w:ascii="Wingdings" w:hAnsi="Wingdings"/>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赵雪">
    <w15:presenceInfo w15:providerId="WPS Office" w15:userId="2894829159"/>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9"/>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MjNhYWUxMmFkMzRiMmM1NzZjNGIwYTlmNGFmNWYifQ=="/>
    <w:docVar w:name="KSO_WPS_MARK_KEY" w:val="2b575d85-f7c9-4fde-959a-f6c40ba82cc5"/>
  </w:docVars>
  <w:rsids>
    <w:rsidRoot w:val="00172A27"/>
    <w:rsid w:val="00002647"/>
    <w:rsid w:val="000060B3"/>
    <w:rsid w:val="000312F6"/>
    <w:rsid w:val="0004364B"/>
    <w:rsid w:val="00061B1F"/>
    <w:rsid w:val="00067DEE"/>
    <w:rsid w:val="000733C4"/>
    <w:rsid w:val="00074783"/>
    <w:rsid w:val="00076D34"/>
    <w:rsid w:val="0008070B"/>
    <w:rsid w:val="000810AC"/>
    <w:rsid w:val="00081A02"/>
    <w:rsid w:val="00082231"/>
    <w:rsid w:val="00092D38"/>
    <w:rsid w:val="0009377B"/>
    <w:rsid w:val="000A20C9"/>
    <w:rsid w:val="000A3BEC"/>
    <w:rsid w:val="000B058F"/>
    <w:rsid w:val="000B4467"/>
    <w:rsid w:val="000B4DB9"/>
    <w:rsid w:val="000C09AC"/>
    <w:rsid w:val="000C767F"/>
    <w:rsid w:val="000D5A44"/>
    <w:rsid w:val="000E3ED2"/>
    <w:rsid w:val="00131F42"/>
    <w:rsid w:val="001357F1"/>
    <w:rsid w:val="00140FA8"/>
    <w:rsid w:val="00142FEB"/>
    <w:rsid w:val="00143A2D"/>
    <w:rsid w:val="00145A41"/>
    <w:rsid w:val="00151675"/>
    <w:rsid w:val="001570FF"/>
    <w:rsid w:val="00157435"/>
    <w:rsid w:val="001669D4"/>
    <w:rsid w:val="00172A27"/>
    <w:rsid w:val="00174967"/>
    <w:rsid w:val="0017504D"/>
    <w:rsid w:val="0017671A"/>
    <w:rsid w:val="00177422"/>
    <w:rsid w:val="00184590"/>
    <w:rsid w:val="001870D1"/>
    <w:rsid w:val="0018781E"/>
    <w:rsid w:val="00190910"/>
    <w:rsid w:val="0019262D"/>
    <w:rsid w:val="001A0F4F"/>
    <w:rsid w:val="001A1B35"/>
    <w:rsid w:val="001A48A2"/>
    <w:rsid w:val="001A6F61"/>
    <w:rsid w:val="001B6BE1"/>
    <w:rsid w:val="001B72B8"/>
    <w:rsid w:val="001C4A05"/>
    <w:rsid w:val="001C69B3"/>
    <w:rsid w:val="001D5595"/>
    <w:rsid w:val="001D7874"/>
    <w:rsid w:val="001D7F22"/>
    <w:rsid w:val="001E5824"/>
    <w:rsid w:val="001F0F17"/>
    <w:rsid w:val="001F3347"/>
    <w:rsid w:val="001F69E4"/>
    <w:rsid w:val="002125B4"/>
    <w:rsid w:val="002155B8"/>
    <w:rsid w:val="00224839"/>
    <w:rsid w:val="002249B2"/>
    <w:rsid w:val="00226574"/>
    <w:rsid w:val="002278EC"/>
    <w:rsid w:val="00231B5B"/>
    <w:rsid w:val="0023280E"/>
    <w:rsid w:val="002377D1"/>
    <w:rsid w:val="00247B5B"/>
    <w:rsid w:val="002506BC"/>
    <w:rsid w:val="00254345"/>
    <w:rsid w:val="00264557"/>
    <w:rsid w:val="002805AB"/>
    <w:rsid w:val="0028264D"/>
    <w:rsid w:val="00284204"/>
    <w:rsid w:val="00291773"/>
    <w:rsid w:val="002A168C"/>
    <w:rsid w:val="002A3DC7"/>
    <w:rsid w:val="002B059C"/>
    <w:rsid w:val="002B2ED7"/>
    <w:rsid w:val="002B49E2"/>
    <w:rsid w:val="002B7B00"/>
    <w:rsid w:val="002B7C44"/>
    <w:rsid w:val="002C2B17"/>
    <w:rsid w:val="002D3DD0"/>
    <w:rsid w:val="002E1F3A"/>
    <w:rsid w:val="002E298A"/>
    <w:rsid w:val="002E4B71"/>
    <w:rsid w:val="00301978"/>
    <w:rsid w:val="0030332C"/>
    <w:rsid w:val="003051C2"/>
    <w:rsid w:val="00312296"/>
    <w:rsid w:val="00314F0E"/>
    <w:rsid w:val="00321D8E"/>
    <w:rsid w:val="00325928"/>
    <w:rsid w:val="00325D61"/>
    <w:rsid w:val="00332863"/>
    <w:rsid w:val="0033684D"/>
    <w:rsid w:val="00337B42"/>
    <w:rsid w:val="00341B42"/>
    <w:rsid w:val="0034348F"/>
    <w:rsid w:val="0035278A"/>
    <w:rsid w:val="00356653"/>
    <w:rsid w:val="0035743F"/>
    <w:rsid w:val="00357777"/>
    <w:rsid w:val="00357BE2"/>
    <w:rsid w:val="0036170C"/>
    <w:rsid w:val="00366E0F"/>
    <w:rsid w:val="00372FD2"/>
    <w:rsid w:val="00381A72"/>
    <w:rsid w:val="00384676"/>
    <w:rsid w:val="00390857"/>
    <w:rsid w:val="003A4BF3"/>
    <w:rsid w:val="003B420D"/>
    <w:rsid w:val="003C6C16"/>
    <w:rsid w:val="003D794D"/>
    <w:rsid w:val="003E3058"/>
    <w:rsid w:val="003E76A9"/>
    <w:rsid w:val="003F0809"/>
    <w:rsid w:val="003F6A8C"/>
    <w:rsid w:val="003F755C"/>
    <w:rsid w:val="00406F01"/>
    <w:rsid w:val="00416D50"/>
    <w:rsid w:val="00416FD5"/>
    <w:rsid w:val="00417772"/>
    <w:rsid w:val="00420E6A"/>
    <w:rsid w:val="00423E8D"/>
    <w:rsid w:val="00425A9E"/>
    <w:rsid w:val="00426D6B"/>
    <w:rsid w:val="00431E6C"/>
    <w:rsid w:val="00433CE7"/>
    <w:rsid w:val="00441525"/>
    <w:rsid w:val="00445968"/>
    <w:rsid w:val="004479E5"/>
    <w:rsid w:val="00452738"/>
    <w:rsid w:val="00456091"/>
    <w:rsid w:val="00466321"/>
    <w:rsid w:val="00484B9B"/>
    <w:rsid w:val="004855F6"/>
    <w:rsid w:val="0048661E"/>
    <w:rsid w:val="00494670"/>
    <w:rsid w:val="00494FFB"/>
    <w:rsid w:val="004A3823"/>
    <w:rsid w:val="004A78FA"/>
    <w:rsid w:val="004C49ED"/>
    <w:rsid w:val="004E6946"/>
    <w:rsid w:val="004F1AD8"/>
    <w:rsid w:val="004F44E2"/>
    <w:rsid w:val="005039CB"/>
    <w:rsid w:val="0050558F"/>
    <w:rsid w:val="00506286"/>
    <w:rsid w:val="00510813"/>
    <w:rsid w:val="00511990"/>
    <w:rsid w:val="00511DE0"/>
    <w:rsid w:val="00514870"/>
    <w:rsid w:val="00514B9B"/>
    <w:rsid w:val="00517F02"/>
    <w:rsid w:val="00524303"/>
    <w:rsid w:val="005258A2"/>
    <w:rsid w:val="005401AE"/>
    <w:rsid w:val="00542E07"/>
    <w:rsid w:val="00545424"/>
    <w:rsid w:val="00554A7B"/>
    <w:rsid w:val="0055572C"/>
    <w:rsid w:val="0055574E"/>
    <w:rsid w:val="0056106A"/>
    <w:rsid w:val="005720AE"/>
    <w:rsid w:val="00585012"/>
    <w:rsid w:val="0059003C"/>
    <w:rsid w:val="00594D77"/>
    <w:rsid w:val="005969E4"/>
    <w:rsid w:val="005A06B7"/>
    <w:rsid w:val="005A1759"/>
    <w:rsid w:val="005A4576"/>
    <w:rsid w:val="005A68A7"/>
    <w:rsid w:val="005C1E9F"/>
    <w:rsid w:val="005D36AB"/>
    <w:rsid w:val="0060661D"/>
    <w:rsid w:val="00617CC3"/>
    <w:rsid w:val="00626D7E"/>
    <w:rsid w:val="0063236C"/>
    <w:rsid w:val="006354AC"/>
    <w:rsid w:val="006377A6"/>
    <w:rsid w:val="00637A3D"/>
    <w:rsid w:val="006411EF"/>
    <w:rsid w:val="006748B8"/>
    <w:rsid w:val="006775C3"/>
    <w:rsid w:val="00683A2B"/>
    <w:rsid w:val="0069290A"/>
    <w:rsid w:val="006957B5"/>
    <w:rsid w:val="0069775A"/>
    <w:rsid w:val="00697813"/>
    <w:rsid w:val="006A3EE8"/>
    <w:rsid w:val="006A72BF"/>
    <w:rsid w:val="006B03F2"/>
    <w:rsid w:val="006B37DC"/>
    <w:rsid w:val="006B4F68"/>
    <w:rsid w:val="006C0592"/>
    <w:rsid w:val="006C272E"/>
    <w:rsid w:val="006C5479"/>
    <w:rsid w:val="006D13B5"/>
    <w:rsid w:val="006E12FF"/>
    <w:rsid w:val="006E607E"/>
    <w:rsid w:val="00706C5D"/>
    <w:rsid w:val="007307FD"/>
    <w:rsid w:val="00732922"/>
    <w:rsid w:val="0075162E"/>
    <w:rsid w:val="00754034"/>
    <w:rsid w:val="00756556"/>
    <w:rsid w:val="0076131C"/>
    <w:rsid w:val="007618C4"/>
    <w:rsid w:val="00763733"/>
    <w:rsid w:val="00767980"/>
    <w:rsid w:val="00770B19"/>
    <w:rsid w:val="0077463F"/>
    <w:rsid w:val="007836EA"/>
    <w:rsid w:val="00784CDA"/>
    <w:rsid w:val="007906C4"/>
    <w:rsid w:val="007940EA"/>
    <w:rsid w:val="007967E8"/>
    <w:rsid w:val="007A1059"/>
    <w:rsid w:val="007A2170"/>
    <w:rsid w:val="007A22BF"/>
    <w:rsid w:val="007A3323"/>
    <w:rsid w:val="007B4806"/>
    <w:rsid w:val="007B72B8"/>
    <w:rsid w:val="007B7A58"/>
    <w:rsid w:val="007B7F67"/>
    <w:rsid w:val="007C21B5"/>
    <w:rsid w:val="007D0DC8"/>
    <w:rsid w:val="007D7080"/>
    <w:rsid w:val="007E1690"/>
    <w:rsid w:val="007E4BD2"/>
    <w:rsid w:val="007E4CB4"/>
    <w:rsid w:val="007E5A83"/>
    <w:rsid w:val="007E6FF1"/>
    <w:rsid w:val="00801393"/>
    <w:rsid w:val="00802F88"/>
    <w:rsid w:val="00806FFD"/>
    <w:rsid w:val="0081293E"/>
    <w:rsid w:val="00815465"/>
    <w:rsid w:val="00817E9A"/>
    <w:rsid w:val="00824392"/>
    <w:rsid w:val="00827254"/>
    <w:rsid w:val="008306BD"/>
    <w:rsid w:val="00831A80"/>
    <w:rsid w:val="00833743"/>
    <w:rsid w:val="008340A4"/>
    <w:rsid w:val="00865E63"/>
    <w:rsid w:val="0086728E"/>
    <w:rsid w:val="0087135F"/>
    <w:rsid w:val="00872D94"/>
    <w:rsid w:val="00880364"/>
    <w:rsid w:val="00891592"/>
    <w:rsid w:val="00891E9E"/>
    <w:rsid w:val="00893649"/>
    <w:rsid w:val="008A2F68"/>
    <w:rsid w:val="008B4FA6"/>
    <w:rsid w:val="008B5282"/>
    <w:rsid w:val="008B7C17"/>
    <w:rsid w:val="008C2D01"/>
    <w:rsid w:val="008C40E6"/>
    <w:rsid w:val="008D0F7A"/>
    <w:rsid w:val="008D68E4"/>
    <w:rsid w:val="008E0506"/>
    <w:rsid w:val="008E0CFF"/>
    <w:rsid w:val="008E1ECE"/>
    <w:rsid w:val="008E5D6B"/>
    <w:rsid w:val="008E76F0"/>
    <w:rsid w:val="008F15FE"/>
    <w:rsid w:val="008F2D29"/>
    <w:rsid w:val="008F5187"/>
    <w:rsid w:val="008F60D8"/>
    <w:rsid w:val="00900EEA"/>
    <w:rsid w:val="00902727"/>
    <w:rsid w:val="0090312B"/>
    <w:rsid w:val="009049D8"/>
    <w:rsid w:val="0091736D"/>
    <w:rsid w:val="009269A2"/>
    <w:rsid w:val="0093037A"/>
    <w:rsid w:val="0094154D"/>
    <w:rsid w:val="0095155F"/>
    <w:rsid w:val="00953A4A"/>
    <w:rsid w:val="00954429"/>
    <w:rsid w:val="009563CE"/>
    <w:rsid w:val="00976328"/>
    <w:rsid w:val="0097680D"/>
    <w:rsid w:val="00982438"/>
    <w:rsid w:val="0098404C"/>
    <w:rsid w:val="00985283"/>
    <w:rsid w:val="0099241E"/>
    <w:rsid w:val="00995992"/>
    <w:rsid w:val="009A03E5"/>
    <w:rsid w:val="009A0F3B"/>
    <w:rsid w:val="009A1BB4"/>
    <w:rsid w:val="009A2628"/>
    <w:rsid w:val="009A3200"/>
    <w:rsid w:val="009B0897"/>
    <w:rsid w:val="009B7BD9"/>
    <w:rsid w:val="009C7DD5"/>
    <w:rsid w:val="009E227D"/>
    <w:rsid w:val="009E5019"/>
    <w:rsid w:val="00A04F1B"/>
    <w:rsid w:val="00A0501B"/>
    <w:rsid w:val="00A14947"/>
    <w:rsid w:val="00A32A83"/>
    <w:rsid w:val="00A36323"/>
    <w:rsid w:val="00A368DB"/>
    <w:rsid w:val="00A423AA"/>
    <w:rsid w:val="00A44457"/>
    <w:rsid w:val="00A45AF2"/>
    <w:rsid w:val="00A53EC6"/>
    <w:rsid w:val="00A55C0F"/>
    <w:rsid w:val="00A57E21"/>
    <w:rsid w:val="00A62EAC"/>
    <w:rsid w:val="00A71D4D"/>
    <w:rsid w:val="00A8713F"/>
    <w:rsid w:val="00A90BA1"/>
    <w:rsid w:val="00A97A9A"/>
    <w:rsid w:val="00AA0671"/>
    <w:rsid w:val="00AA2531"/>
    <w:rsid w:val="00AA4C72"/>
    <w:rsid w:val="00AA7161"/>
    <w:rsid w:val="00AB1E09"/>
    <w:rsid w:val="00AB5330"/>
    <w:rsid w:val="00AB7747"/>
    <w:rsid w:val="00AC14CE"/>
    <w:rsid w:val="00AC2A56"/>
    <w:rsid w:val="00AC2BA2"/>
    <w:rsid w:val="00AD055E"/>
    <w:rsid w:val="00AD47A7"/>
    <w:rsid w:val="00AD7A25"/>
    <w:rsid w:val="00AE64EF"/>
    <w:rsid w:val="00AF0CBF"/>
    <w:rsid w:val="00AF257F"/>
    <w:rsid w:val="00AF33CF"/>
    <w:rsid w:val="00AF4D50"/>
    <w:rsid w:val="00AF6179"/>
    <w:rsid w:val="00B11B0B"/>
    <w:rsid w:val="00B1295A"/>
    <w:rsid w:val="00B20A45"/>
    <w:rsid w:val="00B2189C"/>
    <w:rsid w:val="00B22C5C"/>
    <w:rsid w:val="00B24F30"/>
    <w:rsid w:val="00B31ABF"/>
    <w:rsid w:val="00B33BE3"/>
    <w:rsid w:val="00B53A0D"/>
    <w:rsid w:val="00B53B5D"/>
    <w:rsid w:val="00B56C3C"/>
    <w:rsid w:val="00B6055E"/>
    <w:rsid w:val="00B6317D"/>
    <w:rsid w:val="00B7723F"/>
    <w:rsid w:val="00B80534"/>
    <w:rsid w:val="00B8433C"/>
    <w:rsid w:val="00B87491"/>
    <w:rsid w:val="00BA29E9"/>
    <w:rsid w:val="00BA7142"/>
    <w:rsid w:val="00BB237C"/>
    <w:rsid w:val="00BB41A3"/>
    <w:rsid w:val="00BC32DC"/>
    <w:rsid w:val="00BC35B6"/>
    <w:rsid w:val="00BD1B51"/>
    <w:rsid w:val="00BD4596"/>
    <w:rsid w:val="00BE1405"/>
    <w:rsid w:val="00BE312D"/>
    <w:rsid w:val="00BF1C20"/>
    <w:rsid w:val="00C10578"/>
    <w:rsid w:val="00C135BC"/>
    <w:rsid w:val="00C15C95"/>
    <w:rsid w:val="00C246FD"/>
    <w:rsid w:val="00C2596A"/>
    <w:rsid w:val="00C27537"/>
    <w:rsid w:val="00C328FE"/>
    <w:rsid w:val="00C33507"/>
    <w:rsid w:val="00C4409D"/>
    <w:rsid w:val="00C44E72"/>
    <w:rsid w:val="00C45A06"/>
    <w:rsid w:val="00C47E5B"/>
    <w:rsid w:val="00C61E4B"/>
    <w:rsid w:val="00C64BFF"/>
    <w:rsid w:val="00C674C7"/>
    <w:rsid w:val="00C704E9"/>
    <w:rsid w:val="00C763C9"/>
    <w:rsid w:val="00C80057"/>
    <w:rsid w:val="00C82232"/>
    <w:rsid w:val="00C82913"/>
    <w:rsid w:val="00C8709B"/>
    <w:rsid w:val="00C972B1"/>
    <w:rsid w:val="00CA2CCE"/>
    <w:rsid w:val="00CA43FD"/>
    <w:rsid w:val="00CA7EF8"/>
    <w:rsid w:val="00CC489B"/>
    <w:rsid w:val="00CD2BCD"/>
    <w:rsid w:val="00CD3A4C"/>
    <w:rsid w:val="00CE10E9"/>
    <w:rsid w:val="00CE2910"/>
    <w:rsid w:val="00CE5393"/>
    <w:rsid w:val="00CF36BE"/>
    <w:rsid w:val="00CF6000"/>
    <w:rsid w:val="00D003F3"/>
    <w:rsid w:val="00D0364F"/>
    <w:rsid w:val="00D06834"/>
    <w:rsid w:val="00D1585B"/>
    <w:rsid w:val="00D308ED"/>
    <w:rsid w:val="00D36D86"/>
    <w:rsid w:val="00D428AA"/>
    <w:rsid w:val="00D50A34"/>
    <w:rsid w:val="00D53EFA"/>
    <w:rsid w:val="00D57BBC"/>
    <w:rsid w:val="00D60B73"/>
    <w:rsid w:val="00D776C3"/>
    <w:rsid w:val="00D77B69"/>
    <w:rsid w:val="00D86B45"/>
    <w:rsid w:val="00D94A7C"/>
    <w:rsid w:val="00D95896"/>
    <w:rsid w:val="00D96B47"/>
    <w:rsid w:val="00DB2983"/>
    <w:rsid w:val="00DC0519"/>
    <w:rsid w:val="00DC1257"/>
    <w:rsid w:val="00DC3DC0"/>
    <w:rsid w:val="00DC5B2B"/>
    <w:rsid w:val="00DD318D"/>
    <w:rsid w:val="00DF2E12"/>
    <w:rsid w:val="00DF514A"/>
    <w:rsid w:val="00DF6690"/>
    <w:rsid w:val="00DF6804"/>
    <w:rsid w:val="00E0358D"/>
    <w:rsid w:val="00E04323"/>
    <w:rsid w:val="00E070A2"/>
    <w:rsid w:val="00E15761"/>
    <w:rsid w:val="00E238D5"/>
    <w:rsid w:val="00E2656A"/>
    <w:rsid w:val="00E412D0"/>
    <w:rsid w:val="00E56322"/>
    <w:rsid w:val="00E5770D"/>
    <w:rsid w:val="00E60982"/>
    <w:rsid w:val="00E62C62"/>
    <w:rsid w:val="00E654C1"/>
    <w:rsid w:val="00E65D97"/>
    <w:rsid w:val="00E72A5A"/>
    <w:rsid w:val="00E73354"/>
    <w:rsid w:val="00E90BBC"/>
    <w:rsid w:val="00E9242D"/>
    <w:rsid w:val="00EA160D"/>
    <w:rsid w:val="00EA2C20"/>
    <w:rsid w:val="00EB5255"/>
    <w:rsid w:val="00EB5403"/>
    <w:rsid w:val="00EB5C47"/>
    <w:rsid w:val="00EC4669"/>
    <w:rsid w:val="00EC5BB0"/>
    <w:rsid w:val="00EC7B6F"/>
    <w:rsid w:val="00ED0639"/>
    <w:rsid w:val="00EE1CD8"/>
    <w:rsid w:val="00EF4755"/>
    <w:rsid w:val="00EF6309"/>
    <w:rsid w:val="00EF7135"/>
    <w:rsid w:val="00F027DB"/>
    <w:rsid w:val="00F033F3"/>
    <w:rsid w:val="00F04C18"/>
    <w:rsid w:val="00F14A7A"/>
    <w:rsid w:val="00F22985"/>
    <w:rsid w:val="00F3383E"/>
    <w:rsid w:val="00F465A7"/>
    <w:rsid w:val="00F50B7C"/>
    <w:rsid w:val="00F550E6"/>
    <w:rsid w:val="00F74345"/>
    <w:rsid w:val="00F80A0A"/>
    <w:rsid w:val="00F82B19"/>
    <w:rsid w:val="00F9212D"/>
    <w:rsid w:val="00F965DA"/>
    <w:rsid w:val="00FA406A"/>
    <w:rsid w:val="00FB3DFD"/>
    <w:rsid w:val="00FB503A"/>
    <w:rsid w:val="00FB516C"/>
    <w:rsid w:val="00FC09D6"/>
    <w:rsid w:val="00FC1F67"/>
    <w:rsid w:val="00FD0112"/>
    <w:rsid w:val="00FD0236"/>
    <w:rsid w:val="00FD18F4"/>
    <w:rsid w:val="00FD54DB"/>
    <w:rsid w:val="00FD619F"/>
    <w:rsid w:val="00FF391E"/>
    <w:rsid w:val="010016D4"/>
    <w:rsid w:val="010F7FF3"/>
    <w:rsid w:val="011F2F39"/>
    <w:rsid w:val="01290F7E"/>
    <w:rsid w:val="012A4E2C"/>
    <w:rsid w:val="013E233D"/>
    <w:rsid w:val="01500520"/>
    <w:rsid w:val="015D1E09"/>
    <w:rsid w:val="016723A2"/>
    <w:rsid w:val="017071C0"/>
    <w:rsid w:val="01733DFA"/>
    <w:rsid w:val="0176711C"/>
    <w:rsid w:val="017948A9"/>
    <w:rsid w:val="01821D72"/>
    <w:rsid w:val="018770B1"/>
    <w:rsid w:val="018F4C90"/>
    <w:rsid w:val="01925110"/>
    <w:rsid w:val="019A6FC3"/>
    <w:rsid w:val="019E2E7E"/>
    <w:rsid w:val="01A12449"/>
    <w:rsid w:val="01A73D87"/>
    <w:rsid w:val="01A82B41"/>
    <w:rsid w:val="01B35B59"/>
    <w:rsid w:val="01BD17FD"/>
    <w:rsid w:val="01BF6322"/>
    <w:rsid w:val="01C278E2"/>
    <w:rsid w:val="01C36967"/>
    <w:rsid w:val="01CA475E"/>
    <w:rsid w:val="01D106AF"/>
    <w:rsid w:val="01E01C7F"/>
    <w:rsid w:val="01E57599"/>
    <w:rsid w:val="01E870A5"/>
    <w:rsid w:val="01E97E4F"/>
    <w:rsid w:val="021E565B"/>
    <w:rsid w:val="02214A54"/>
    <w:rsid w:val="022B5FE7"/>
    <w:rsid w:val="02407613"/>
    <w:rsid w:val="02417E71"/>
    <w:rsid w:val="02697903"/>
    <w:rsid w:val="026A0F68"/>
    <w:rsid w:val="026B5278"/>
    <w:rsid w:val="028C720F"/>
    <w:rsid w:val="029C2DE6"/>
    <w:rsid w:val="02A91F1D"/>
    <w:rsid w:val="02AA3D31"/>
    <w:rsid w:val="02AB0492"/>
    <w:rsid w:val="02BE10CC"/>
    <w:rsid w:val="02C96600"/>
    <w:rsid w:val="02D43C38"/>
    <w:rsid w:val="02D658DF"/>
    <w:rsid w:val="02DE7BDF"/>
    <w:rsid w:val="02E03715"/>
    <w:rsid w:val="02E24CCC"/>
    <w:rsid w:val="02E64D83"/>
    <w:rsid w:val="02E912A5"/>
    <w:rsid w:val="02EC4306"/>
    <w:rsid w:val="02EE5E58"/>
    <w:rsid w:val="02F7187C"/>
    <w:rsid w:val="02F96569"/>
    <w:rsid w:val="030022E2"/>
    <w:rsid w:val="030C5E82"/>
    <w:rsid w:val="031E5D61"/>
    <w:rsid w:val="031F076A"/>
    <w:rsid w:val="032320A3"/>
    <w:rsid w:val="03240DFD"/>
    <w:rsid w:val="03332FF3"/>
    <w:rsid w:val="033617EE"/>
    <w:rsid w:val="033F363E"/>
    <w:rsid w:val="034321D6"/>
    <w:rsid w:val="034B63E5"/>
    <w:rsid w:val="034E1F6F"/>
    <w:rsid w:val="035F1742"/>
    <w:rsid w:val="036439CE"/>
    <w:rsid w:val="03770021"/>
    <w:rsid w:val="038C620F"/>
    <w:rsid w:val="03A0723F"/>
    <w:rsid w:val="03A12DB6"/>
    <w:rsid w:val="03A40FA5"/>
    <w:rsid w:val="03A977AA"/>
    <w:rsid w:val="03AB7E75"/>
    <w:rsid w:val="03D84217"/>
    <w:rsid w:val="03E17270"/>
    <w:rsid w:val="03EA7B21"/>
    <w:rsid w:val="03F13ECF"/>
    <w:rsid w:val="040E4592"/>
    <w:rsid w:val="04100401"/>
    <w:rsid w:val="04151D1B"/>
    <w:rsid w:val="04237C99"/>
    <w:rsid w:val="04380670"/>
    <w:rsid w:val="0442423B"/>
    <w:rsid w:val="04461F7D"/>
    <w:rsid w:val="0451447E"/>
    <w:rsid w:val="04547A4F"/>
    <w:rsid w:val="0458729C"/>
    <w:rsid w:val="045D2E23"/>
    <w:rsid w:val="045D4A08"/>
    <w:rsid w:val="046B20F9"/>
    <w:rsid w:val="04B21400"/>
    <w:rsid w:val="04BB1678"/>
    <w:rsid w:val="04C44478"/>
    <w:rsid w:val="04C9670A"/>
    <w:rsid w:val="04D15FB9"/>
    <w:rsid w:val="04D24664"/>
    <w:rsid w:val="04E9456C"/>
    <w:rsid w:val="04EB3BB5"/>
    <w:rsid w:val="04F0083F"/>
    <w:rsid w:val="04F55751"/>
    <w:rsid w:val="05425141"/>
    <w:rsid w:val="0555486F"/>
    <w:rsid w:val="055E497F"/>
    <w:rsid w:val="056A1C9B"/>
    <w:rsid w:val="057D48A8"/>
    <w:rsid w:val="05854128"/>
    <w:rsid w:val="059423D1"/>
    <w:rsid w:val="05C94595"/>
    <w:rsid w:val="05D219CA"/>
    <w:rsid w:val="05D309F4"/>
    <w:rsid w:val="05DB6EA3"/>
    <w:rsid w:val="05E54337"/>
    <w:rsid w:val="05ED1043"/>
    <w:rsid w:val="05F83EAE"/>
    <w:rsid w:val="061131C1"/>
    <w:rsid w:val="061910A7"/>
    <w:rsid w:val="061F6569"/>
    <w:rsid w:val="06221E9B"/>
    <w:rsid w:val="0627337D"/>
    <w:rsid w:val="063B0E1C"/>
    <w:rsid w:val="063B743F"/>
    <w:rsid w:val="063E7D85"/>
    <w:rsid w:val="06527EE9"/>
    <w:rsid w:val="065546FA"/>
    <w:rsid w:val="06673D13"/>
    <w:rsid w:val="066A2E36"/>
    <w:rsid w:val="066E049D"/>
    <w:rsid w:val="067304F4"/>
    <w:rsid w:val="06795AB4"/>
    <w:rsid w:val="0682631E"/>
    <w:rsid w:val="069345AD"/>
    <w:rsid w:val="069F4066"/>
    <w:rsid w:val="06A411DD"/>
    <w:rsid w:val="06C61153"/>
    <w:rsid w:val="06CB676A"/>
    <w:rsid w:val="06D01FD2"/>
    <w:rsid w:val="06D34AB0"/>
    <w:rsid w:val="06D5115F"/>
    <w:rsid w:val="06E11B31"/>
    <w:rsid w:val="06E354D2"/>
    <w:rsid w:val="06E4123C"/>
    <w:rsid w:val="06EB6DFB"/>
    <w:rsid w:val="06F15AA5"/>
    <w:rsid w:val="06FA452C"/>
    <w:rsid w:val="070005F5"/>
    <w:rsid w:val="07003E78"/>
    <w:rsid w:val="070E4F2D"/>
    <w:rsid w:val="072916E2"/>
    <w:rsid w:val="07293586"/>
    <w:rsid w:val="07295285"/>
    <w:rsid w:val="07383697"/>
    <w:rsid w:val="07396204"/>
    <w:rsid w:val="073A76D2"/>
    <w:rsid w:val="0741366C"/>
    <w:rsid w:val="0755323E"/>
    <w:rsid w:val="075937DC"/>
    <w:rsid w:val="075D6057"/>
    <w:rsid w:val="07636392"/>
    <w:rsid w:val="07717112"/>
    <w:rsid w:val="07770C56"/>
    <w:rsid w:val="078105F0"/>
    <w:rsid w:val="078F2550"/>
    <w:rsid w:val="07906507"/>
    <w:rsid w:val="07930BBF"/>
    <w:rsid w:val="079A7C86"/>
    <w:rsid w:val="07B06E16"/>
    <w:rsid w:val="07B70020"/>
    <w:rsid w:val="07E01CCE"/>
    <w:rsid w:val="07F75878"/>
    <w:rsid w:val="08012656"/>
    <w:rsid w:val="0824275A"/>
    <w:rsid w:val="082A29E7"/>
    <w:rsid w:val="083620E7"/>
    <w:rsid w:val="083C3EF0"/>
    <w:rsid w:val="08464FFB"/>
    <w:rsid w:val="084E143A"/>
    <w:rsid w:val="085911E0"/>
    <w:rsid w:val="085A247A"/>
    <w:rsid w:val="086A5937"/>
    <w:rsid w:val="087236B6"/>
    <w:rsid w:val="087B0B92"/>
    <w:rsid w:val="087C77F7"/>
    <w:rsid w:val="08844E22"/>
    <w:rsid w:val="08867539"/>
    <w:rsid w:val="08872A08"/>
    <w:rsid w:val="08A04683"/>
    <w:rsid w:val="08A65FDD"/>
    <w:rsid w:val="08B84E23"/>
    <w:rsid w:val="08BC2A1A"/>
    <w:rsid w:val="08C617AA"/>
    <w:rsid w:val="08D82F22"/>
    <w:rsid w:val="08DA2C94"/>
    <w:rsid w:val="09152E51"/>
    <w:rsid w:val="092217DD"/>
    <w:rsid w:val="093852B6"/>
    <w:rsid w:val="093A7294"/>
    <w:rsid w:val="093C56FD"/>
    <w:rsid w:val="093F51ED"/>
    <w:rsid w:val="094654D0"/>
    <w:rsid w:val="09491013"/>
    <w:rsid w:val="094A5366"/>
    <w:rsid w:val="09572537"/>
    <w:rsid w:val="095A2027"/>
    <w:rsid w:val="095B72E3"/>
    <w:rsid w:val="09714824"/>
    <w:rsid w:val="09745D09"/>
    <w:rsid w:val="09774987"/>
    <w:rsid w:val="099F18A4"/>
    <w:rsid w:val="09C3775C"/>
    <w:rsid w:val="09C556F2"/>
    <w:rsid w:val="09CB24B1"/>
    <w:rsid w:val="09CC19D4"/>
    <w:rsid w:val="09D64969"/>
    <w:rsid w:val="09E518F1"/>
    <w:rsid w:val="09E55D95"/>
    <w:rsid w:val="09F760D8"/>
    <w:rsid w:val="09F834B6"/>
    <w:rsid w:val="09F9539C"/>
    <w:rsid w:val="09FC6C79"/>
    <w:rsid w:val="0A047A73"/>
    <w:rsid w:val="0A0F415D"/>
    <w:rsid w:val="0A1D4C4D"/>
    <w:rsid w:val="0A263993"/>
    <w:rsid w:val="0A2A3588"/>
    <w:rsid w:val="0A2D3AC2"/>
    <w:rsid w:val="0A395DAD"/>
    <w:rsid w:val="0A427E0D"/>
    <w:rsid w:val="0A524742"/>
    <w:rsid w:val="0A5E6F4F"/>
    <w:rsid w:val="0A6F38B0"/>
    <w:rsid w:val="0A744A3B"/>
    <w:rsid w:val="0A970A73"/>
    <w:rsid w:val="0A9D666F"/>
    <w:rsid w:val="0A9D7E21"/>
    <w:rsid w:val="0AA20A75"/>
    <w:rsid w:val="0AA40A61"/>
    <w:rsid w:val="0AA43B18"/>
    <w:rsid w:val="0AA755DF"/>
    <w:rsid w:val="0AB36C6B"/>
    <w:rsid w:val="0AB4062D"/>
    <w:rsid w:val="0AB55FCE"/>
    <w:rsid w:val="0AC229D7"/>
    <w:rsid w:val="0AC345EC"/>
    <w:rsid w:val="0ACA0862"/>
    <w:rsid w:val="0ACA591E"/>
    <w:rsid w:val="0AD237E6"/>
    <w:rsid w:val="0ADA2474"/>
    <w:rsid w:val="0ADE2E52"/>
    <w:rsid w:val="0AF7298D"/>
    <w:rsid w:val="0AFB5144"/>
    <w:rsid w:val="0B0E2AF0"/>
    <w:rsid w:val="0B0F318F"/>
    <w:rsid w:val="0B106E41"/>
    <w:rsid w:val="0B120D44"/>
    <w:rsid w:val="0B3B5918"/>
    <w:rsid w:val="0B3D090B"/>
    <w:rsid w:val="0B5E6F36"/>
    <w:rsid w:val="0B7A71C5"/>
    <w:rsid w:val="0B9404D7"/>
    <w:rsid w:val="0B9A495D"/>
    <w:rsid w:val="0B9C16B1"/>
    <w:rsid w:val="0BAF58F9"/>
    <w:rsid w:val="0BB7160A"/>
    <w:rsid w:val="0BB81A5B"/>
    <w:rsid w:val="0BBB6405"/>
    <w:rsid w:val="0BBC5DDF"/>
    <w:rsid w:val="0BBE5E9C"/>
    <w:rsid w:val="0BC42DFB"/>
    <w:rsid w:val="0BC60D92"/>
    <w:rsid w:val="0BC66A92"/>
    <w:rsid w:val="0BCE4606"/>
    <w:rsid w:val="0BD27BF6"/>
    <w:rsid w:val="0BDC5030"/>
    <w:rsid w:val="0BDE2BF9"/>
    <w:rsid w:val="0BFB1206"/>
    <w:rsid w:val="0C006EB6"/>
    <w:rsid w:val="0C027F0F"/>
    <w:rsid w:val="0C054D9A"/>
    <w:rsid w:val="0C0A0C3E"/>
    <w:rsid w:val="0C207C2F"/>
    <w:rsid w:val="0C2F0E38"/>
    <w:rsid w:val="0C3703FE"/>
    <w:rsid w:val="0C3B3C7D"/>
    <w:rsid w:val="0C402AA0"/>
    <w:rsid w:val="0C4F2ACF"/>
    <w:rsid w:val="0C5365F1"/>
    <w:rsid w:val="0C537C25"/>
    <w:rsid w:val="0C55720E"/>
    <w:rsid w:val="0C5965C6"/>
    <w:rsid w:val="0C632FA1"/>
    <w:rsid w:val="0C695E45"/>
    <w:rsid w:val="0C793FEF"/>
    <w:rsid w:val="0C7B02EA"/>
    <w:rsid w:val="0C953A1C"/>
    <w:rsid w:val="0C965474"/>
    <w:rsid w:val="0CA15C57"/>
    <w:rsid w:val="0CAB2EAE"/>
    <w:rsid w:val="0CAD1C87"/>
    <w:rsid w:val="0CC46135"/>
    <w:rsid w:val="0CC66B41"/>
    <w:rsid w:val="0CD25991"/>
    <w:rsid w:val="0CD62143"/>
    <w:rsid w:val="0CDB4558"/>
    <w:rsid w:val="0CDC0258"/>
    <w:rsid w:val="0CDE2C70"/>
    <w:rsid w:val="0CEC277E"/>
    <w:rsid w:val="0CEC7056"/>
    <w:rsid w:val="0CEC743A"/>
    <w:rsid w:val="0CEE0FFB"/>
    <w:rsid w:val="0D004C93"/>
    <w:rsid w:val="0D1745B9"/>
    <w:rsid w:val="0D50388E"/>
    <w:rsid w:val="0D563CD1"/>
    <w:rsid w:val="0D5710A7"/>
    <w:rsid w:val="0D576FA9"/>
    <w:rsid w:val="0D621C7D"/>
    <w:rsid w:val="0D723DB0"/>
    <w:rsid w:val="0D7A0F43"/>
    <w:rsid w:val="0D830A5E"/>
    <w:rsid w:val="0D8B3477"/>
    <w:rsid w:val="0D8E0654"/>
    <w:rsid w:val="0DA20E77"/>
    <w:rsid w:val="0DA303ED"/>
    <w:rsid w:val="0DA336F3"/>
    <w:rsid w:val="0DA73317"/>
    <w:rsid w:val="0DA97127"/>
    <w:rsid w:val="0DB717F6"/>
    <w:rsid w:val="0DBA1466"/>
    <w:rsid w:val="0DC05E18"/>
    <w:rsid w:val="0DEC27F0"/>
    <w:rsid w:val="0DF052B3"/>
    <w:rsid w:val="0DFA7BDB"/>
    <w:rsid w:val="0E07353A"/>
    <w:rsid w:val="0E214EC1"/>
    <w:rsid w:val="0E41661F"/>
    <w:rsid w:val="0E4C7E48"/>
    <w:rsid w:val="0E5209BA"/>
    <w:rsid w:val="0E5F6C53"/>
    <w:rsid w:val="0E654E41"/>
    <w:rsid w:val="0E6628C7"/>
    <w:rsid w:val="0E666D78"/>
    <w:rsid w:val="0E6A6868"/>
    <w:rsid w:val="0E73034D"/>
    <w:rsid w:val="0E7476E7"/>
    <w:rsid w:val="0E766ECA"/>
    <w:rsid w:val="0E927B35"/>
    <w:rsid w:val="0E9B29BE"/>
    <w:rsid w:val="0EA823E9"/>
    <w:rsid w:val="0EC2451A"/>
    <w:rsid w:val="0ECC3193"/>
    <w:rsid w:val="0EF16F8A"/>
    <w:rsid w:val="0F13775A"/>
    <w:rsid w:val="0F27377F"/>
    <w:rsid w:val="0F3550C8"/>
    <w:rsid w:val="0F3D7571"/>
    <w:rsid w:val="0F567BA9"/>
    <w:rsid w:val="0F5A5D1F"/>
    <w:rsid w:val="0F5F45FE"/>
    <w:rsid w:val="0F6A28D4"/>
    <w:rsid w:val="0F6F7547"/>
    <w:rsid w:val="0F7874A4"/>
    <w:rsid w:val="0F7D081D"/>
    <w:rsid w:val="0F873994"/>
    <w:rsid w:val="0F961C4C"/>
    <w:rsid w:val="0F9A112B"/>
    <w:rsid w:val="0FA61B22"/>
    <w:rsid w:val="0FAB7046"/>
    <w:rsid w:val="0FBF6BD6"/>
    <w:rsid w:val="0FE202A1"/>
    <w:rsid w:val="0FFD54BA"/>
    <w:rsid w:val="10041E73"/>
    <w:rsid w:val="101A606C"/>
    <w:rsid w:val="101F7CD5"/>
    <w:rsid w:val="10341BFE"/>
    <w:rsid w:val="103504AE"/>
    <w:rsid w:val="10367589"/>
    <w:rsid w:val="10395491"/>
    <w:rsid w:val="103F1042"/>
    <w:rsid w:val="1040684A"/>
    <w:rsid w:val="10527024"/>
    <w:rsid w:val="10531FF4"/>
    <w:rsid w:val="10550082"/>
    <w:rsid w:val="106D2F64"/>
    <w:rsid w:val="10703A7C"/>
    <w:rsid w:val="108C2649"/>
    <w:rsid w:val="109A263A"/>
    <w:rsid w:val="109C4CD3"/>
    <w:rsid w:val="10AA3894"/>
    <w:rsid w:val="10B63710"/>
    <w:rsid w:val="10B84498"/>
    <w:rsid w:val="10BA6161"/>
    <w:rsid w:val="10C83D1A"/>
    <w:rsid w:val="10C85D13"/>
    <w:rsid w:val="10D12BCF"/>
    <w:rsid w:val="10DE709A"/>
    <w:rsid w:val="10F10820"/>
    <w:rsid w:val="10F20D97"/>
    <w:rsid w:val="10F233D9"/>
    <w:rsid w:val="10F24ECA"/>
    <w:rsid w:val="10FD39C4"/>
    <w:rsid w:val="10FE2E69"/>
    <w:rsid w:val="110828C7"/>
    <w:rsid w:val="11123DD8"/>
    <w:rsid w:val="11134C9B"/>
    <w:rsid w:val="11135194"/>
    <w:rsid w:val="111C2F7A"/>
    <w:rsid w:val="11365128"/>
    <w:rsid w:val="11427629"/>
    <w:rsid w:val="11486765"/>
    <w:rsid w:val="114C66F9"/>
    <w:rsid w:val="11537A88"/>
    <w:rsid w:val="11665CA1"/>
    <w:rsid w:val="117074FA"/>
    <w:rsid w:val="1190611D"/>
    <w:rsid w:val="119A559C"/>
    <w:rsid w:val="11B61DC5"/>
    <w:rsid w:val="11BD4BE2"/>
    <w:rsid w:val="11C662A7"/>
    <w:rsid w:val="11CE01DC"/>
    <w:rsid w:val="11D30A5E"/>
    <w:rsid w:val="11D92A80"/>
    <w:rsid w:val="11DB2023"/>
    <w:rsid w:val="11EF1D3A"/>
    <w:rsid w:val="1206276B"/>
    <w:rsid w:val="1212349F"/>
    <w:rsid w:val="121B6BBB"/>
    <w:rsid w:val="121D4D00"/>
    <w:rsid w:val="121E5725"/>
    <w:rsid w:val="1230407D"/>
    <w:rsid w:val="123C2042"/>
    <w:rsid w:val="1249574A"/>
    <w:rsid w:val="124B2CDA"/>
    <w:rsid w:val="124D38D8"/>
    <w:rsid w:val="1252608B"/>
    <w:rsid w:val="126444D5"/>
    <w:rsid w:val="12752608"/>
    <w:rsid w:val="127721D5"/>
    <w:rsid w:val="12896662"/>
    <w:rsid w:val="12902616"/>
    <w:rsid w:val="129739A4"/>
    <w:rsid w:val="12AF46D0"/>
    <w:rsid w:val="12B438F5"/>
    <w:rsid w:val="12BA74F8"/>
    <w:rsid w:val="12C853D5"/>
    <w:rsid w:val="12D22A04"/>
    <w:rsid w:val="12E8656E"/>
    <w:rsid w:val="12EA24A7"/>
    <w:rsid w:val="12EE540B"/>
    <w:rsid w:val="12F30558"/>
    <w:rsid w:val="131B2827"/>
    <w:rsid w:val="131D684A"/>
    <w:rsid w:val="136A2E67"/>
    <w:rsid w:val="136A3ACD"/>
    <w:rsid w:val="136B7579"/>
    <w:rsid w:val="13806B2E"/>
    <w:rsid w:val="13817FA8"/>
    <w:rsid w:val="13864617"/>
    <w:rsid w:val="139165FE"/>
    <w:rsid w:val="13951726"/>
    <w:rsid w:val="139B6493"/>
    <w:rsid w:val="13B011C1"/>
    <w:rsid w:val="13BA54CC"/>
    <w:rsid w:val="13C62793"/>
    <w:rsid w:val="13CC7A14"/>
    <w:rsid w:val="13D1738A"/>
    <w:rsid w:val="14172FEE"/>
    <w:rsid w:val="141A45F1"/>
    <w:rsid w:val="142F0B64"/>
    <w:rsid w:val="14382B6B"/>
    <w:rsid w:val="14396509"/>
    <w:rsid w:val="14577512"/>
    <w:rsid w:val="14591335"/>
    <w:rsid w:val="14671D09"/>
    <w:rsid w:val="146F143D"/>
    <w:rsid w:val="147E051C"/>
    <w:rsid w:val="14AB3737"/>
    <w:rsid w:val="14AF270A"/>
    <w:rsid w:val="14B17F35"/>
    <w:rsid w:val="14B357EF"/>
    <w:rsid w:val="14B4083D"/>
    <w:rsid w:val="14B6011C"/>
    <w:rsid w:val="14B6588E"/>
    <w:rsid w:val="14B745D5"/>
    <w:rsid w:val="14C0248F"/>
    <w:rsid w:val="14CB644E"/>
    <w:rsid w:val="14D56A81"/>
    <w:rsid w:val="14DD2C3C"/>
    <w:rsid w:val="14FE5F6D"/>
    <w:rsid w:val="150A2597"/>
    <w:rsid w:val="150A2B53"/>
    <w:rsid w:val="150A5D08"/>
    <w:rsid w:val="1512522B"/>
    <w:rsid w:val="151A4A9A"/>
    <w:rsid w:val="15243537"/>
    <w:rsid w:val="152D05F0"/>
    <w:rsid w:val="154325E7"/>
    <w:rsid w:val="1544274D"/>
    <w:rsid w:val="15593FCD"/>
    <w:rsid w:val="15636462"/>
    <w:rsid w:val="156F29B6"/>
    <w:rsid w:val="15716587"/>
    <w:rsid w:val="157C762B"/>
    <w:rsid w:val="157D6CE1"/>
    <w:rsid w:val="159057BD"/>
    <w:rsid w:val="159B3C74"/>
    <w:rsid w:val="15AD4F58"/>
    <w:rsid w:val="15BB4099"/>
    <w:rsid w:val="15CA7576"/>
    <w:rsid w:val="15D71AE7"/>
    <w:rsid w:val="15DC6B55"/>
    <w:rsid w:val="15E73797"/>
    <w:rsid w:val="15EE21AD"/>
    <w:rsid w:val="15F76DDC"/>
    <w:rsid w:val="15F87601"/>
    <w:rsid w:val="15F87D61"/>
    <w:rsid w:val="16050CEC"/>
    <w:rsid w:val="16087E1D"/>
    <w:rsid w:val="160B798B"/>
    <w:rsid w:val="161E110A"/>
    <w:rsid w:val="162771B3"/>
    <w:rsid w:val="16304DB3"/>
    <w:rsid w:val="163C59BC"/>
    <w:rsid w:val="164E21FC"/>
    <w:rsid w:val="165C65F0"/>
    <w:rsid w:val="1666713F"/>
    <w:rsid w:val="167322FF"/>
    <w:rsid w:val="16764681"/>
    <w:rsid w:val="16797B56"/>
    <w:rsid w:val="16844909"/>
    <w:rsid w:val="168D68C3"/>
    <w:rsid w:val="16970417"/>
    <w:rsid w:val="16A4497A"/>
    <w:rsid w:val="16D12F7F"/>
    <w:rsid w:val="16E90054"/>
    <w:rsid w:val="170D06D9"/>
    <w:rsid w:val="170D4A4A"/>
    <w:rsid w:val="170E66B3"/>
    <w:rsid w:val="172C3241"/>
    <w:rsid w:val="172D5A3F"/>
    <w:rsid w:val="172F5AAD"/>
    <w:rsid w:val="1734481E"/>
    <w:rsid w:val="17547C85"/>
    <w:rsid w:val="175E75D2"/>
    <w:rsid w:val="17655D76"/>
    <w:rsid w:val="17701D14"/>
    <w:rsid w:val="17735226"/>
    <w:rsid w:val="177A2E73"/>
    <w:rsid w:val="177B2407"/>
    <w:rsid w:val="178105BA"/>
    <w:rsid w:val="179C5CA8"/>
    <w:rsid w:val="179F3E99"/>
    <w:rsid w:val="17A534A6"/>
    <w:rsid w:val="17B1375A"/>
    <w:rsid w:val="17B9260F"/>
    <w:rsid w:val="17BA250C"/>
    <w:rsid w:val="17C05D13"/>
    <w:rsid w:val="17C11453"/>
    <w:rsid w:val="17D94DE1"/>
    <w:rsid w:val="17E404BC"/>
    <w:rsid w:val="17E6696E"/>
    <w:rsid w:val="17E67380"/>
    <w:rsid w:val="17ED6E2E"/>
    <w:rsid w:val="17EF6674"/>
    <w:rsid w:val="17F251A1"/>
    <w:rsid w:val="17F6116D"/>
    <w:rsid w:val="17F67440"/>
    <w:rsid w:val="17F75B39"/>
    <w:rsid w:val="18045ECA"/>
    <w:rsid w:val="18190F33"/>
    <w:rsid w:val="18251A52"/>
    <w:rsid w:val="183E7353"/>
    <w:rsid w:val="183F3FA7"/>
    <w:rsid w:val="1846709E"/>
    <w:rsid w:val="184F36F3"/>
    <w:rsid w:val="18644328"/>
    <w:rsid w:val="18660C01"/>
    <w:rsid w:val="186838A2"/>
    <w:rsid w:val="18775B1F"/>
    <w:rsid w:val="187F5606"/>
    <w:rsid w:val="188039C8"/>
    <w:rsid w:val="18850B47"/>
    <w:rsid w:val="189F624C"/>
    <w:rsid w:val="18A1416D"/>
    <w:rsid w:val="18A274F6"/>
    <w:rsid w:val="18A66D13"/>
    <w:rsid w:val="18B2778A"/>
    <w:rsid w:val="18B9187B"/>
    <w:rsid w:val="18CD3C5F"/>
    <w:rsid w:val="18E0366F"/>
    <w:rsid w:val="18E16A7D"/>
    <w:rsid w:val="18EB5AC1"/>
    <w:rsid w:val="18F66E96"/>
    <w:rsid w:val="190B1CD2"/>
    <w:rsid w:val="191262E8"/>
    <w:rsid w:val="19150E2F"/>
    <w:rsid w:val="19211FCD"/>
    <w:rsid w:val="194A2C17"/>
    <w:rsid w:val="19571BA8"/>
    <w:rsid w:val="195D42D9"/>
    <w:rsid w:val="196507E7"/>
    <w:rsid w:val="197A5D25"/>
    <w:rsid w:val="197D055E"/>
    <w:rsid w:val="19897784"/>
    <w:rsid w:val="198E16B0"/>
    <w:rsid w:val="198E51F3"/>
    <w:rsid w:val="198E776D"/>
    <w:rsid w:val="19974299"/>
    <w:rsid w:val="19B1412B"/>
    <w:rsid w:val="19B27315"/>
    <w:rsid w:val="19B33FB0"/>
    <w:rsid w:val="19B860CF"/>
    <w:rsid w:val="19BB779D"/>
    <w:rsid w:val="19C7634D"/>
    <w:rsid w:val="19CA6FCC"/>
    <w:rsid w:val="19D81AB0"/>
    <w:rsid w:val="19E12F83"/>
    <w:rsid w:val="19F82288"/>
    <w:rsid w:val="1A086A4F"/>
    <w:rsid w:val="1A0C348B"/>
    <w:rsid w:val="1A0F0F8A"/>
    <w:rsid w:val="1A122385"/>
    <w:rsid w:val="1A174E2B"/>
    <w:rsid w:val="1A1C2C01"/>
    <w:rsid w:val="1A1C66C0"/>
    <w:rsid w:val="1A304721"/>
    <w:rsid w:val="1A341E1A"/>
    <w:rsid w:val="1A352420"/>
    <w:rsid w:val="1A42393B"/>
    <w:rsid w:val="1A4512CF"/>
    <w:rsid w:val="1A456D73"/>
    <w:rsid w:val="1A5A2107"/>
    <w:rsid w:val="1A68214F"/>
    <w:rsid w:val="1A6E7B61"/>
    <w:rsid w:val="1A770FEC"/>
    <w:rsid w:val="1AA21CC2"/>
    <w:rsid w:val="1AA71224"/>
    <w:rsid w:val="1AAB244B"/>
    <w:rsid w:val="1AAD45DE"/>
    <w:rsid w:val="1AAF108C"/>
    <w:rsid w:val="1AB237CC"/>
    <w:rsid w:val="1AB90414"/>
    <w:rsid w:val="1AC47300"/>
    <w:rsid w:val="1AD67034"/>
    <w:rsid w:val="1AE96D67"/>
    <w:rsid w:val="1B04355C"/>
    <w:rsid w:val="1B046F80"/>
    <w:rsid w:val="1B0B5057"/>
    <w:rsid w:val="1B113C07"/>
    <w:rsid w:val="1B204687"/>
    <w:rsid w:val="1B261B23"/>
    <w:rsid w:val="1B2640A7"/>
    <w:rsid w:val="1B277DDF"/>
    <w:rsid w:val="1B2E7813"/>
    <w:rsid w:val="1B3267B5"/>
    <w:rsid w:val="1B366204"/>
    <w:rsid w:val="1B40161D"/>
    <w:rsid w:val="1B441859"/>
    <w:rsid w:val="1B545BBB"/>
    <w:rsid w:val="1B5739A6"/>
    <w:rsid w:val="1B634D6B"/>
    <w:rsid w:val="1B6606B1"/>
    <w:rsid w:val="1B67644C"/>
    <w:rsid w:val="1B7962BC"/>
    <w:rsid w:val="1BA12039"/>
    <w:rsid w:val="1BBA2934"/>
    <w:rsid w:val="1BC577D4"/>
    <w:rsid w:val="1BCE69F7"/>
    <w:rsid w:val="1BD167E0"/>
    <w:rsid w:val="1BE162D5"/>
    <w:rsid w:val="1BF43C15"/>
    <w:rsid w:val="1BF50E83"/>
    <w:rsid w:val="1C031EA9"/>
    <w:rsid w:val="1C093B64"/>
    <w:rsid w:val="1C0D2D58"/>
    <w:rsid w:val="1C112A19"/>
    <w:rsid w:val="1C2376BB"/>
    <w:rsid w:val="1C2603B1"/>
    <w:rsid w:val="1C2D4370"/>
    <w:rsid w:val="1C307059"/>
    <w:rsid w:val="1C336FBA"/>
    <w:rsid w:val="1C446CFD"/>
    <w:rsid w:val="1C447EB7"/>
    <w:rsid w:val="1C4C7E65"/>
    <w:rsid w:val="1C5E7925"/>
    <w:rsid w:val="1C687276"/>
    <w:rsid w:val="1C6A2385"/>
    <w:rsid w:val="1C793776"/>
    <w:rsid w:val="1C853248"/>
    <w:rsid w:val="1C8B457A"/>
    <w:rsid w:val="1C902C1A"/>
    <w:rsid w:val="1C9123A9"/>
    <w:rsid w:val="1C9D42AD"/>
    <w:rsid w:val="1CB15371"/>
    <w:rsid w:val="1CB405E1"/>
    <w:rsid w:val="1CB51567"/>
    <w:rsid w:val="1CE20C70"/>
    <w:rsid w:val="1CE95744"/>
    <w:rsid w:val="1CFD070F"/>
    <w:rsid w:val="1D061714"/>
    <w:rsid w:val="1D080CD5"/>
    <w:rsid w:val="1D0A0236"/>
    <w:rsid w:val="1D0D0A6D"/>
    <w:rsid w:val="1D13456F"/>
    <w:rsid w:val="1D2616DA"/>
    <w:rsid w:val="1D2C7990"/>
    <w:rsid w:val="1D497F91"/>
    <w:rsid w:val="1D4E33DF"/>
    <w:rsid w:val="1D503733"/>
    <w:rsid w:val="1D5F6196"/>
    <w:rsid w:val="1D6132A5"/>
    <w:rsid w:val="1D61698A"/>
    <w:rsid w:val="1D6D3C7F"/>
    <w:rsid w:val="1D7A5A95"/>
    <w:rsid w:val="1D8C2BA2"/>
    <w:rsid w:val="1D8D20C4"/>
    <w:rsid w:val="1D8E56D5"/>
    <w:rsid w:val="1DAC4A68"/>
    <w:rsid w:val="1DB84799"/>
    <w:rsid w:val="1DC064A5"/>
    <w:rsid w:val="1DDD62F3"/>
    <w:rsid w:val="1DFB5418"/>
    <w:rsid w:val="1E0E0C42"/>
    <w:rsid w:val="1E180290"/>
    <w:rsid w:val="1E1E035E"/>
    <w:rsid w:val="1E1E4F79"/>
    <w:rsid w:val="1E2A75DF"/>
    <w:rsid w:val="1E301175"/>
    <w:rsid w:val="1E3C7B83"/>
    <w:rsid w:val="1E4A6A10"/>
    <w:rsid w:val="1E6E770F"/>
    <w:rsid w:val="1E733C23"/>
    <w:rsid w:val="1E7A43DA"/>
    <w:rsid w:val="1E81071C"/>
    <w:rsid w:val="1E8A211F"/>
    <w:rsid w:val="1E8F1470"/>
    <w:rsid w:val="1E925F30"/>
    <w:rsid w:val="1E926DB5"/>
    <w:rsid w:val="1E933BB9"/>
    <w:rsid w:val="1EA67AF7"/>
    <w:rsid w:val="1EAC32F3"/>
    <w:rsid w:val="1EB759D5"/>
    <w:rsid w:val="1EC66053"/>
    <w:rsid w:val="1ED42853"/>
    <w:rsid w:val="1EE447DB"/>
    <w:rsid w:val="1EEB28CC"/>
    <w:rsid w:val="1EED676C"/>
    <w:rsid w:val="1EF26B32"/>
    <w:rsid w:val="1EF60DA5"/>
    <w:rsid w:val="1EFB3C3F"/>
    <w:rsid w:val="1EFD5BE1"/>
    <w:rsid w:val="1F060F4A"/>
    <w:rsid w:val="1F29007A"/>
    <w:rsid w:val="1F3802BD"/>
    <w:rsid w:val="1F42283E"/>
    <w:rsid w:val="1F433212"/>
    <w:rsid w:val="1F506767"/>
    <w:rsid w:val="1F5642F4"/>
    <w:rsid w:val="1F5E6843"/>
    <w:rsid w:val="1F6044DA"/>
    <w:rsid w:val="1F645986"/>
    <w:rsid w:val="1F6773AC"/>
    <w:rsid w:val="1F6B6735"/>
    <w:rsid w:val="1F703310"/>
    <w:rsid w:val="1F7C289F"/>
    <w:rsid w:val="1F8A4FBC"/>
    <w:rsid w:val="1F9A0F77"/>
    <w:rsid w:val="1FA92F69"/>
    <w:rsid w:val="1FB24F3D"/>
    <w:rsid w:val="1FB50154"/>
    <w:rsid w:val="1FB954CD"/>
    <w:rsid w:val="1FC07771"/>
    <w:rsid w:val="1FCE3343"/>
    <w:rsid w:val="1FD3016F"/>
    <w:rsid w:val="1FDB321D"/>
    <w:rsid w:val="1FE7539E"/>
    <w:rsid w:val="1FE82B28"/>
    <w:rsid w:val="1FF468DA"/>
    <w:rsid w:val="1FFC0927"/>
    <w:rsid w:val="1FFD54FC"/>
    <w:rsid w:val="2022632C"/>
    <w:rsid w:val="20427F48"/>
    <w:rsid w:val="204A02A8"/>
    <w:rsid w:val="204D5FEA"/>
    <w:rsid w:val="20531852"/>
    <w:rsid w:val="205729BE"/>
    <w:rsid w:val="20671BE0"/>
    <w:rsid w:val="20784E15"/>
    <w:rsid w:val="207F77F3"/>
    <w:rsid w:val="2085233B"/>
    <w:rsid w:val="20963CB8"/>
    <w:rsid w:val="209967E0"/>
    <w:rsid w:val="20A31464"/>
    <w:rsid w:val="20A81A1B"/>
    <w:rsid w:val="20B07FB6"/>
    <w:rsid w:val="20B51B08"/>
    <w:rsid w:val="20B646FB"/>
    <w:rsid w:val="20B74DDF"/>
    <w:rsid w:val="20B802FC"/>
    <w:rsid w:val="20BD5D33"/>
    <w:rsid w:val="20C1522B"/>
    <w:rsid w:val="20C53036"/>
    <w:rsid w:val="20C95670"/>
    <w:rsid w:val="21035C45"/>
    <w:rsid w:val="21075848"/>
    <w:rsid w:val="21154039"/>
    <w:rsid w:val="21163ECF"/>
    <w:rsid w:val="21317E03"/>
    <w:rsid w:val="213B74B1"/>
    <w:rsid w:val="213F18D2"/>
    <w:rsid w:val="21405443"/>
    <w:rsid w:val="214A18B2"/>
    <w:rsid w:val="215A09BE"/>
    <w:rsid w:val="215A2310"/>
    <w:rsid w:val="216B6728"/>
    <w:rsid w:val="21727642"/>
    <w:rsid w:val="21772B4F"/>
    <w:rsid w:val="21843196"/>
    <w:rsid w:val="21876501"/>
    <w:rsid w:val="218E3DA2"/>
    <w:rsid w:val="219E4DC7"/>
    <w:rsid w:val="21B47199"/>
    <w:rsid w:val="21B87424"/>
    <w:rsid w:val="21BF102A"/>
    <w:rsid w:val="21C21A96"/>
    <w:rsid w:val="21C26CCA"/>
    <w:rsid w:val="21C41193"/>
    <w:rsid w:val="21D46C4C"/>
    <w:rsid w:val="21D56297"/>
    <w:rsid w:val="21DE318A"/>
    <w:rsid w:val="21E07116"/>
    <w:rsid w:val="21EF5B80"/>
    <w:rsid w:val="21FE63BA"/>
    <w:rsid w:val="22000FB3"/>
    <w:rsid w:val="22007C67"/>
    <w:rsid w:val="220529B3"/>
    <w:rsid w:val="22171D04"/>
    <w:rsid w:val="221768AF"/>
    <w:rsid w:val="221D369C"/>
    <w:rsid w:val="221E52C0"/>
    <w:rsid w:val="222675DC"/>
    <w:rsid w:val="22285846"/>
    <w:rsid w:val="223B259E"/>
    <w:rsid w:val="223C00EF"/>
    <w:rsid w:val="224C2A24"/>
    <w:rsid w:val="2250591D"/>
    <w:rsid w:val="2255159A"/>
    <w:rsid w:val="22576990"/>
    <w:rsid w:val="22600256"/>
    <w:rsid w:val="22685986"/>
    <w:rsid w:val="22687088"/>
    <w:rsid w:val="226D707F"/>
    <w:rsid w:val="22737F8A"/>
    <w:rsid w:val="227F5487"/>
    <w:rsid w:val="22873A35"/>
    <w:rsid w:val="229058FF"/>
    <w:rsid w:val="22AE0FC2"/>
    <w:rsid w:val="22BD609B"/>
    <w:rsid w:val="22C72083"/>
    <w:rsid w:val="22C977AC"/>
    <w:rsid w:val="22CA64DE"/>
    <w:rsid w:val="22D81B95"/>
    <w:rsid w:val="22EA622F"/>
    <w:rsid w:val="22F47480"/>
    <w:rsid w:val="2302273A"/>
    <w:rsid w:val="233D40F4"/>
    <w:rsid w:val="233F0318"/>
    <w:rsid w:val="23491BC4"/>
    <w:rsid w:val="234F7600"/>
    <w:rsid w:val="236B7F6D"/>
    <w:rsid w:val="23820FD5"/>
    <w:rsid w:val="23876713"/>
    <w:rsid w:val="239F4416"/>
    <w:rsid w:val="23AB1402"/>
    <w:rsid w:val="23AC3AC6"/>
    <w:rsid w:val="23AF1703"/>
    <w:rsid w:val="23B2156E"/>
    <w:rsid w:val="23C2284B"/>
    <w:rsid w:val="23C56EF3"/>
    <w:rsid w:val="23C640E9"/>
    <w:rsid w:val="23CB5BA3"/>
    <w:rsid w:val="23DE1C48"/>
    <w:rsid w:val="23FD416B"/>
    <w:rsid w:val="240210CD"/>
    <w:rsid w:val="24027986"/>
    <w:rsid w:val="24184308"/>
    <w:rsid w:val="24201ADF"/>
    <w:rsid w:val="242913C6"/>
    <w:rsid w:val="242C38F8"/>
    <w:rsid w:val="24305A06"/>
    <w:rsid w:val="243C26DE"/>
    <w:rsid w:val="2448026C"/>
    <w:rsid w:val="24574204"/>
    <w:rsid w:val="245902E0"/>
    <w:rsid w:val="246F200A"/>
    <w:rsid w:val="247860DA"/>
    <w:rsid w:val="247D37EA"/>
    <w:rsid w:val="2485168C"/>
    <w:rsid w:val="248C70E1"/>
    <w:rsid w:val="2492013D"/>
    <w:rsid w:val="249453BB"/>
    <w:rsid w:val="2496284D"/>
    <w:rsid w:val="24A75B30"/>
    <w:rsid w:val="24BB1774"/>
    <w:rsid w:val="24BF09F7"/>
    <w:rsid w:val="24C2042D"/>
    <w:rsid w:val="24CF3CCC"/>
    <w:rsid w:val="24D13CB0"/>
    <w:rsid w:val="24D64800"/>
    <w:rsid w:val="24ED38F7"/>
    <w:rsid w:val="24F16F4C"/>
    <w:rsid w:val="24F5309B"/>
    <w:rsid w:val="24F87D5A"/>
    <w:rsid w:val="24FF1798"/>
    <w:rsid w:val="25030CF8"/>
    <w:rsid w:val="250F10C8"/>
    <w:rsid w:val="25140D4F"/>
    <w:rsid w:val="251D184D"/>
    <w:rsid w:val="25276E09"/>
    <w:rsid w:val="25291D4D"/>
    <w:rsid w:val="252D53FE"/>
    <w:rsid w:val="254774AC"/>
    <w:rsid w:val="255D6C3D"/>
    <w:rsid w:val="256F3132"/>
    <w:rsid w:val="25735687"/>
    <w:rsid w:val="25774CE0"/>
    <w:rsid w:val="2580547D"/>
    <w:rsid w:val="258E0AFD"/>
    <w:rsid w:val="258E6E89"/>
    <w:rsid w:val="259562D3"/>
    <w:rsid w:val="25AF0D23"/>
    <w:rsid w:val="25B02719"/>
    <w:rsid w:val="25BC14D0"/>
    <w:rsid w:val="25C7345B"/>
    <w:rsid w:val="25D133E1"/>
    <w:rsid w:val="25DA667B"/>
    <w:rsid w:val="25EB3CDF"/>
    <w:rsid w:val="25EC2D81"/>
    <w:rsid w:val="26065D11"/>
    <w:rsid w:val="26245C68"/>
    <w:rsid w:val="26407647"/>
    <w:rsid w:val="2646528D"/>
    <w:rsid w:val="26632C51"/>
    <w:rsid w:val="26644CF8"/>
    <w:rsid w:val="26655E3B"/>
    <w:rsid w:val="266A16A4"/>
    <w:rsid w:val="266C29D7"/>
    <w:rsid w:val="266F6BEC"/>
    <w:rsid w:val="26831963"/>
    <w:rsid w:val="26957871"/>
    <w:rsid w:val="26A71E26"/>
    <w:rsid w:val="26A80375"/>
    <w:rsid w:val="26B30F0F"/>
    <w:rsid w:val="26B97F35"/>
    <w:rsid w:val="26D62427"/>
    <w:rsid w:val="26DB6EA5"/>
    <w:rsid w:val="26E921AF"/>
    <w:rsid w:val="270630D9"/>
    <w:rsid w:val="27100C12"/>
    <w:rsid w:val="271C167D"/>
    <w:rsid w:val="2720465F"/>
    <w:rsid w:val="273B0D99"/>
    <w:rsid w:val="27452387"/>
    <w:rsid w:val="27561C28"/>
    <w:rsid w:val="277057A2"/>
    <w:rsid w:val="27890696"/>
    <w:rsid w:val="27C264EE"/>
    <w:rsid w:val="27C44DE4"/>
    <w:rsid w:val="27CA7D2B"/>
    <w:rsid w:val="27D14264"/>
    <w:rsid w:val="27D50D9F"/>
    <w:rsid w:val="27D94E4A"/>
    <w:rsid w:val="27E731A4"/>
    <w:rsid w:val="27E77427"/>
    <w:rsid w:val="27EB3361"/>
    <w:rsid w:val="27F07987"/>
    <w:rsid w:val="27F96720"/>
    <w:rsid w:val="28077A8F"/>
    <w:rsid w:val="28111AF4"/>
    <w:rsid w:val="2812269C"/>
    <w:rsid w:val="281A4A03"/>
    <w:rsid w:val="28274942"/>
    <w:rsid w:val="28363D32"/>
    <w:rsid w:val="283A7FC0"/>
    <w:rsid w:val="28430134"/>
    <w:rsid w:val="2846516D"/>
    <w:rsid w:val="284A53CA"/>
    <w:rsid w:val="285926B9"/>
    <w:rsid w:val="28645438"/>
    <w:rsid w:val="28652D38"/>
    <w:rsid w:val="287001B0"/>
    <w:rsid w:val="287C3B7C"/>
    <w:rsid w:val="28996209"/>
    <w:rsid w:val="289E5635"/>
    <w:rsid w:val="28AD40F4"/>
    <w:rsid w:val="28C33694"/>
    <w:rsid w:val="28C878C3"/>
    <w:rsid w:val="28CB3F50"/>
    <w:rsid w:val="28FE7143"/>
    <w:rsid w:val="290834F0"/>
    <w:rsid w:val="29084D98"/>
    <w:rsid w:val="290851A4"/>
    <w:rsid w:val="29206EB8"/>
    <w:rsid w:val="292C422E"/>
    <w:rsid w:val="292E4830"/>
    <w:rsid w:val="29464947"/>
    <w:rsid w:val="294C3A59"/>
    <w:rsid w:val="295069EF"/>
    <w:rsid w:val="29595666"/>
    <w:rsid w:val="295B6DED"/>
    <w:rsid w:val="296A7145"/>
    <w:rsid w:val="296D4414"/>
    <w:rsid w:val="297A0EB5"/>
    <w:rsid w:val="297B427C"/>
    <w:rsid w:val="297E7D6A"/>
    <w:rsid w:val="297F2AC5"/>
    <w:rsid w:val="29874881"/>
    <w:rsid w:val="29892BB8"/>
    <w:rsid w:val="298F31CF"/>
    <w:rsid w:val="299E4120"/>
    <w:rsid w:val="29B22746"/>
    <w:rsid w:val="29C94933"/>
    <w:rsid w:val="29DD03CC"/>
    <w:rsid w:val="29E325E0"/>
    <w:rsid w:val="29E94371"/>
    <w:rsid w:val="29F66849"/>
    <w:rsid w:val="2A132D50"/>
    <w:rsid w:val="2A157B78"/>
    <w:rsid w:val="2A1B600A"/>
    <w:rsid w:val="2A1E68AE"/>
    <w:rsid w:val="2A203C10"/>
    <w:rsid w:val="2A206506"/>
    <w:rsid w:val="2A2B429D"/>
    <w:rsid w:val="2A351811"/>
    <w:rsid w:val="2A3D0E7D"/>
    <w:rsid w:val="2A3F69E1"/>
    <w:rsid w:val="2A452503"/>
    <w:rsid w:val="2A5833C3"/>
    <w:rsid w:val="2A7067FB"/>
    <w:rsid w:val="2A750012"/>
    <w:rsid w:val="2A7821F7"/>
    <w:rsid w:val="2A7A651D"/>
    <w:rsid w:val="2A7B22B9"/>
    <w:rsid w:val="2A7C65D6"/>
    <w:rsid w:val="2A8B39AA"/>
    <w:rsid w:val="2A8D3DC5"/>
    <w:rsid w:val="2AA35184"/>
    <w:rsid w:val="2ABB5259"/>
    <w:rsid w:val="2AC27F70"/>
    <w:rsid w:val="2AD05CF0"/>
    <w:rsid w:val="2AD87B21"/>
    <w:rsid w:val="2ADB4942"/>
    <w:rsid w:val="2ADB6E33"/>
    <w:rsid w:val="2AE36810"/>
    <w:rsid w:val="2AE73B22"/>
    <w:rsid w:val="2AED4651"/>
    <w:rsid w:val="2AF77CB4"/>
    <w:rsid w:val="2B0475EB"/>
    <w:rsid w:val="2B1324B0"/>
    <w:rsid w:val="2B1F26DA"/>
    <w:rsid w:val="2B3B1A4F"/>
    <w:rsid w:val="2B457FE9"/>
    <w:rsid w:val="2B5453D3"/>
    <w:rsid w:val="2B58197D"/>
    <w:rsid w:val="2B5E10E7"/>
    <w:rsid w:val="2B634913"/>
    <w:rsid w:val="2B686EEC"/>
    <w:rsid w:val="2B795EE5"/>
    <w:rsid w:val="2B807316"/>
    <w:rsid w:val="2B97486F"/>
    <w:rsid w:val="2BA459E1"/>
    <w:rsid w:val="2BA936A8"/>
    <w:rsid w:val="2BAA0154"/>
    <w:rsid w:val="2BD26C4A"/>
    <w:rsid w:val="2BEF61A7"/>
    <w:rsid w:val="2BF02146"/>
    <w:rsid w:val="2BF822D0"/>
    <w:rsid w:val="2C0E0873"/>
    <w:rsid w:val="2C2130E0"/>
    <w:rsid w:val="2C31028E"/>
    <w:rsid w:val="2C315A5A"/>
    <w:rsid w:val="2C325332"/>
    <w:rsid w:val="2C3D6C06"/>
    <w:rsid w:val="2C4B1C25"/>
    <w:rsid w:val="2C611306"/>
    <w:rsid w:val="2C773111"/>
    <w:rsid w:val="2C780D33"/>
    <w:rsid w:val="2C7F44BF"/>
    <w:rsid w:val="2C882884"/>
    <w:rsid w:val="2C9D1200"/>
    <w:rsid w:val="2CAF6062"/>
    <w:rsid w:val="2CB34B84"/>
    <w:rsid w:val="2CCC7A22"/>
    <w:rsid w:val="2CD11347"/>
    <w:rsid w:val="2CD776E2"/>
    <w:rsid w:val="2CD94B09"/>
    <w:rsid w:val="2CF75313"/>
    <w:rsid w:val="2D024244"/>
    <w:rsid w:val="2D085772"/>
    <w:rsid w:val="2D0E48A1"/>
    <w:rsid w:val="2D6209AC"/>
    <w:rsid w:val="2D623075"/>
    <w:rsid w:val="2D6577C5"/>
    <w:rsid w:val="2D6A6588"/>
    <w:rsid w:val="2D7726D2"/>
    <w:rsid w:val="2D776F9F"/>
    <w:rsid w:val="2D7C3A33"/>
    <w:rsid w:val="2D8748E9"/>
    <w:rsid w:val="2D881AF5"/>
    <w:rsid w:val="2D99286E"/>
    <w:rsid w:val="2D9B4541"/>
    <w:rsid w:val="2D9E56F5"/>
    <w:rsid w:val="2DA46452"/>
    <w:rsid w:val="2DC154C4"/>
    <w:rsid w:val="2DD0562B"/>
    <w:rsid w:val="2DD65C71"/>
    <w:rsid w:val="2DD84C88"/>
    <w:rsid w:val="2DD85BA4"/>
    <w:rsid w:val="2DE83B8B"/>
    <w:rsid w:val="2E1E2819"/>
    <w:rsid w:val="2E221B6F"/>
    <w:rsid w:val="2E2D43C2"/>
    <w:rsid w:val="2E3031D3"/>
    <w:rsid w:val="2E36489A"/>
    <w:rsid w:val="2E3E4D2E"/>
    <w:rsid w:val="2E4B6173"/>
    <w:rsid w:val="2E4C6C4A"/>
    <w:rsid w:val="2E4F4FD9"/>
    <w:rsid w:val="2E667F96"/>
    <w:rsid w:val="2E7A032A"/>
    <w:rsid w:val="2E7C6FA9"/>
    <w:rsid w:val="2E8226AB"/>
    <w:rsid w:val="2E823FF1"/>
    <w:rsid w:val="2E913546"/>
    <w:rsid w:val="2E9B17D4"/>
    <w:rsid w:val="2E9C2616"/>
    <w:rsid w:val="2EA11A1E"/>
    <w:rsid w:val="2EA12A6F"/>
    <w:rsid w:val="2EAF3C67"/>
    <w:rsid w:val="2EBA2A9C"/>
    <w:rsid w:val="2ED51684"/>
    <w:rsid w:val="2ED53E54"/>
    <w:rsid w:val="2EE15819"/>
    <w:rsid w:val="2F136126"/>
    <w:rsid w:val="2F2148C9"/>
    <w:rsid w:val="2F3F3AEC"/>
    <w:rsid w:val="2F587D94"/>
    <w:rsid w:val="2F5B07E4"/>
    <w:rsid w:val="2F6B3D97"/>
    <w:rsid w:val="2F721FFC"/>
    <w:rsid w:val="2F7455DA"/>
    <w:rsid w:val="2F7E77AA"/>
    <w:rsid w:val="2F837A4C"/>
    <w:rsid w:val="2F9C59C9"/>
    <w:rsid w:val="2FA478EF"/>
    <w:rsid w:val="2FBE4BA3"/>
    <w:rsid w:val="2FD065E6"/>
    <w:rsid w:val="2FD96870"/>
    <w:rsid w:val="2FDF6B48"/>
    <w:rsid w:val="2FE7519C"/>
    <w:rsid w:val="2FE9779E"/>
    <w:rsid w:val="2FED0395"/>
    <w:rsid w:val="2FF363C1"/>
    <w:rsid w:val="2FF65D56"/>
    <w:rsid w:val="2FF8179C"/>
    <w:rsid w:val="2FFE1FCD"/>
    <w:rsid w:val="30045D8E"/>
    <w:rsid w:val="300F7436"/>
    <w:rsid w:val="302408DB"/>
    <w:rsid w:val="30370717"/>
    <w:rsid w:val="303D1BD7"/>
    <w:rsid w:val="303D2725"/>
    <w:rsid w:val="303D78E2"/>
    <w:rsid w:val="30580BC9"/>
    <w:rsid w:val="305F2A52"/>
    <w:rsid w:val="308D787E"/>
    <w:rsid w:val="308E0CB2"/>
    <w:rsid w:val="30970232"/>
    <w:rsid w:val="309C1434"/>
    <w:rsid w:val="30BB4962"/>
    <w:rsid w:val="30BD6874"/>
    <w:rsid w:val="30C3128A"/>
    <w:rsid w:val="30DA4C36"/>
    <w:rsid w:val="30DA7426"/>
    <w:rsid w:val="30E226C0"/>
    <w:rsid w:val="30FF1858"/>
    <w:rsid w:val="30FF6D6B"/>
    <w:rsid w:val="31044D0E"/>
    <w:rsid w:val="311B0A8F"/>
    <w:rsid w:val="311E2ED7"/>
    <w:rsid w:val="311F4517"/>
    <w:rsid w:val="312D1094"/>
    <w:rsid w:val="314069BD"/>
    <w:rsid w:val="314616CE"/>
    <w:rsid w:val="3147160D"/>
    <w:rsid w:val="315619EE"/>
    <w:rsid w:val="315C449C"/>
    <w:rsid w:val="316533AA"/>
    <w:rsid w:val="316E7B6E"/>
    <w:rsid w:val="317078BD"/>
    <w:rsid w:val="317D609A"/>
    <w:rsid w:val="3182078C"/>
    <w:rsid w:val="31853836"/>
    <w:rsid w:val="3188346D"/>
    <w:rsid w:val="318A2BFA"/>
    <w:rsid w:val="31924CFC"/>
    <w:rsid w:val="319A0C54"/>
    <w:rsid w:val="31A25F76"/>
    <w:rsid w:val="31B50098"/>
    <w:rsid w:val="31B61C41"/>
    <w:rsid w:val="31B82709"/>
    <w:rsid w:val="31CE662E"/>
    <w:rsid w:val="31CF6C0C"/>
    <w:rsid w:val="31D05482"/>
    <w:rsid w:val="31FF70B5"/>
    <w:rsid w:val="3201345B"/>
    <w:rsid w:val="320D549F"/>
    <w:rsid w:val="32100252"/>
    <w:rsid w:val="32116E77"/>
    <w:rsid w:val="321B38AD"/>
    <w:rsid w:val="323859C6"/>
    <w:rsid w:val="323A05A4"/>
    <w:rsid w:val="32400B34"/>
    <w:rsid w:val="32501835"/>
    <w:rsid w:val="327402A5"/>
    <w:rsid w:val="32766092"/>
    <w:rsid w:val="328253C8"/>
    <w:rsid w:val="328770F0"/>
    <w:rsid w:val="32913F27"/>
    <w:rsid w:val="329E6876"/>
    <w:rsid w:val="32B86180"/>
    <w:rsid w:val="32BC4D13"/>
    <w:rsid w:val="32BC5263"/>
    <w:rsid w:val="32C043F9"/>
    <w:rsid w:val="32C12749"/>
    <w:rsid w:val="32D573AA"/>
    <w:rsid w:val="332030EF"/>
    <w:rsid w:val="33287170"/>
    <w:rsid w:val="332928F2"/>
    <w:rsid w:val="333015F2"/>
    <w:rsid w:val="333F79BE"/>
    <w:rsid w:val="33421F83"/>
    <w:rsid w:val="334B460B"/>
    <w:rsid w:val="334B6320"/>
    <w:rsid w:val="334E7C57"/>
    <w:rsid w:val="3350450F"/>
    <w:rsid w:val="33507E0C"/>
    <w:rsid w:val="3352565A"/>
    <w:rsid w:val="33634892"/>
    <w:rsid w:val="33743B62"/>
    <w:rsid w:val="338F5815"/>
    <w:rsid w:val="33927039"/>
    <w:rsid w:val="33D934D4"/>
    <w:rsid w:val="33EA5BD2"/>
    <w:rsid w:val="33F702EF"/>
    <w:rsid w:val="33FD3B57"/>
    <w:rsid w:val="33FE2F6A"/>
    <w:rsid w:val="340E07E5"/>
    <w:rsid w:val="34113BD6"/>
    <w:rsid w:val="34153486"/>
    <w:rsid w:val="341E4B95"/>
    <w:rsid w:val="34235BF7"/>
    <w:rsid w:val="34313801"/>
    <w:rsid w:val="34427A54"/>
    <w:rsid w:val="3454380C"/>
    <w:rsid w:val="34675E29"/>
    <w:rsid w:val="346A0AC1"/>
    <w:rsid w:val="34727A82"/>
    <w:rsid w:val="347C4F13"/>
    <w:rsid w:val="34934015"/>
    <w:rsid w:val="34B8139C"/>
    <w:rsid w:val="34E645EB"/>
    <w:rsid w:val="34E7529C"/>
    <w:rsid w:val="35094FF9"/>
    <w:rsid w:val="35143245"/>
    <w:rsid w:val="351A3ACE"/>
    <w:rsid w:val="351E36C2"/>
    <w:rsid w:val="35275533"/>
    <w:rsid w:val="35397A4F"/>
    <w:rsid w:val="353F722A"/>
    <w:rsid w:val="35417A73"/>
    <w:rsid w:val="3543617A"/>
    <w:rsid w:val="35493B50"/>
    <w:rsid w:val="35494E51"/>
    <w:rsid w:val="35523A2F"/>
    <w:rsid w:val="355441B8"/>
    <w:rsid w:val="358C5FA8"/>
    <w:rsid w:val="358D63F2"/>
    <w:rsid w:val="359009FB"/>
    <w:rsid w:val="3594379C"/>
    <w:rsid w:val="35952E69"/>
    <w:rsid w:val="35963460"/>
    <w:rsid w:val="35971685"/>
    <w:rsid w:val="359A3628"/>
    <w:rsid w:val="35A946A5"/>
    <w:rsid w:val="35A95619"/>
    <w:rsid w:val="35AF5C6F"/>
    <w:rsid w:val="35B04B46"/>
    <w:rsid w:val="35B73253"/>
    <w:rsid w:val="35B908F7"/>
    <w:rsid w:val="35BC1E66"/>
    <w:rsid w:val="35C15DF1"/>
    <w:rsid w:val="35C767D8"/>
    <w:rsid w:val="35C92620"/>
    <w:rsid w:val="35D501BC"/>
    <w:rsid w:val="35E52AF5"/>
    <w:rsid w:val="360049B1"/>
    <w:rsid w:val="36074A7F"/>
    <w:rsid w:val="360E3ABD"/>
    <w:rsid w:val="3617059A"/>
    <w:rsid w:val="3618096E"/>
    <w:rsid w:val="363419A7"/>
    <w:rsid w:val="363745FB"/>
    <w:rsid w:val="363C023B"/>
    <w:rsid w:val="365200F6"/>
    <w:rsid w:val="36545A3B"/>
    <w:rsid w:val="36615A09"/>
    <w:rsid w:val="36671887"/>
    <w:rsid w:val="368012B7"/>
    <w:rsid w:val="368F3EAA"/>
    <w:rsid w:val="36923549"/>
    <w:rsid w:val="369411B6"/>
    <w:rsid w:val="369462C9"/>
    <w:rsid w:val="369C6DC4"/>
    <w:rsid w:val="369F4C0A"/>
    <w:rsid w:val="36B53F09"/>
    <w:rsid w:val="36B65962"/>
    <w:rsid w:val="36B75FBF"/>
    <w:rsid w:val="36BD0C45"/>
    <w:rsid w:val="36CE69F4"/>
    <w:rsid w:val="36EA510E"/>
    <w:rsid w:val="36EF52AD"/>
    <w:rsid w:val="36F916F8"/>
    <w:rsid w:val="3702108A"/>
    <w:rsid w:val="37073504"/>
    <w:rsid w:val="37094430"/>
    <w:rsid w:val="370D3660"/>
    <w:rsid w:val="37103F98"/>
    <w:rsid w:val="37164F30"/>
    <w:rsid w:val="3720263B"/>
    <w:rsid w:val="37210504"/>
    <w:rsid w:val="372A62DE"/>
    <w:rsid w:val="373B6744"/>
    <w:rsid w:val="374577B6"/>
    <w:rsid w:val="3754697A"/>
    <w:rsid w:val="375B6142"/>
    <w:rsid w:val="376143FD"/>
    <w:rsid w:val="378059D8"/>
    <w:rsid w:val="3781684D"/>
    <w:rsid w:val="37853753"/>
    <w:rsid w:val="37944D90"/>
    <w:rsid w:val="379F60C2"/>
    <w:rsid w:val="37B416B1"/>
    <w:rsid w:val="37C402D4"/>
    <w:rsid w:val="37D20E57"/>
    <w:rsid w:val="37D260CD"/>
    <w:rsid w:val="37E00298"/>
    <w:rsid w:val="38011F0A"/>
    <w:rsid w:val="380E46D0"/>
    <w:rsid w:val="380F4463"/>
    <w:rsid w:val="381058F6"/>
    <w:rsid w:val="38113966"/>
    <w:rsid w:val="38117135"/>
    <w:rsid w:val="381C0262"/>
    <w:rsid w:val="38303089"/>
    <w:rsid w:val="383377EC"/>
    <w:rsid w:val="383513E6"/>
    <w:rsid w:val="383E029A"/>
    <w:rsid w:val="384A4620"/>
    <w:rsid w:val="384B2114"/>
    <w:rsid w:val="38521A64"/>
    <w:rsid w:val="385351A0"/>
    <w:rsid w:val="385D5C70"/>
    <w:rsid w:val="38652BCB"/>
    <w:rsid w:val="388008B3"/>
    <w:rsid w:val="38946FDB"/>
    <w:rsid w:val="38B302F9"/>
    <w:rsid w:val="38C174A7"/>
    <w:rsid w:val="38D440A8"/>
    <w:rsid w:val="38E35AEA"/>
    <w:rsid w:val="38E62E1D"/>
    <w:rsid w:val="38E9407A"/>
    <w:rsid w:val="38F12CD3"/>
    <w:rsid w:val="38F31085"/>
    <w:rsid w:val="38F94775"/>
    <w:rsid w:val="38FB4F74"/>
    <w:rsid w:val="392971ED"/>
    <w:rsid w:val="39325651"/>
    <w:rsid w:val="3934117A"/>
    <w:rsid w:val="393C265E"/>
    <w:rsid w:val="39537572"/>
    <w:rsid w:val="39623D74"/>
    <w:rsid w:val="39661562"/>
    <w:rsid w:val="39684F21"/>
    <w:rsid w:val="396C4685"/>
    <w:rsid w:val="39766971"/>
    <w:rsid w:val="397F1976"/>
    <w:rsid w:val="3991027D"/>
    <w:rsid w:val="39940B36"/>
    <w:rsid w:val="39CB3951"/>
    <w:rsid w:val="39D864CC"/>
    <w:rsid w:val="39DF0B0F"/>
    <w:rsid w:val="39E3237D"/>
    <w:rsid w:val="39FA2118"/>
    <w:rsid w:val="39FF7C8F"/>
    <w:rsid w:val="3A2B2AE5"/>
    <w:rsid w:val="3A461BDB"/>
    <w:rsid w:val="3A4A73CA"/>
    <w:rsid w:val="3A4D01B4"/>
    <w:rsid w:val="3A5170D9"/>
    <w:rsid w:val="3A617154"/>
    <w:rsid w:val="3A661304"/>
    <w:rsid w:val="3A7724D3"/>
    <w:rsid w:val="3A872856"/>
    <w:rsid w:val="3A8B3CB5"/>
    <w:rsid w:val="3AA54601"/>
    <w:rsid w:val="3AA8404B"/>
    <w:rsid w:val="3AB9092E"/>
    <w:rsid w:val="3AB93889"/>
    <w:rsid w:val="3AC3717D"/>
    <w:rsid w:val="3AE05647"/>
    <w:rsid w:val="3AE60C68"/>
    <w:rsid w:val="3AF50769"/>
    <w:rsid w:val="3AFE1F26"/>
    <w:rsid w:val="3B027CA5"/>
    <w:rsid w:val="3B085E20"/>
    <w:rsid w:val="3B0A1C9D"/>
    <w:rsid w:val="3B0D6C0F"/>
    <w:rsid w:val="3B2A3EA0"/>
    <w:rsid w:val="3B2B1FD4"/>
    <w:rsid w:val="3B324729"/>
    <w:rsid w:val="3B3763D1"/>
    <w:rsid w:val="3B44188D"/>
    <w:rsid w:val="3B483FCD"/>
    <w:rsid w:val="3B5129DA"/>
    <w:rsid w:val="3B596CA1"/>
    <w:rsid w:val="3B635C22"/>
    <w:rsid w:val="3B880FE1"/>
    <w:rsid w:val="3B8C733B"/>
    <w:rsid w:val="3BD52137"/>
    <w:rsid w:val="3BDC755C"/>
    <w:rsid w:val="3BDF7FE6"/>
    <w:rsid w:val="3BE91E7F"/>
    <w:rsid w:val="3BF13F30"/>
    <w:rsid w:val="3BF200FB"/>
    <w:rsid w:val="3C042330"/>
    <w:rsid w:val="3C046AB8"/>
    <w:rsid w:val="3C1A466F"/>
    <w:rsid w:val="3C221AFE"/>
    <w:rsid w:val="3C252C5A"/>
    <w:rsid w:val="3C28373B"/>
    <w:rsid w:val="3C2F6E1E"/>
    <w:rsid w:val="3C307DC3"/>
    <w:rsid w:val="3C3237E8"/>
    <w:rsid w:val="3C4F64BA"/>
    <w:rsid w:val="3C574020"/>
    <w:rsid w:val="3C7A0BDD"/>
    <w:rsid w:val="3C945A0E"/>
    <w:rsid w:val="3CA10669"/>
    <w:rsid w:val="3CAA7E53"/>
    <w:rsid w:val="3CDA245A"/>
    <w:rsid w:val="3CDD5941"/>
    <w:rsid w:val="3CDE3B55"/>
    <w:rsid w:val="3CED0322"/>
    <w:rsid w:val="3CF4681D"/>
    <w:rsid w:val="3CFE725D"/>
    <w:rsid w:val="3D0112B4"/>
    <w:rsid w:val="3D013E0C"/>
    <w:rsid w:val="3D117D43"/>
    <w:rsid w:val="3D1A7D2F"/>
    <w:rsid w:val="3D1C1894"/>
    <w:rsid w:val="3D1E06B7"/>
    <w:rsid w:val="3D280300"/>
    <w:rsid w:val="3D587B96"/>
    <w:rsid w:val="3D621A4F"/>
    <w:rsid w:val="3D915310"/>
    <w:rsid w:val="3DC0382F"/>
    <w:rsid w:val="3DCC2670"/>
    <w:rsid w:val="3DD50ECF"/>
    <w:rsid w:val="3DEE744C"/>
    <w:rsid w:val="3DF03B89"/>
    <w:rsid w:val="3DFB03D8"/>
    <w:rsid w:val="3E012496"/>
    <w:rsid w:val="3E033F8F"/>
    <w:rsid w:val="3E043F4D"/>
    <w:rsid w:val="3E0520DB"/>
    <w:rsid w:val="3E07704B"/>
    <w:rsid w:val="3E1B1666"/>
    <w:rsid w:val="3E1B3762"/>
    <w:rsid w:val="3E2A7EDE"/>
    <w:rsid w:val="3E2B0591"/>
    <w:rsid w:val="3E303329"/>
    <w:rsid w:val="3E375EB7"/>
    <w:rsid w:val="3E510458"/>
    <w:rsid w:val="3E591F27"/>
    <w:rsid w:val="3E6859AC"/>
    <w:rsid w:val="3E741001"/>
    <w:rsid w:val="3E825478"/>
    <w:rsid w:val="3E830961"/>
    <w:rsid w:val="3E8E6F0F"/>
    <w:rsid w:val="3E946E66"/>
    <w:rsid w:val="3E953293"/>
    <w:rsid w:val="3E995072"/>
    <w:rsid w:val="3EA25214"/>
    <w:rsid w:val="3EA87EB5"/>
    <w:rsid w:val="3EB63280"/>
    <w:rsid w:val="3EC334C5"/>
    <w:rsid w:val="3EC5568A"/>
    <w:rsid w:val="3EC84BB3"/>
    <w:rsid w:val="3ECB056B"/>
    <w:rsid w:val="3ED91189"/>
    <w:rsid w:val="3EDA0523"/>
    <w:rsid w:val="3EE94258"/>
    <w:rsid w:val="3F0C10F2"/>
    <w:rsid w:val="3F1F739F"/>
    <w:rsid w:val="3F2239CF"/>
    <w:rsid w:val="3F4A7043"/>
    <w:rsid w:val="3F577D51"/>
    <w:rsid w:val="3F852904"/>
    <w:rsid w:val="3F881688"/>
    <w:rsid w:val="3F8F00A0"/>
    <w:rsid w:val="3F90152C"/>
    <w:rsid w:val="3F97580C"/>
    <w:rsid w:val="3F9A4A1F"/>
    <w:rsid w:val="3FB6363A"/>
    <w:rsid w:val="3FC36F46"/>
    <w:rsid w:val="3FDB76DC"/>
    <w:rsid w:val="3FDC7613"/>
    <w:rsid w:val="3FDD65EB"/>
    <w:rsid w:val="3FE11A15"/>
    <w:rsid w:val="3FF73AF5"/>
    <w:rsid w:val="40085692"/>
    <w:rsid w:val="4012098A"/>
    <w:rsid w:val="401E1556"/>
    <w:rsid w:val="401F2A69"/>
    <w:rsid w:val="403E26EF"/>
    <w:rsid w:val="404E74E8"/>
    <w:rsid w:val="405D6E8F"/>
    <w:rsid w:val="405F7964"/>
    <w:rsid w:val="4062437C"/>
    <w:rsid w:val="4064283A"/>
    <w:rsid w:val="406E3353"/>
    <w:rsid w:val="40742CC1"/>
    <w:rsid w:val="407829D5"/>
    <w:rsid w:val="40797562"/>
    <w:rsid w:val="407A6407"/>
    <w:rsid w:val="407F58F4"/>
    <w:rsid w:val="40801700"/>
    <w:rsid w:val="40811207"/>
    <w:rsid w:val="40912574"/>
    <w:rsid w:val="409177DD"/>
    <w:rsid w:val="40AA37A1"/>
    <w:rsid w:val="40B03236"/>
    <w:rsid w:val="40B53729"/>
    <w:rsid w:val="40EE38A7"/>
    <w:rsid w:val="40F938F8"/>
    <w:rsid w:val="41074C86"/>
    <w:rsid w:val="41173D7E"/>
    <w:rsid w:val="411A2C84"/>
    <w:rsid w:val="411E5666"/>
    <w:rsid w:val="41240342"/>
    <w:rsid w:val="41267EB5"/>
    <w:rsid w:val="41391F47"/>
    <w:rsid w:val="413A2560"/>
    <w:rsid w:val="41407380"/>
    <w:rsid w:val="414936E2"/>
    <w:rsid w:val="41507736"/>
    <w:rsid w:val="41544296"/>
    <w:rsid w:val="415D5357"/>
    <w:rsid w:val="41716FEE"/>
    <w:rsid w:val="41720EF1"/>
    <w:rsid w:val="41781B67"/>
    <w:rsid w:val="417C0F27"/>
    <w:rsid w:val="417E199A"/>
    <w:rsid w:val="41895B64"/>
    <w:rsid w:val="418B642A"/>
    <w:rsid w:val="418B6B2E"/>
    <w:rsid w:val="41923B4E"/>
    <w:rsid w:val="41BC683A"/>
    <w:rsid w:val="41C04F5C"/>
    <w:rsid w:val="41C2323D"/>
    <w:rsid w:val="41C840C9"/>
    <w:rsid w:val="41EC51F5"/>
    <w:rsid w:val="41F25A6B"/>
    <w:rsid w:val="41F90BCB"/>
    <w:rsid w:val="41FC0743"/>
    <w:rsid w:val="4200449D"/>
    <w:rsid w:val="42096F4A"/>
    <w:rsid w:val="420A5691"/>
    <w:rsid w:val="421A4FB7"/>
    <w:rsid w:val="42254279"/>
    <w:rsid w:val="422F2573"/>
    <w:rsid w:val="42315BFE"/>
    <w:rsid w:val="423A3BCC"/>
    <w:rsid w:val="42436715"/>
    <w:rsid w:val="42443EA9"/>
    <w:rsid w:val="424E57D2"/>
    <w:rsid w:val="42613F25"/>
    <w:rsid w:val="426A33DC"/>
    <w:rsid w:val="42754CDA"/>
    <w:rsid w:val="42794B58"/>
    <w:rsid w:val="427F5ED5"/>
    <w:rsid w:val="428E6874"/>
    <w:rsid w:val="428F724E"/>
    <w:rsid w:val="42933B54"/>
    <w:rsid w:val="42967DF7"/>
    <w:rsid w:val="42995192"/>
    <w:rsid w:val="42A04D04"/>
    <w:rsid w:val="42A11B51"/>
    <w:rsid w:val="42AF7E42"/>
    <w:rsid w:val="42B26C49"/>
    <w:rsid w:val="42B820B6"/>
    <w:rsid w:val="42BE1165"/>
    <w:rsid w:val="42CC4777"/>
    <w:rsid w:val="42CF2B62"/>
    <w:rsid w:val="42CF6AF3"/>
    <w:rsid w:val="42D22C38"/>
    <w:rsid w:val="42EF6735"/>
    <w:rsid w:val="42F65AF1"/>
    <w:rsid w:val="430A1006"/>
    <w:rsid w:val="430B502E"/>
    <w:rsid w:val="43127BD5"/>
    <w:rsid w:val="432558D0"/>
    <w:rsid w:val="432D1637"/>
    <w:rsid w:val="433A6FE6"/>
    <w:rsid w:val="4346094B"/>
    <w:rsid w:val="43480868"/>
    <w:rsid w:val="4350713C"/>
    <w:rsid w:val="43507ECC"/>
    <w:rsid w:val="43515892"/>
    <w:rsid w:val="435511B8"/>
    <w:rsid w:val="43566C43"/>
    <w:rsid w:val="43642539"/>
    <w:rsid w:val="43655275"/>
    <w:rsid w:val="436653E0"/>
    <w:rsid w:val="43772FF2"/>
    <w:rsid w:val="43AA02AB"/>
    <w:rsid w:val="43B9736F"/>
    <w:rsid w:val="43BC21C0"/>
    <w:rsid w:val="43C4431A"/>
    <w:rsid w:val="43D66830"/>
    <w:rsid w:val="43D87FA5"/>
    <w:rsid w:val="43DD0473"/>
    <w:rsid w:val="43E72417"/>
    <w:rsid w:val="440529AA"/>
    <w:rsid w:val="440D1DD8"/>
    <w:rsid w:val="441377A6"/>
    <w:rsid w:val="442318CF"/>
    <w:rsid w:val="444478CD"/>
    <w:rsid w:val="4451673F"/>
    <w:rsid w:val="445B167F"/>
    <w:rsid w:val="44613C8E"/>
    <w:rsid w:val="446C0D6A"/>
    <w:rsid w:val="446F6A97"/>
    <w:rsid w:val="44760A9D"/>
    <w:rsid w:val="44780948"/>
    <w:rsid w:val="44850BE4"/>
    <w:rsid w:val="4497746C"/>
    <w:rsid w:val="44A96686"/>
    <w:rsid w:val="44B41139"/>
    <w:rsid w:val="44B951CC"/>
    <w:rsid w:val="44CD14E0"/>
    <w:rsid w:val="44E70410"/>
    <w:rsid w:val="44EE3FCC"/>
    <w:rsid w:val="44F00146"/>
    <w:rsid w:val="44F20B0B"/>
    <w:rsid w:val="44F94FC4"/>
    <w:rsid w:val="44FB2EF4"/>
    <w:rsid w:val="450D2A73"/>
    <w:rsid w:val="450E249B"/>
    <w:rsid w:val="451C216D"/>
    <w:rsid w:val="45246649"/>
    <w:rsid w:val="452E5F4C"/>
    <w:rsid w:val="453668C0"/>
    <w:rsid w:val="453964DD"/>
    <w:rsid w:val="45412D85"/>
    <w:rsid w:val="454B3FF6"/>
    <w:rsid w:val="454B4E0D"/>
    <w:rsid w:val="4551450D"/>
    <w:rsid w:val="4560547C"/>
    <w:rsid w:val="45612018"/>
    <w:rsid w:val="456A52FE"/>
    <w:rsid w:val="4575312A"/>
    <w:rsid w:val="458946E9"/>
    <w:rsid w:val="458D2861"/>
    <w:rsid w:val="45927780"/>
    <w:rsid w:val="459A766D"/>
    <w:rsid w:val="459B7BD3"/>
    <w:rsid w:val="45A3375F"/>
    <w:rsid w:val="45A44365"/>
    <w:rsid w:val="45A47C0E"/>
    <w:rsid w:val="45AA51C1"/>
    <w:rsid w:val="45CC62BB"/>
    <w:rsid w:val="45D21740"/>
    <w:rsid w:val="45E67EF3"/>
    <w:rsid w:val="45EC4F29"/>
    <w:rsid w:val="45F34497"/>
    <w:rsid w:val="45F46DA9"/>
    <w:rsid w:val="46090E1B"/>
    <w:rsid w:val="46170183"/>
    <w:rsid w:val="46194489"/>
    <w:rsid w:val="462036D5"/>
    <w:rsid w:val="46274D97"/>
    <w:rsid w:val="46303917"/>
    <w:rsid w:val="463C3990"/>
    <w:rsid w:val="46453807"/>
    <w:rsid w:val="464C2E63"/>
    <w:rsid w:val="464F38A7"/>
    <w:rsid w:val="46551227"/>
    <w:rsid w:val="46577FD6"/>
    <w:rsid w:val="466075B8"/>
    <w:rsid w:val="466544D4"/>
    <w:rsid w:val="466947FD"/>
    <w:rsid w:val="467001B9"/>
    <w:rsid w:val="46724DA3"/>
    <w:rsid w:val="46732C44"/>
    <w:rsid w:val="46733805"/>
    <w:rsid w:val="468B579C"/>
    <w:rsid w:val="469251F4"/>
    <w:rsid w:val="46AF05B5"/>
    <w:rsid w:val="46C42CBF"/>
    <w:rsid w:val="46CB1A8B"/>
    <w:rsid w:val="46D35FED"/>
    <w:rsid w:val="46D72369"/>
    <w:rsid w:val="46D955A7"/>
    <w:rsid w:val="46E266E0"/>
    <w:rsid w:val="46EA7C2D"/>
    <w:rsid w:val="46EB17DF"/>
    <w:rsid w:val="46ED7318"/>
    <w:rsid w:val="46F7636C"/>
    <w:rsid w:val="46FA590A"/>
    <w:rsid w:val="46FB7934"/>
    <w:rsid w:val="46FE1F2B"/>
    <w:rsid w:val="47086643"/>
    <w:rsid w:val="4710502F"/>
    <w:rsid w:val="47133957"/>
    <w:rsid w:val="471C045F"/>
    <w:rsid w:val="472E2E3C"/>
    <w:rsid w:val="4734067A"/>
    <w:rsid w:val="47361907"/>
    <w:rsid w:val="473761F8"/>
    <w:rsid w:val="473D5429"/>
    <w:rsid w:val="47434C8C"/>
    <w:rsid w:val="47573126"/>
    <w:rsid w:val="478B587E"/>
    <w:rsid w:val="47A07E0C"/>
    <w:rsid w:val="47B40579"/>
    <w:rsid w:val="47BD7D39"/>
    <w:rsid w:val="47D05CB3"/>
    <w:rsid w:val="47D77DC3"/>
    <w:rsid w:val="47DB4B00"/>
    <w:rsid w:val="480138C6"/>
    <w:rsid w:val="48085090"/>
    <w:rsid w:val="480A2152"/>
    <w:rsid w:val="481C1C7A"/>
    <w:rsid w:val="482057F6"/>
    <w:rsid w:val="4825230B"/>
    <w:rsid w:val="483660B1"/>
    <w:rsid w:val="48510A04"/>
    <w:rsid w:val="485D73F1"/>
    <w:rsid w:val="48656D8F"/>
    <w:rsid w:val="4868479F"/>
    <w:rsid w:val="486A50DB"/>
    <w:rsid w:val="4870272E"/>
    <w:rsid w:val="48877762"/>
    <w:rsid w:val="48B00D40"/>
    <w:rsid w:val="48B04455"/>
    <w:rsid w:val="48BC5937"/>
    <w:rsid w:val="48DB206F"/>
    <w:rsid w:val="48DC7D87"/>
    <w:rsid w:val="48E25DEF"/>
    <w:rsid w:val="48FC4A36"/>
    <w:rsid w:val="49053C32"/>
    <w:rsid w:val="49183952"/>
    <w:rsid w:val="491A59E3"/>
    <w:rsid w:val="491E5485"/>
    <w:rsid w:val="494476B9"/>
    <w:rsid w:val="494D3301"/>
    <w:rsid w:val="49554762"/>
    <w:rsid w:val="49575660"/>
    <w:rsid w:val="495C5602"/>
    <w:rsid w:val="495C5915"/>
    <w:rsid w:val="495C7FDD"/>
    <w:rsid w:val="495F0E39"/>
    <w:rsid w:val="49610D74"/>
    <w:rsid w:val="49636428"/>
    <w:rsid w:val="498C50BD"/>
    <w:rsid w:val="49971F00"/>
    <w:rsid w:val="49C00FCB"/>
    <w:rsid w:val="49C91043"/>
    <w:rsid w:val="49D10110"/>
    <w:rsid w:val="49DC7715"/>
    <w:rsid w:val="49EB5DA8"/>
    <w:rsid w:val="49EC31FC"/>
    <w:rsid w:val="49FA2A98"/>
    <w:rsid w:val="4A023139"/>
    <w:rsid w:val="4A0C2C3F"/>
    <w:rsid w:val="4A0D21C2"/>
    <w:rsid w:val="4A0E0337"/>
    <w:rsid w:val="4A104329"/>
    <w:rsid w:val="4A1277D9"/>
    <w:rsid w:val="4A161077"/>
    <w:rsid w:val="4A30087D"/>
    <w:rsid w:val="4A51115B"/>
    <w:rsid w:val="4A676E60"/>
    <w:rsid w:val="4A743FEF"/>
    <w:rsid w:val="4A7B576F"/>
    <w:rsid w:val="4A8042A0"/>
    <w:rsid w:val="4A8268BC"/>
    <w:rsid w:val="4A851D59"/>
    <w:rsid w:val="4A865326"/>
    <w:rsid w:val="4A8D0DD3"/>
    <w:rsid w:val="4A97776A"/>
    <w:rsid w:val="4ABC4AA6"/>
    <w:rsid w:val="4AD221CC"/>
    <w:rsid w:val="4AD77F6D"/>
    <w:rsid w:val="4AD91C8C"/>
    <w:rsid w:val="4ADE1466"/>
    <w:rsid w:val="4AEE78FE"/>
    <w:rsid w:val="4AF561A9"/>
    <w:rsid w:val="4AFD2237"/>
    <w:rsid w:val="4AFD6F6A"/>
    <w:rsid w:val="4B0C0320"/>
    <w:rsid w:val="4B2C0F19"/>
    <w:rsid w:val="4B2D2D60"/>
    <w:rsid w:val="4B324995"/>
    <w:rsid w:val="4B3A7520"/>
    <w:rsid w:val="4B3D4BD8"/>
    <w:rsid w:val="4B3D4FE8"/>
    <w:rsid w:val="4B3E4E89"/>
    <w:rsid w:val="4B3F45FD"/>
    <w:rsid w:val="4B4E6A85"/>
    <w:rsid w:val="4B5547AF"/>
    <w:rsid w:val="4B617722"/>
    <w:rsid w:val="4B67141C"/>
    <w:rsid w:val="4B75001F"/>
    <w:rsid w:val="4B794D80"/>
    <w:rsid w:val="4B795274"/>
    <w:rsid w:val="4B8158B1"/>
    <w:rsid w:val="4B8F007D"/>
    <w:rsid w:val="4B9422CC"/>
    <w:rsid w:val="4B944949"/>
    <w:rsid w:val="4BA17066"/>
    <w:rsid w:val="4BA9312D"/>
    <w:rsid w:val="4BB028D9"/>
    <w:rsid w:val="4BB74E44"/>
    <w:rsid w:val="4BBD4C0F"/>
    <w:rsid w:val="4BBF1373"/>
    <w:rsid w:val="4BDC279B"/>
    <w:rsid w:val="4BDD438A"/>
    <w:rsid w:val="4BEA1320"/>
    <w:rsid w:val="4BEB0579"/>
    <w:rsid w:val="4BFD72C4"/>
    <w:rsid w:val="4C0D11F9"/>
    <w:rsid w:val="4C126EA2"/>
    <w:rsid w:val="4C140841"/>
    <w:rsid w:val="4C286E40"/>
    <w:rsid w:val="4C330EE4"/>
    <w:rsid w:val="4C3A2790"/>
    <w:rsid w:val="4C48536F"/>
    <w:rsid w:val="4C4869B3"/>
    <w:rsid w:val="4C4A0649"/>
    <w:rsid w:val="4C4A5008"/>
    <w:rsid w:val="4C6360CA"/>
    <w:rsid w:val="4C7433D3"/>
    <w:rsid w:val="4C7C4A95"/>
    <w:rsid w:val="4C7E5ECA"/>
    <w:rsid w:val="4C876AA5"/>
    <w:rsid w:val="4C8D4839"/>
    <w:rsid w:val="4CA26FB8"/>
    <w:rsid w:val="4CB360C2"/>
    <w:rsid w:val="4CC33205"/>
    <w:rsid w:val="4CC46B89"/>
    <w:rsid w:val="4CCA4162"/>
    <w:rsid w:val="4CCF3938"/>
    <w:rsid w:val="4CE627DD"/>
    <w:rsid w:val="4CED4BCD"/>
    <w:rsid w:val="4CF840D5"/>
    <w:rsid w:val="4CFB27A6"/>
    <w:rsid w:val="4D090A1F"/>
    <w:rsid w:val="4D0A008C"/>
    <w:rsid w:val="4D0E00FB"/>
    <w:rsid w:val="4D176606"/>
    <w:rsid w:val="4D1B5819"/>
    <w:rsid w:val="4D1D7214"/>
    <w:rsid w:val="4D2505B2"/>
    <w:rsid w:val="4D36314F"/>
    <w:rsid w:val="4D39713D"/>
    <w:rsid w:val="4D425940"/>
    <w:rsid w:val="4D4405FC"/>
    <w:rsid w:val="4D4B2839"/>
    <w:rsid w:val="4D533296"/>
    <w:rsid w:val="4D6A1588"/>
    <w:rsid w:val="4DAB540D"/>
    <w:rsid w:val="4DAE5A6A"/>
    <w:rsid w:val="4DAF5AAA"/>
    <w:rsid w:val="4DD20CB0"/>
    <w:rsid w:val="4DD2726F"/>
    <w:rsid w:val="4DD51249"/>
    <w:rsid w:val="4DDE7EB1"/>
    <w:rsid w:val="4DE36416"/>
    <w:rsid w:val="4DE9165E"/>
    <w:rsid w:val="4DEC4FB0"/>
    <w:rsid w:val="4DF0398D"/>
    <w:rsid w:val="4DF86401"/>
    <w:rsid w:val="4DFC1A95"/>
    <w:rsid w:val="4E015C8C"/>
    <w:rsid w:val="4E031FAD"/>
    <w:rsid w:val="4E0415E4"/>
    <w:rsid w:val="4E075D8A"/>
    <w:rsid w:val="4E1C18B5"/>
    <w:rsid w:val="4E3F134A"/>
    <w:rsid w:val="4E5D0BFF"/>
    <w:rsid w:val="4E7939C1"/>
    <w:rsid w:val="4EA604F0"/>
    <w:rsid w:val="4EAC01FC"/>
    <w:rsid w:val="4EAD07B4"/>
    <w:rsid w:val="4EBD5F65"/>
    <w:rsid w:val="4EC00FAD"/>
    <w:rsid w:val="4ECA68D4"/>
    <w:rsid w:val="4ECF0762"/>
    <w:rsid w:val="4EEE4712"/>
    <w:rsid w:val="4EFC1802"/>
    <w:rsid w:val="4F0566F3"/>
    <w:rsid w:val="4F0D4FA0"/>
    <w:rsid w:val="4F22169F"/>
    <w:rsid w:val="4F3A67BD"/>
    <w:rsid w:val="4F4F7AEE"/>
    <w:rsid w:val="4F5529C8"/>
    <w:rsid w:val="4F5B74ED"/>
    <w:rsid w:val="4F6034B8"/>
    <w:rsid w:val="4F652AB4"/>
    <w:rsid w:val="4F77564A"/>
    <w:rsid w:val="4F7D3946"/>
    <w:rsid w:val="4F9832CA"/>
    <w:rsid w:val="4F9843DC"/>
    <w:rsid w:val="4FA06D2C"/>
    <w:rsid w:val="4FBA3D33"/>
    <w:rsid w:val="4FBA4253"/>
    <w:rsid w:val="4FC60E49"/>
    <w:rsid w:val="4FC62A8C"/>
    <w:rsid w:val="4FD526DD"/>
    <w:rsid w:val="4FDC5CF8"/>
    <w:rsid w:val="4FDF7787"/>
    <w:rsid w:val="4FE20F0D"/>
    <w:rsid w:val="4FE4197D"/>
    <w:rsid w:val="4FE51552"/>
    <w:rsid w:val="4FE75E46"/>
    <w:rsid w:val="500110B1"/>
    <w:rsid w:val="500139E3"/>
    <w:rsid w:val="500951DA"/>
    <w:rsid w:val="500F2DDB"/>
    <w:rsid w:val="5019342A"/>
    <w:rsid w:val="50285088"/>
    <w:rsid w:val="50352A1E"/>
    <w:rsid w:val="503A35E5"/>
    <w:rsid w:val="50423B16"/>
    <w:rsid w:val="504C33D6"/>
    <w:rsid w:val="50504C4B"/>
    <w:rsid w:val="506D116B"/>
    <w:rsid w:val="506F08F4"/>
    <w:rsid w:val="5074270E"/>
    <w:rsid w:val="50827466"/>
    <w:rsid w:val="509C6E7C"/>
    <w:rsid w:val="50A70B72"/>
    <w:rsid w:val="50A76ECD"/>
    <w:rsid w:val="50A93E60"/>
    <w:rsid w:val="50AD0241"/>
    <w:rsid w:val="50AF18DD"/>
    <w:rsid w:val="50B553AD"/>
    <w:rsid w:val="50BF17B9"/>
    <w:rsid w:val="50D475CD"/>
    <w:rsid w:val="50D878FD"/>
    <w:rsid w:val="50E13A61"/>
    <w:rsid w:val="510E5110"/>
    <w:rsid w:val="511B5CA5"/>
    <w:rsid w:val="51263104"/>
    <w:rsid w:val="5127118B"/>
    <w:rsid w:val="51284E6B"/>
    <w:rsid w:val="51441B09"/>
    <w:rsid w:val="5162104E"/>
    <w:rsid w:val="51726E60"/>
    <w:rsid w:val="51793D40"/>
    <w:rsid w:val="5181216D"/>
    <w:rsid w:val="51940581"/>
    <w:rsid w:val="51A1583A"/>
    <w:rsid w:val="51B02259"/>
    <w:rsid w:val="51CF1501"/>
    <w:rsid w:val="51D47AAB"/>
    <w:rsid w:val="51D973C7"/>
    <w:rsid w:val="51DB6466"/>
    <w:rsid w:val="51DF4C5E"/>
    <w:rsid w:val="51E952C3"/>
    <w:rsid w:val="51EF1C6B"/>
    <w:rsid w:val="51F223CA"/>
    <w:rsid w:val="51FB0926"/>
    <w:rsid w:val="520E30E3"/>
    <w:rsid w:val="52173BDE"/>
    <w:rsid w:val="521A6A68"/>
    <w:rsid w:val="521E25E6"/>
    <w:rsid w:val="524F15A6"/>
    <w:rsid w:val="52621557"/>
    <w:rsid w:val="52825543"/>
    <w:rsid w:val="52854227"/>
    <w:rsid w:val="52A511EA"/>
    <w:rsid w:val="52CF44B9"/>
    <w:rsid w:val="52D85AB0"/>
    <w:rsid w:val="52EA7A36"/>
    <w:rsid w:val="52F326BE"/>
    <w:rsid w:val="53000B17"/>
    <w:rsid w:val="53070D4B"/>
    <w:rsid w:val="53130849"/>
    <w:rsid w:val="531A2310"/>
    <w:rsid w:val="5322283B"/>
    <w:rsid w:val="53232CE6"/>
    <w:rsid w:val="532A7465"/>
    <w:rsid w:val="533502F9"/>
    <w:rsid w:val="535B3401"/>
    <w:rsid w:val="536C4CBE"/>
    <w:rsid w:val="537906D5"/>
    <w:rsid w:val="53964FD7"/>
    <w:rsid w:val="53A039CC"/>
    <w:rsid w:val="53A1505A"/>
    <w:rsid w:val="53A92F5C"/>
    <w:rsid w:val="53BB67EB"/>
    <w:rsid w:val="53CC6754"/>
    <w:rsid w:val="53D075CD"/>
    <w:rsid w:val="53F36F74"/>
    <w:rsid w:val="53F434DA"/>
    <w:rsid w:val="53F75EEF"/>
    <w:rsid w:val="53F81E45"/>
    <w:rsid w:val="54063E08"/>
    <w:rsid w:val="540F0CB1"/>
    <w:rsid w:val="541668E7"/>
    <w:rsid w:val="54295E4B"/>
    <w:rsid w:val="543437E8"/>
    <w:rsid w:val="54416055"/>
    <w:rsid w:val="5442279E"/>
    <w:rsid w:val="5446196F"/>
    <w:rsid w:val="54472266"/>
    <w:rsid w:val="546131AF"/>
    <w:rsid w:val="548E4838"/>
    <w:rsid w:val="549451DA"/>
    <w:rsid w:val="54A06F2F"/>
    <w:rsid w:val="54A23403"/>
    <w:rsid w:val="54B13D0E"/>
    <w:rsid w:val="54B600B9"/>
    <w:rsid w:val="54B75204"/>
    <w:rsid w:val="54E337C4"/>
    <w:rsid w:val="54E564A4"/>
    <w:rsid w:val="54F73313"/>
    <w:rsid w:val="54F80955"/>
    <w:rsid w:val="550541C2"/>
    <w:rsid w:val="551530E9"/>
    <w:rsid w:val="55280108"/>
    <w:rsid w:val="552D5BA9"/>
    <w:rsid w:val="55302F08"/>
    <w:rsid w:val="553B2CD9"/>
    <w:rsid w:val="555170A7"/>
    <w:rsid w:val="556E5F8A"/>
    <w:rsid w:val="55744185"/>
    <w:rsid w:val="55836F6C"/>
    <w:rsid w:val="5587536D"/>
    <w:rsid w:val="559B174B"/>
    <w:rsid w:val="55B6652D"/>
    <w:rsid w:val="55BA13B8"/>
    <w:rsid w:val="55CE0CF4"/>
    <w:rsid w:val="55CE6CAA"/>
    <w:rsid w:val="55D20806"/>
    <w:rsid w:val="55D74BA3"/>
    <w:rsid w:val="55F51494"/>
    <w:rsid w:val="55FD454B"/>
    <w:rsid w:val="560328C4"/>
    <w:rsid w:val="56206DD9"/>
    <w:rsid w:val="562403AC"/>
    <w:rsid w:val="562B65CC"/>
    <w:rsid w:val="563034C0"/>
    <w:rsid w:val="564E24CF"/>
    <w:rsid w:val="56513437"/>
    <w:rsid w:val="56606CFA"/>
    <w:rsid w:val="56786939"/>
    <w:rsid w:val="567A7399"/>
    <w:rsid w:val="568057D7"/>
    <w:rsid w:val="56822F37"/>
    <w:rsid w:val="56842657"/>
    <w:rsid w:val="5688184B"/>
    <w:rsid w:val="56974FAB"/>
    <w:rsid w:val="56B05E5E"/>
    <w:rsid w:val="56B13CD2"/>
    <w:rsid w:val="56B22A9C"/>
    <w:rsid w:val="56E56623"/>
    <w:rsid w:val="57135558"/>
    <w:rsid w:val="571361C5"/>
    <w:rsid w:val="57147C6A"/>
    <w:rsid w:val="57165FE8"/>
    <w:rsid w:val="571B2939"/>
    <w:rsid w:val="572E7910"/>
    <w:rsid w:val="5748529E"/>
    <w:rsid w:val="575B7127"/>
    <w:rsid w:val="576D7A5B"/>
    <w:rsid w:val="577168E9"/>
    <w:rsid w:val="57831D16"/>
    <w:rsid w:val="57961DC1"/>
    <w:rsid w:val="579F6908"/>
    <w:rsid w:val="57A52C26"/>
    <w:rsid w:val="57B44EB4"/>
    <w:rsid w:val="57B72A76"/>
    <w:rsid w:val="57BA6C25"/>
    <w:rsid w:val="57C3426C"/>
    <w:rsid w:val="57CC4A0D"/>
    <w:rsid w:val="57CE1F93"/>
    <w:rsid w:val="57E87F5B"/>
    <w:rsid w:val="57EE006C"/>
    <w:rsid w:val="57FA40C9"/>
    <w:rsid w:val="580C1D0B"/>
    <w:rsid w:val="581A681D"/>
    <w:rsid w:val="58211C9C"/>
    <w:rsid w:val="582B2AF9"/>
    <w:rsid w:val="58367F51"/>
    <w:rsid w:val="584720E0"/>
    <w:rsid w:val="584B70BB"/>
    <w:rsid w:val="58580AAD"/>
    <w:rsid w:val="585D4ED6"/>
    <w:rsid w:val="58653D45"/>
    <w:rsid w:val="586650C3"/>
    <w:rsid w:val="586A40C8"/>
    <w:rsid w:val="586A752E"/>
    <w:rsid w:val="588743D1"/>
    <w:rsid w:val="5887701A"/>
    <w:rsid w:val="58966D48"/>
    <w:rsid w:val="589A11B6"/>
    <w:rsid w:val="58A131F8"/>
    <w:rsid w:val="58AD4060"/>
    <w:rsid w:val="58B80F86"/>
    <w:rsid w:val="58BC3BB6"/>
    <w:rsid w:val="58C15B38"/>
    <w:rsid w:val="58DD0763"/>
    <w:rsid w:val="58E10AA2"/>
    <w:rsid w:val="58E371F1"/>
    <w:rsid w:val="58E90ECE"/>
    <w:rsid w:val="58EF4012"/>
    <w:rsid w:val="58F80303"/>
    <w:rsid w:val="59092A7B"/>
    <w:rsid w:val="590D1C64"/>
    <w:rsid w:val="591D7EBC"/>
    <w:rsid w:val="5923730C"/>
    <w:rsid w:val="592776C0"/>
    <w:rsid w:val="59472C64"/>
    <w:rsid w:val="594D0B0F"/>
    <w:rsid w:val="5951174E"/>
    <w:rsid w:val="59552FA2"/>
    <w:rsid w:val="59624C9A"/>
    <w:rsid w:val="596256BC"/>
    <w:rsid w:val="59690F8E"/>
    <w:rsid w:val="597146D3"/>
    <w:rsid w:val="59766D0E"/>
    <w:rsid w:val="59780ED6"/>
    <w:rsid w:val="598139CA"/>
    <w:rsid w:val="59894CE9"/>
    <w:rsid w:val="598A1326"/>
    <w:rsid w:val="599D6060"/>
    <w:rsid w:val="59A83853"/>
    <w:rsid w:val="59B241EC"/>
    <w:rsid w:val="59B343A0"/>
    <w:rsid w:val="59B376B6"/>
    <w:rsid w:val="59C0439F"/>
    <w:rsid w:val="59D3707F"/>
    <w:rsid w:val="59E54EE5"/>
    <w:rsid w:val="59E55E88"/>
    <w:rsid w:val="59E65F92"/>
    <w:rsid w:val="59EB3B29"/>
    <w:rsid w:val="59F2759F"/>
    <w:rsid w:val="5A276988"/>
    <w:rsid w:val="5A2B414E"/>
    <w:rsid w:val="5A3632E8"/>
    <w:rsid w:val="5A427C66"/>
    <w:rsid w:val="5A547172"/>
    <w:rsid w:val="5A5C34F4"/>
    <w:rsid w:val="5A646543"/>
    <w:rsid w:val="5A706581"/>
    <w:rsid w:val="5A71396C"/>
    <w:rsid w:val="5AA40A51"/>
    <w:rsid w:val="5AA61FA3"/>
    <w:rsid w:val="5AAB580B"/>
    <w:rsid w:val="5ABE2233"/>
    <w:rsid w:val="5AD60435"/>
    <w:rsid w:val="5ADA5B42"/>
    <w:rsid w:val="5AE100BC"/>
    <w:rsid w:val="5AE80357"/>
    <w:rsid w:val="5AF820D3"/>
    <w:rsid w:val="5B0A2C21"/>
    <w:rsid w:val="5B0D3A12"/>
    <w:rsid w:val="5B154E0F"/>
    <w:rsid w:val="5B2B7E58"/>
    <w:rsid w:val="5B385401"/>
    <w:rsid w:val="5B424453"/>
    <w:rsid w:val="5B465534"/>
    <w:rsid w:val="5B5F2152"/>
    <w:rsid w:val="5B673BA6"/>
    <w:rsid w:val="5B6843C7"/>
    <w:rsid w:val="5B792944"/>
    <w:rsid w:val="5B8A0647"/>
    <w:rsid w:val="5B910ABF"/>
    <w:rsid w:val="5B9B1B71"/>
    <w:rsid w:val="5BB145BC"/>
    <w:rsid w:val="5BB3080C"/>
    <w:rsid w:val="5BBD18C1"/>
    <w:rsid w:val="5BD14DFE"/>
    <w:rsid w:val="5BD75E21"/>
    <w:rsid w:val="5BDF5D95"/>
    <w:rsid w:val="5BE8470E"/>
    <w:rsid w:val="5BEE6DB1"/>
    <w:rsid w:val="5BEF2836"/>
    <w:rsid w:val="5BFE7528"/>
    <w:rsid w:val="5C287BC0"/>
    <w:rsid w:val="5C295658"/>
    <w:rsid w:val="5C4F21C6"/>
    <w:rsid w:val="5C52661E"/>
    <w:rsid w:val="5C5617A7"/>
    <w:rsid w:val="5C6C2D2B"/>
    <w:rsid w:val="5C7834CB"/>
    <w:rsid w:val="5C7D3CD0"/>
    <w:rsid w:val="5C7F1873"/>
    <w:rsid w:val="5C953F1C"/>
    <w:rsid w:val="5CC3497C"/>
    <w:rsid w:val="5CCE13A3"/>
    <w:rsid w:val="5CD06716"/>
    <w:rsid w:val="5CD94982"/>
    <w:rsid w:val="5CE61474"/>
    <w:rsid w:val="5CE7604F"/>
    <w:rsid w:val="5CE90D70"/>
    <w:rsid w:val="5CED5AB8"/>
    <w:rsid w:val="5CFB40B3"/>
    <w:rsid w:val="5CFF3517"/>
    <w:rsid w:val="5D0104EC"/>
    <w:rsid w:val="5D011713"/>
    <w:rsid w:val="5D015DFA"/>
    <w:rsid w:val="5D0D2B76"/>
    <w:rsid w:val="5D105D17"/>
    <w:rsid w:val="5D1648C0"/>
    <w:rsid w:val="5D1D5FD8"/>
    <w:rsid w:val="5D211242"/>
    <w:rsid w:val="5D3C6BEF"/>
    <w:rsid w:val="5D4226B7"/>
    <w:rsid w:val="5D441D7E"/>
    <w:rsid w:val="5D664DDD"/>
    <w:rsid w:val="5D7A3688"/>
    <w:rsid w:val="5D8440F2"/>
    <w:rsid w:val="5D9A73CC"/>
    <w:rsid w:val="5DA66C67"/>
    <w:rsid w:val="5DAA6D34"/>
    <w:rsid w:val="5DAE5AA0"/>
    <w:rsid w:val="5DAE60B1"/>
    <w:rsid w:val="5DB42C29"/>
    <w:rsid w:val="5DB53B86"/>
    <w:rsid w:val="5DDC747F"/>
    <w:rsid w:val="5E000084"/>
    <w:rsid w:val="5E056FE1"/>
    <w:rsid w:val="5E0E671C"/>
    <w:rsid w:val="5E133900"/>
    <w:rsid w:val="5E1978C6"/>
    <w:rsid w:val="5E1D030A"/>
    <w:rsid w:val="5E1D6E09"/>
    <w:rsid w:val="5E227B93"/>
    <w:rsid w:val="5E2467F1"/>
    <w:rsid w:val="5E250C58"/>
    <w:rsid w:val="5E344339"/>
    <w:rsid w:val="5E3C6DE6"/>
    <w:rsid w:val="5E3E454F"/>
    <w:rsid w:val="5E5549C5"/>
    <w:rsid w:val="5E5710D7"/>
    <w:rsid w:val="5E604E65"/>
    <w:rsid w:val="5E666CD3"/>
    <w:rsid w:val="5E767767"/>
    <w:rsid w:val="5E943297"/>
    <w:rsid w:val="5E9860A7"/>
    <w:rsid w:val="5E9C3FE2"/>
    <w:rsid w:val="5EBF3633"/>
    <w:rsid w:val="5EC02A9F"/>
    <w:rsid w:val="5EF20317"/>
    <w:rsid w:val="5EF629CF"/>
    <w:rsid w:val="5EF93BDD"/>
    <w:rsid w:val="5F011E49"/>
    <w:rsid w:val="5F135BAE"/>
    <w:rsid w:val="5F1A2B43"/>
    <w:rsid w:val="5F1A2E4C"/>
    <w:rsid w:val="5F265EF6"/>
    <w:rsid w:val="5F4451D0"/>
    <w:rsid w:val="5F5226F9"/>
    <w:rsid w:val="5F530220"/>
    <w:rsid w:val="5F5D131E"/>
    <w:rsid w:val="5F674681"/>
    <w:rsid w:val="5F707ED6"/>
    <w:rsid w:val="5F8C62E7"/>
    <w:rsid w:val="5F97237B"/>
    <w:rsid w:val="5F9C5723"/>
    <w:rsid w:val="5FA30D2A"/>
    <w:rsid w:val="5FAA44E9"/>
    <w:rsid w:val="5FB24EED"/>
    <w:rsid w:val="5FB46100"/>
    <w:rsid w:val="5FB837BB"/>
    <w:rsid w:val="5FC1332B"/>
    <w:rsid w:val="5FC46ED1"/>
    <w:rsid w:val="5FC63477"/>
    <w:rsid w:val="5FCA04E2"/>
    <w:rsid w:val="5FCB5F0B"/>
    <w:rsid w:val="5FCF4A8B"/>
    <w:rsid w:val="5FE35CAD"/>
    <w:rsid w:val="600672CC"/>
    <w:rsid w:val="60081970"/>
    <w:rsid w:val="600871C3"/>
    <w:rsid w:val="60127D6A"/>
    <w:rsid w:val="60162C14"/>
    <w:rsid w:val="601B0D3D"/>
    <w:rsid w:val="602003FB"/>
    <w:rsid w:val="602045A6"/>
    <w:rsid w:val="60235E44"/>
    <w:rsid w:val="60311855"/>
    <w:rsid w:val="60483AFC"/>
    <w:rsid w:val="60543030"/>
    <w:rsid w:val="60626AFC"/>
    <w:rsid w:val="606640CA"/>
    <w:rsid w:val="606A3A73"/>
    <w:rsid w:val="6074583A"/>
    <w:rsid w:val="607755BA"/>
    <w:rsid w:val="607D125C"/>
    <w:rsid w:val="607E1463"/>
    <w:rsid w:val="60863C83"/>
    <w:rsid w:val="608947DC"/>
    <w:rsid w:val="608D5FF5"/>
    <w:rsid w:val="609E6745"/>
    <w:rsid w:val="609F2A26"/>
    <w:rsid w:val="60A84EA2"/>
    <w:rsid w:val="60BF1250"/>
    <w:rsid w:val="60C352A5"/>
    <w:rsid w:val="60C617B8"/>
    <w:rsid w:val="60CC405A"/>
    <w:rsid w:val="60CD367B"/>
    <w:rsid w:val="60D7292C"/>
    <w:rsid w:val="60DD3862"/>
    <w:rsid w:val="60F22FBA"/>
    <w:rsid w:val="60FA7EDC"/>
    <w:rsid w:val="60FD3F5B"/>
    <w:rsid w:val="611E7DA3"/>
    <w:rsid w:val="612F2452"/>
    <w:rsid w:val="6140669D"/>
    <w:rsid w:val="614E34D7"/>
    <w:rsid w:val="615D3A06"/>
    <w:rsid w:val="61647D8E"/>
    <w:rsid w:val="61655C5B"/>
    <w:rsid w:val="61776DD8"/>
    <w:rsid w:val="618A7042"/>
    <w:rsid w:val="618D742F"/>
    <w:rsid w:val="619D39D4"/>
    <w:rsid w:val="61B30D82"/>
    <w:rsid w:val="61B45E98"/>
    <w:rsid w:val="61C84EF5"/>
    <w:rsid w:val="61D30A56"/>
    <w:rsid w:val="61D96CD5"/>
    <w:rsid w:val="61E215D8"/>
    <w:rsid w:val="61E46BF9"/>
    <w:rsid w:val="61ED4871"/>
    <w:rsid w:val="61EE49A3"/>
    <w:rsid w:val="621355FC"/>
    <w:rsid w:val="621B3775"/>
    <w:rsid w:val="62364782"/>
    <w:rsid w:val="623A3B28"/>
    <w:rsid w:val="623F5FEC"/>
    <w:rsid w:val="624502F4"/>
    <w:rsid w:val="624B4213"/>
    <w:rsid w:val="624F7497"/>
    <w:rsid w:val="62551F67"/>
    <w:rsid w:val="62614FB8"/>
    <w:rsid w:val="6273680A"/>
    <w:rsid w:val="62764951"/>
    <w:rsid w:val="62856A8E"/>
    <w:rsid w:val="62906E05"/>
    <w:rsid w:val="62960734"/>
    <w:rsid w:val="629A6ADB"/>
    <w:rsid w:val="62A9482D"/>
    <w:rsid w:val="62A950B4"/>
    <w:rsid w:val="62AE14D4"/>
    <w:rsid w:val="62C05BCC"/>
    <w:rsid w:val="62D64E2C"/>
    <w:rsid w:val="62E56635"/>
    <w:rsid w:val="62FB3153"/>
    <w:rsid w:val="630D19ED"/>
    <w:rsid w:val="63122F99"/>
    <w:rsid w:val="6323782A"/>
    <w:rsid w:val="63267831"/>
    <w:rsid w:val="632F4453"/>
    <w:rsid w:val="633D6EA0"/>
    <w:rsid w:val="635B6A2C"/>
    <w:rsid w:val="6367303D"/>
    <w:rsid w:val="636E050D"/>
    <w:rsid w:val="637B2221"/>
    <w:rsid w:val="63844D9B"/>
    <w:rsid w:val="638C48CB"/>
    <w:rsid w:val="638F5187"/>
    <w:rsid w:val="6390559E"/>
    <w:rsid w:val="6394356A"/>
    <w:rsid w:val="63A2338B"/>
    <w:rsid w:val="63B15130"/>
    <w:rsid w:val="63C416EC"/>
    <w:rsid w:val="63C61B2C"/>
    <w:rsid w:val="63CF11D2"/>
    <w:rsid w:val="63D336DD"/>
    <w:rsid w:val="63D40BE9"/>
    <w:rsid w:val="63D821CD"/>
    <w:rsid w:val="63EE0517"/>
    <w:rsid w:val="640146EE"/>
    <w:rsid w:val="64102431"/>
    <w:rsid w:val="64185CA3"/>
    <w:rsid w:val="641E0D86"/>
    <w:rsid w:val="64324EBA"/>
    <w:rsid w:val="644665A5"/>
    <w:rsid w:val="644E499D"/>
    <w:rsid w:val="64606952"/>
    <w:rsid w:val="646D0C91"/>
    <w:rsid w:val="649C43E7"/>
    <w:rsid w:val="64A5243A"/>
    <w:rsid w:val="64A635DD"/>
    <w:rsid w:val="64AB7E11"/>
    <w:rsid w:val="64BC4BB3"/>
    <w:rsid w:val="64BD56DA"/>
    <w:rsid w:val="64C9520C"/>
    <w:rsid w:val="64CB198D"/>
    <w:rsid w:val="64D54117"/>
    <w:rsid w:val="64D938D6"/>
    <w:rsid w:val="64E62497"/>
    <w:rsid w:val="64F531DE"/>
    <w:rsid w:val="65334D01"/>
    <w:rsid w:val="65352EBF"/>
    <w:rsid w:val="65373578"/>
    <w:rsid w:val="65385EEE"/>
    <w:rsid w:val="653B1E64"/>
    <w:rsid w:val="65406093"/>
    <w:rsid w:val="655544ED"/>
    <w:rsid w:val="65613696"/>
    <w:rsid w:val="65666901"/>
    <w:rsid w:val="656A6501"/>
    <w:rsid w:val="656E5DB3"/>
    <w:rsid w:val="65704A92"/>
    <w:rsid w:val="65752C9E"/>
    <w:rsid w:val="65761928"/>
    <w:rsid w:val="65812EA7"/>
    <w:rsid w:val="65893966"/>
    <w:rsid w:val="658D35EE"/>
    <w:rsid w:val="65913889"/>
    <w:rsid w:val="65921C11"/>
    <w:rsid w:val="65987423"/>
    <w:rsid w:val="659A7E37"/>
    <w:rsid w:val="65AA4841"/>
    <w:rsid w:val="65AA600F"/>
    <w:rsid w:val="65C32B26"/>
    <w:rsid w:val="65CE70EA"/>
    <w:rsid w:val="65DC391A"/>
    <w:rsid w:val="65E41E2E"/>
    <w:rsid w:val="65F16B55"/>
    <w:rsid w:val="65FC43F4"/>
    <w:rsid w:val="66005996"/>
    <w:rsid w:val="660E0939"/>
    <w:rsid w:val="6623458B"/>
    <w:rsid w:val="663302AE"/>
    <w:rsid w:val="66445463"/>
    <w:rsid w:val="664B1C51"/>
    <w:rsid w:val="66517235"/>
    <w:rsid w:val="66575859"/>
    <w:rsid w:val="665811B8"/>
    <w:rsid w:val="66605D54"/>
    <w:rsid w:val="666607A0"/>
    <w:rsid w:val="66762215"/>
    <w:rsid w:val="668267B0"/>
    <w:rsid w:val="66931684"/>
    <w:rsid w:val="669E0B17"/>
    <w:rsid w:val="66A01F9C"/>
    <w:rsid w:val="66A02B8D"/>
    <w:rsid w:val="66AF6350"/>
    <w:rsid w:val="66B12E6D"/>
    <w:rsid w:val="66C03C36"/>
    <w:rsid w:val="66C736FF"/>
    <w:rsid w:val="66CB3953"/>
    <w:rsid w:val="66D84B17"/>
    <w:rsid w:val="670406F4"/>
    <w:rsid w:val="67067F9B"/>
    <w:rsid w:val="670F436C"/>
    <w:rsid w:val="67111755"/>
    <w:rsid w:val="67167D84"/>
    <w:rsid w:val="67194F56"/>
    <w:rsid w:val="671D192D"/>
    <w:rsid w:val="671F124A"/>
    <w:rsid w:val="67220AB6"/>
    <w:rsid w:val="6727706C"/>
    <w:rsid w:val="67290C2B"/>
    <w:rsid w:val="6738767B"/>
    <w:rsid w:val="673F17B5"/>
    <w:rsid w:val="674A6161"/>
    <w:rsid w:val="675E59B4"/>
    <w:rsid w:val="6779591C"/>
    <w:rsid w:val="677A33C6"/>
    <w:rsid w:val="678347B1"/>
    <w:rsid w:val="67873625"/>
    <w:rsid w:val="679118E5"/>
    <w:rsid w:val="67947887"/>
    <w:rsid w:val="679766E8"/>
    <w:rsid w:val="67990C21"/>
    <w:rsid w:val="67994442"/>
    <w:rsid w:val="67A65C79"/>
    <w:rsid w:val="67A96877"/>
    <w:rsid w:val="67BB0809"/>
    <w:rsid w:val="67BF0C5A"/>
    <w:rsid w:val="67C129F2"/>
    <w:rsid w:val="67CA73CE"/>
    <w:rsid w:val="67D15E57"/>
    <w:rsid w:val="67DA429E"/>
    <w:rsid w:val="67DD5273"/>
    <w:rsid w:val="67F4046D"/>
    <w:rsid w:val="67F53450"/>
    <w:rsid w:val="67F772A2"/>
    <w:rsid w:val="67FB5761"/>
    <w:rsid w:val="6817628E"/>
    <w:rsid w:val="681F6961"/>
    <w:rsid w:val="68210EBB"/>
    <w:rsid w:val="6822123E"/>
    <w:rsid w:val="68272F3B"/>
    <w:rsid w:val="682D62F9"/>
    <w:rsid w:val="6844717E"/>
    <w:rsid w:val="685C1E70"/>
    <w:rsid w:val="68610A2F"/>
    <w:rsid w:val="68637725"/>
    <w:rsid w:val="68662C52"/>
    <w:rsid w:val="68676A91"/>
    <w:rsid w:val="68710773"/>
    <w:rsid w:val="68805514"/>
    <w:rsid w:val="68874C6F"/>
    <w:rsid w:val="688C3F71"/>
    <w:rsid w:val="689C49E5"/>
    <w:rsid w:val="68BB5D16"/>
    <w:rsid w:val="68C05006"/>
    <w:rsid w:val="68CB448F"/>
    <w:rsid w:val="68E27249"/>
    <w:rsid w:val="68EA5751"/>
    <w:rsid w:val="68EC700B"/>
    <w:rsid w:val="68F16ADF"/>
    <w:rsid w:val="69005F52"/>
    <w:rsid w:val="690C568A"/>
    <w:rsid w:val="69130C67"/>
    <w:rsid w:val="69245C38"/>
    <w:rsid w:val="692730C0"/>
    <w:rsid w:val="69316E2F"/>
    <w:rsid w:val="694A403F"/>
    <w:rsid w:val="694B78A1"/>
    <w:rsid w:val="694E2071"/>
    <w:rsid w:val="695D23C7"/>
    <w:rsid w:val="69751EF0"/>
    <w:rsid w:val="69766163"/>
    <w:rsid w:val="697A3B33"/>
    <w:rsid w:val="69966816"/>
    <w:rsid w:val="69981651"/>
    <w:rsid w:val="69B2536F"/>
    <w:rsid w:val="69B466B0"/>
    <w:rsid w:val="69C67C0C"/>
    <w:rsid w:val="69CB2F6F"/>
    <w:rsid w:val="69CE562A"/>
    <w:rsid w:val="69D44760"/>
    <w:rsid w:val="69DD3507"/>
    <w:rsid w:val="69DE6345"/>
    <w:rsid w:val="69ED7AE8"/>
    <w:rsid w:val="69F75E04"/>
    <w:rsid w:val="69FC1BE0"/>
    <w:rsid w:val="6A0635B4"/>
    <w:rsid w:val="6A0E4556"/>
    <w:rsid w:val="6A1378BC"/>
    <w:rsid w:val="6A2716C9"/>
    <w:rsid w:val="6A292BC5"/>
    <w:rsid w:val="6A341A38"/>
    <w:rsid w:val="6A364F17"/>
    <w:rsid w:val="6A3C022E"/>
    <w:rsid w:val="6A401995"/>
    <w:rsid w:val="6A4B50B0"/>
    <w:rsid w:val="6A507012"/>
    <w:rsid w:val="6A520EC7"/>
    <w:rsid w:val="6A527581"/>
    <w:rsid w:val="6A5C1DBC"/>
    <w:rsid w:val="6A744E62"/>
    <w:rsid w:val="6A775259"/>
    <w:rsid w:val="6A881A49"/>
    <w:rsid w:val="6A8D3C89"/>
    <w:rsid w:val="6A8D4E45"/>
    <w:rsid w:val="6A9C2E46"/>
    <w:rsid w:val="6AA14535"/>
    <w:rsid w:val="6AA330D5"/>
    <w:rsid w:val="6AA83886"/>
    <w:rsid w:val="6AB203B9"/>
    <w:rsid w:val="6AD2649C"/>
    <w:rsid w:val="6AD3699C"/>
    <w:rsid w:val="6AD542A8"/>
    <w:rsid w:val="6AD94A55"/>
    <w:rsid w:val="6AEE0B26"/>
    <w:rsid w:val="6AF65D46"/>
    <w:rsid w:val="6AF87E20"/>
    <w:rsid w:val="6AFC3AC9"/>
    <w:rsid w:val="6AFC4565"/>
    <w:rsid w:val="6AFE3735"/>
    <w:rsid w:val="6B135E70"/>
    <w:rsid w:val="6B270BB7"/>
    <w:rsid w:val="6B291D9C"/>
    <w:rsid w:val="6B322639"/>
    <w:rsid w:val="6B3A73C5"/>
    <w:rsid w:val="6B427AC6"/>
    <w:rsid w:val="6B584EB5"/>
    <w:rsid w:val="6B596BBE"/>
    <w:rsid w:val="6B7D2AE6"/>
    <w:rsid w:val="6B8136DF"/>
    <w:rsid w:val="6B9211F5"/>
    <w:rsid w:val="6B9937C6"/>
    <w:rsid w:val="6BB91C3C"/>
    <w:rsid w:val="6BC23415"/>
    <w:rsid w:val="6BE2746D"/>
    <w:rsid w:val="6BEE3C1E"/>
    <w:rsid w:val="6BF344D5"/>
    <w:rsid w:val="6BF3491C"/>
    <w:rsid w:val="6C002DC4"/>
    <w:rsid w:val="6C255926"/>
    <w:rsid w:val="6C2C1B3B"/>
    <w:rsid w:val="6C2E50FA"/>
    <w:rsid w:val="6C4F36BC"/>
    <w:rsid w:val="6C560478"/>
    <w:rsid w:val="6C5D67AC"/>
    <w:rsid w:val="6C5F6456"/>
    <w:rsid w:val="6C636C38"/>
    <w:rsid w:val="6C6E7FDF"/>
    <w:rsid w:val="6C70313E"/>
    <w:rsid w:val="6C8C0EA4"/>
    <w:rsid w:val="6CA547DF"/>
    <w:rsid w:val="6CA82061"/>
    <w:rsid w:val="6CBB166B"/>
    <w:rsid w:val="6CDC1854"/>
    <w:rsid w:val="6CDE646F"/>
    <w:rsid w:val="6CF365A1"/>
    <w:rsid w:val="6D0C0AD4"/>
    <w:rsid w:val="6D145769"/>
    <w:rsid w:val="6D16258E"/>
    <w:rsid w:val="6D3F3B91"/>
    <w:rsid w:val="6D4B78A0"/>
    <w:rsid w:val="6D4F2892"/>
    <w:rsid w:val="6D561607"/>
    <w:rsid w:val="6D7B0D9A"/>
    <w:rsid w:val="6DAE351C"/>
    <w:rsid w:val="6DB21CDF"/>
    <w:rsid w:val="6DB34098"/>
    <w:rsid w:val="6DB545B6"/>
    <w:rsid w:val="6DB775B9"/>
    <w:rsid w:val="6DC645D7"/>
    <w:rsid w:val="6DC865AF"/>
    <w:rsid w:val="6DD33BD3"/>
    <w:rsid w:val="6DDB32A8"/>
    <w:rsid w:val="6DDE2C2E"/>
    <w:rsid w:val="6DE02FB4"/>
    <w:rsid w:val="6DE1788A"/>
    <w:rsid w:val="6DE8661D"/>
    <w:rsid w:val="6DEB098B"/>
    <w:rsid w:val="6DED64EA"/>
    <w:rsid w:val="6DF45878"/>
    <w:rsid w:val="6DFB4950"/>
    <w:rsid w:val="6DFE2261"/>
    <w:rsid w:val="6E2F2E12"/>
    <w:rsid w:val="6E377E41"/>
    <w:rsid w:val="6E4F6056"/>
    <w:rsid w:val="6E514CED"/>
    <w:rsid w:val="6E5205F7"/>
    <w:rsid w:val="6E526251"/>
    <w:rsid w:val="6E5D69C5"/>
    <w:rsid w:val="6E616523"/>
    <w:rsid w:val="6E6B0C8A"/>
    <w:rsid w:val="6E8A4D48"/>
    <w:rsid w:val="6E8C5999"/>
    <w:rsid w:val="6E8E7654"/>
    <w:rsid w:val="6EB563D5"/>
    <w:rsid w:val="6EC425A0"/>
    <w:rsid w:val="6ED2322F"/>
    <w:rsid w:val="6ED5513C"/>
    <w:rsid w:val="6ED92677"/>
    <w:rsid w:val="6EDA6A19"/>
    <w:rsid w:val="6EE1729A"/>
    <w:rsid w:val="6EF56A4F"/>
    <w:rsid w:val="6EF647E8"/>
    <w:rsid w:val="6F073792"/>
    <w:rsid w:val="6F084FA0"/>
    <w:rsid w:val="6F1C3580"/>
    <w:rsid w:val="6F1D5E40"/>
    <w:rsid w:val="6F225983"/>
    <w:rsid w:val="6F321C00"/>
    <w:rsid w:val="6F3A6C10"/>
    <w:rsid w:val="6F4B471D"/>
    <w:rsid w:val="6F550E7A"/>
    <w:rsid w:val="6F5558EE"/>
    <w:rsid w:val="6F593C93"/>
    <w:rsid w:val="6F5F6873"/>
    <w:rsid w:val="6F643058"/>
    <w:rsid w:val="6F727801"/>
    <w:rsid w:val="6F7761A6"/>
    <w:rsid w:val="6F7C2E7B"/>
    <w:rsid w:val="6F7E0646"/>
    <w:rsid w:val="6F7E2930"/>
    <w:rsid w:val="6F8308F0"/>
    <w:rsid w:val="6F923369"/>
    <w:rsid w:val="6FA20837"/>
    <w:rsid w:val="6FAC3265"/>
    <w:rsid w:val="6FAE2627"/>
    <w:rsid w:val="6FB7690B"/>
    <w:rsid w:val="6FC36CFC"/>
    <w:rsid w:val="6FC54822"/>
    <w:rsid w:val="6FDD7DBD"/>
    <w:rsid w:val="6FE255D6"/>
    <w:rsid w:val="6FEE1E4E"/>
    <w:rsid w:val="6FF869A5"/>
    <w:rsid w:val="6FFC5590"/>
    <w:rsid w:val="6FFE5F86"/>
    <w:rsid w:val="700F3CEF"/>
    <w:rsid w:val="703674CE"/>
    <w:rsid w:val="703B5596"/>
    <w:rsid w:val="70413449"/>
    <w:rsid w:val="704543D4"/>
    <w:rsid w:val="70464459"/>
    <w:rsid w:val="704712CD"/>
    <w:rsid w:val="70674CBC"/>
    <w:rsid w:val="706D1DD0"/>
    <w:rsid w:val="70856B87"/>
    <w:rsid w:val="70923DE2"/>
    <w:rsid w:val="70974410"/>
    <w:rsid w:val="70AD799E"/>
    <w:rsid w:val="70B32BC2"/>
    <w:rsid w:val="70B6532A"/>
    <w:rsid w:val="70CA13B5"/>
    <w:rsid w:val="70D178EA"/>
    <w:rsid w:val="70D527EE"/>
    <w:rsid w:val="70DD4996"/>
    <w:rsid w:val="70FA19B0"/>
    <w:rsid w:val="70FB628B"/>
    <w:rsid w:val="711F3776"/>
    <w:rsid w:val="712D2966"/>
    <w:rsid w:val="71384D7B"/>
    <w:rsid w:val="714510B8"/>
    <w:rsid w:val="71542301"/>
    <w:rsid w:val="715B5300"/>
    <w:rsid w:val="71641EBE"/>
    <w:rsid w:val="71695BAA"/>
    <w:rsid w:val="717A6454"/>
    <w:rsid w:val="717E3891"/>
    <w:rsid w:val="71811A66"/>
    <w:rsid w:val="718D75C1"/>
    <w:rsid w:val="719459D5"/>
    <w:rsid w:val="71956476"/>
    <w:rsid w:val="71A967CF"/>
    <w:rsid w:val="71B21934"/>
    <w:rsid w:val="71C07997"/>
    <w:rsid w:val="71C118DE"/>
    <w:rsid w:val="71D12921"/>
    <w:rsid w:val="71D27F8A"/>
    <w:rsid w:val="71D53233"/>
    <w:rsid w:val="71DF60AF"/>
    <w:rsid w:val="71EA1A6A"/>
    <w:rsid w:val="71EE1250"/>
    <w:rsid w:val="71F633B8"/>
    <w:rsid w:val="71FC6F1E"/>
    <w:rsid w:val="721B13C4"/>
    <w:rsid w:val="721C3AA3"/>
    <w:rsid w:val="72393394"/>
    <w:rsid w:val="72473581"/>
    <w:rsid w:val="724759C2"/>
    <w:rsid w:val="724C2FD8"/>
    <w:rsid w:val="724F0635"/>
    <w:rsid w:val="72553024"/>
    <w:rsid w:val="72591E71"/>
    <w:rsid w:val="72621B19"/>
    <w:rsid w:val="72693B8A"/>
    <w:rsid w:val="727B3360"/>
    <w:rsid w:val="727B40A7"/>
    <w:rsid w:val="72806873"/>
    <w:rsid w:val="728A4A96"/>
    <w:rsid w:val="72A44A8D"/>
    <w:rsid w:val="72A55AEC"/>
    <w:rsid w:val="72A80BC8"/>
    <w:rsid w:val="72AA7B4F"/>
    <w:rsid w:val="72C06D49"/>
    <w:rsid w:val="72CA7B91"/>
    <w:rsid w:val="72CC1871"/>
    <w:rsid w:val="72D15FDF"/>
    <w:rsid w:val="72D7605F"/>
    <w:rsid w:val="72EC6569"/>
    <w:rsid w:val="72F93CD4"/>
    <w:rsid w:val="73122968"/>
    <w:rsid w:val="731D6F18"/>
    <w:rsid w:val="731E0B1F"/>
    <w:rsid w:val="731F5D5E"/>
    <w:rsid w:val="73275372"/>
    <w:rsid w:val="73304F94"/>
    <w:rsid w:val="733C170E"/>
    <w:rsid w:val="734038C7"/>
    <w:rsid w:val="734A0EF7"/>
    <w:rsid w:val="736D2381"/>
    <w:rsid w:val="737427E7"/>
    <w:rsid w:val="737526A5"/>
    <w:rsid w:val="7377493C"/>
    <w:rsid w:val="738B6560"/>
    <w:rsid w:val="738F7621"/>
    <w:rsid w:val="7395120F"/>
    <w:rsid w:val="73AB26DD"/>
    <w:rsid w:val="73AB3D2F"/>
    <w:rsid w:val="73B0241D"/>
    <w:rsid w:val="73BF3500"/>
    <w:rsid w:val="73C51AD5"/>
    <w:rsid w:val="73CC6598"/>
    <w:rsid w:val="73D620C7"/>
    <w:rsid w:val="73DD38FB"/>
    <w:rsid w:val="73E11EB5"/>
    <w:rsid w:val="73E35BA5"/>
    <w:rsid w:val="73F61544"/>
    <w:rsid w:val="73FE6CA4"/>
    <w:rsid w:val="73FE79BB"/>
    <w:rsid w:val="740218D1"/>
    <w:rsid w:val="741967CA"/>
    <w:rsid w:val="741E793C"/>
    <w:rsid w:val="7420504B"/>
    <w:rsid w:val="74262DB1"/>
    <w:rsid w:val="74552BD0"/>
    <w:rsid w:val="745E3944"/>
    <w:rsid w:val="745F28C4"/>
    <w:rsid w:val="746C0790"/>
    <w:rsid w:val="746D3F4A"/>
    <w:rsid w:val="7474048B"/>
    <w:rsid w:val="747F0E05"/>
    <w:rsid w:val="74822D12"/>
    <w:rsid w:val="7497539B"/>
    <w:rsid w:val="74987D11"/>
    <w:rsid w:val="74994984"/>
    <w:rsid w:val="749B3DA3"/>
    <w:rsid w:val="749E72A5"/>
    <w:rsid w:val="74A76530"/>
    <w:rsid w:val="74BE5903"/>
    <w:rsid w:val="74D05E96"/>
    <w:rsid w:val="74E36B6F"/>
    <w:rsid w:val="74F01E28"/>
    <w:rsid w:val="74F02341"/>
    <w:rsid w:val="75066523"/>
    <w:rsid w:val="750765A4"/>
    <w:rsid w:val="7507697E"/>
    <w:rsid w:val="75093A1C"/>
    <w:rsid w:val="750958BE"/>
    <w:rsid w:val="75166324"/>
    <w:rsid w:val="75192C22"/>
    <w:rsid w:val="752215C0"/>
    <w:rsid w:val="7524611A"/>
    <w:rsid w:val="75280038"/>
    <w:rsid w:val="75383B7F"/>
    <w:rsid w:val="75385D85"/>
    <w:rsid w:val="75391BC1"/>
    <w:rsid w:val="754D1541"/>
    <w:rsid w:val="75521906"/>
    <w:rsid w:val="755A5998"/>
    <w:rsid w:val="7561701B"/>
    <w:rsid w:val="757A6710"/>
    <w:rsid w:val="757F1917"/>
    <w:rsid w:val="759854E8"/>
    <w:rsid w:val="75B1310E"/>
    <w:rsid w:val="75B90EB9"/>
    <w:rsid w:val="75DC69FB"/>
    <w:rsid w:val="75DE35A5"/>
    <w:rsid w:val="75E119E8"/>
    <w:rsid w:val="75E11F6B"/>
    <w:rsid w:val="75E13D80"/>
    <w:rsid w:val="75E36485"/>
    <w:rsid w:val="75F6131C"/>
    <w:rsid w:val="760500A9"/>
    <w:rsid w:val="762B33A2"/>
    <w:rsid w:val="762B73A9"/>
    <w:rsid w:val="76312C11"/>
    <w:rsid w:val="7635099D"/>
    <w:rsid w:val="763E0890"/>
    <w:rsid w:val="7641383A"/>
    <w:rsid w:val="76692538"/>
    <w:rsid w:val="766B3058"/>
    <w:rsid w:val="767019F6"/>
    <w:rsid w:val="76721858"/>
    <w:rsid w:val="767A3346"/>
    <w:rsid w:val="76872A1D"/>
    <w:rsid w:val="76881978"/>
    <w:rsid w:val="768A52FC"/>
    <w:rsid w:val="769931AB"/>
    <w:rsid w:val="76BB03B1"/>
    <w:rsid w:val="76E20A5E"/>
    <w:rsid w:val="76E25CB9"/>
    <w:rsid w:val="76E53424"/>
    <w:rsid w:val="76F96301"/>
    <w:rsid w:val="77387FCF"/>
    <w:rsid w:val="773942C8"/>
    <w:rsid w:val="773E3ABC"/>
    <w:rsid w:val="77532FE5"/>
    <w:rsid w:val="776E6C5C"/>
    <w:rsid w:val="77762421"/>
    <w:rsid w:val="777C6559"/>
    <w:rsid w:val="77862097"/>
    <w:rsid w:val="77870DF7"/>
    <w:rsid w:val="77903AA1"/>
    <w:rsid w:val="77933C4B"/>
    <w:rsid w:val="77A81D34"/>
    <w:rsid w:val="77B56B1F"/>
    <w:rsid w:val="77BC38A7"/>
    <w:rsid w:val="77DF0C24"/>
    <w:rsid w:val="77EE71D5"/>
    <w:rsid w:val="77F010F9"/>
    <w:rsid w:val="77FC0FCB"/>
    <w:rsid w:val="77FC7A50"/>
    <w:rsid w:val="78087F8D"/>
    <w:rsid w:val="780F09F4"/>
    <w:rsid w:val="78130E02"/>
    <w:rsid w:val="781C4AC8"/>
    <w:rsid w:val="781C53A1"/>
    <w:rsid w:val="781F57D9"/>
    <w:rsid w:val="782347DB"/>
    <w:rsid w:val="782C6080"/>
    <w:rsid w:val="78412EB3"/>
    <w:rsid w:val="784B5AE0"/>
    <w:rsid w:val="784F1D4A"/>
    <w:rsid w:val="78590179"/>
    <w:rsid w:val="785C2B71"/>
    <w:rsid w:val="786C00FF"/>
    <w:rsid w:val="786D3B04"/>
    <w:rsid w:val="787873FC"/>
    <w:rsid w:val="78807B38"/>
    <w:rsid w:val="78822E81"/>
    <w:rsid w:val="788B5480"/>
    <w:rsid w:val="788E0846"/>
    <w:rsid w:val="789F0F12"/>
    <w:rsid w:val="78A90480"/>
    <w:rsid w:val="78AE413C"/>
    <w:rsid w:val="78AF6E15"/>
    <w:rsid w:val="78C01317"/>
    <w:rsid w:val="78DA491A"/>
    <w:rsid w:val="78DF0C9C"/>
    <w:rsid w:val="78FE12F8"/>
    <w:rsid w:val="79112886"/>
    <w:rsid w:val="791E5D05"/>
    <w:rsid w:val="791F6BFF"/>
    <w:rsid w:val="79494343"/>
    <w:rsid w:val="79522462"/>
    <w:rsid w:val="796706F8"/>
    <w:rsid w:val="79724C28"/>
    <w:rsid w:val="798617C0"/>
    <w:rsid w:val="79901619"/>
    <w:rsid w:val="799D468A"/>
    <w:rsid w:val="79A63A56"/>
    <w:rsid w:val="79A67472"/>
    <w:rsid w:val="79B54250"/>
    <w:rsid w:val="79BE5DB8"/>
    <w:rsid w:val="79C65C6A"/>
    <w:rsid w:val="79E87A8A"/>
    <w:rsid w:val="79F3205E"/>
    <w:rsid w:val="7A281EE2"/>
    <w:rsid w:val="7A285C9F"/>
    <w:rsid w:val="7A364017"/>
    <w:rsid w:val="7A4D5B40"/>
    <w:rsid w:val="7A4E6002"/>
    <w:rsid w:val="7A5213A8"/>
    <w:rsid w:val="7A560EE7"/>
    <w:rsid w:val="7A57371E"/>
    <w:rsid w:val="7A5A55CA"/>
    <w:rsid w:val="7A5B492B"/>
    <w:rsid w:val="7A600FAF"/>
    <w:rsid w:val="7A603AC5"/>
    <w:rsid w:val="7A734197"/>
    <w:rsid w:val="7A7430CC"/>
    <w:rsid w:val="7A823B93"/>
    <w:rsid w:val="7A8265E1"/>
    <w:rsid w:val="7A8A7D49"/>
    <w:rsid w:val="7A9250C9"/>
    <w:rsid w:val="7A9674E6"/>
    <w:rsid w:val="7A983B8E"/>
    <w:rsid w:val="7AB1214E"/>
    <w:rsid w:val="7AB14320"/>
    <w:rsid w:val="7AB8581D"/>
    <w:rsid w:val="7ABD51E1"/>
    <w:rsid w:val="7AD63D87"/>
    <w:rsid w:val="7AD85D51"/>
    <w:rsid w:val="7AE85868"/>
    <w:rsid w:val="7AF123D5"/>
    <w:rsid w:val="7B0105C0"/>
    <w:rsid w:val="7B0C20EE"/>
    <w:rsid w:val="7B3D0A62"/>
    <w:rsid w:val="7B3D0FD5"/>
    <w:rsid w:val="7B3D5F8F"/>
    <w:rsid w:val="7B5C3C9B"/>
    <w:rsid w:val="7B5F589A"/>
    <w:rsid w:val="7B641393"/>
    <w:rsid w:val="7B6561B5"/>
    <w:rsid w:val="7B686D42"/>
    <w:rsid w:val="7B690757"/>
    <w:rsid w:val="7B6A2721"/>
    <w:rsid w:val="7B7F1D65"/>
    <w:rsid w:val="7B841746"/>
    <w:rsid w:val="7B871FD7"/>
    <w:rsid w:val="7B8F67B3"/>
    <w:rsid w:val="7B9E2663"/>
    <w:rsid w:val="7BB30D54"/>
    <w:rsid w:val="7BBB494D"/>
    <w:rsid w:val="7BBC3EC2"/>
    <w:rsid w:val="7BC05DFD"/>
    <w:rsid w:val="7BC10593"/>
    <w:rsid w:val="7BC260B9"/>
    <w:rsid w:val="7BC57FE0"/>
    <w:rsid w:val="7BCB08D5"/>
    <w:rsid w:val="7BCC5654"/>
    <w:rsid w:val="7BD40363"/>
    <w:rsid w:val="7BD62C29"/>
    <w:rsid w:val="7BDA4711"/>
    <w:rsid w:val="7BE35CBC"/>
    <w:rsid w:val="7BEC7993"/>
    <w:rsid w:val="7BF527BC"/>
    <w:rsid w:val="7C0C2DF1"/>
    <w:rsid w:val="7C0D39F5"/>
    <w:rsid w:val="7C1C6F75"/>
    <w:rsid w:val="7C2362CE"/>
    <w:rsid w:val="7C2823C0"/>
    <w:rsid w:val="7C300488"/>
    <w:rsid w:val="7C372793"/>
    <w:rsid w:val="7C3857C5"/>
    <w:rsid w:val="7C3D4F4E"/>
    <w:rsid w:val="7C4D51A5"/>
    <w:rsid w:val="7C5047E2"/>
    <w:rsid w:val="7C59231E"/>
    <w:rsid w:val="7C6C3AE3"/>
    <w:rsid w:val="7C6C3EED"/>
    <w:rsid w:val="7C6C5AC7"/>
    <w:rsid w:val="7C6F7FEF"/>
    <w:rsid w:val="7CA9104E"/>
    <w:rsid w:val="7CAF0FB9"/>
    <w:rsid w:val="7CB078FE"/>
    <w:rsid w:val="7CC00178"/>
    <w:rsid w:val="7CC0084B"/>
    <w:rsid w:val="7CC12815"/>
    <w:rsid w:val="7CC6544B"/>
    <w:rsid w:val="7CD95DB0"/>
    <w:rsid w:val="7CDC40AA"/>
    <w:rsid w:val="7CE10508"/>
    <w:rsid w:val="7CE107C1"/>
    <w:rsid w:val="7CF341AA"/>
    <w:rsid w:val="7CF53371"/>
    <w:rsid w:val="7CF84488"/>
    <w:rsid w:val="7D0239FF"/>
    <w:rsid w:val="7D1159B6"/>
    <w:rsid w:val="7D183C18"/>
    <w:rsid w:val="7D2A690E"/>
    <w:rsid w:val="7D4E40BE"/>
    <w:rsid w:val="7D513B99"/>
    <w:rsid w:val="7D554D12"/>
    <w:rsid w:val="7D5E40CD"/>
    <w:rsid w:val="7D701C23"/>
    <w:rsid w:val="7D765EA6"/>
    <w:rsid w:val="7D876775"/>
    <w:rsid w:val="7D895F34"/>
    <w:rsid w:val="7DAA7380"/>
    <w:rsid w:val="7DAD000B"/>
    <w:rsid w:val="7DB72C94"/>
    <w:rsid w:val="7DCD56F2"/>
    <w:rsid w:val="7DD838D8"/>
    <w:rsid w:val="7DD86068"/>
    <w:rsid w:val="7DDD2DFA"/>
    <w:rsid w:val="7DEE3196"/>
    <w:rsid w:val="7DFB1074"/>
    <w:rsid w:val="7E085630"/>
    <w:rsid w:val="7E0951BB"/>
    <w:rsid w:val="7E0B4983"/>
    <w:rsid w:val="7E0D510B"/>
    <w:rsid w:val="7E180C7A"/>
    <w:rsid w:val="7E2325AC"/>
    <w:rsid w:val="7E2B3082"/>
    <w:rsid w:val="7E36435B"/>
    <w:rsid w:val="7E372D8F"/>
    <w:rsid w:val="7E402F0C"/>
    <w:rsid w:val="7E4662EE"/>
    <w:rsid w:val="7E4B4F1F"/>
    <w:rsid w:val="7E4B63AE"/>
    <w:rsid w:val="7E4C40F1"/>
    <w:rsid w:val="7E4F606D"/>
    <w:rsid w:val="7E6A711D"/>
    <w:rsid w:val="7E722019"/>
    <w:rsid w:val="7E7242DB"/>
    <w:rsid w:val="7E894DC4"/>
    <w:rsid w:val="7E955D07"/>
    <w:rsid w:val="7E956574"/>
    <w:rsid w:val="7EA40378"/>
    <w:rsid w:val="7EB61194"/>
    <w:rsid w:val="7ECB3BF9"/>
    <w:rsid w:val="7ED3123B"/>
    <w:rsid w:val="7ED56104"/>
    <w:rsid w:val="7EDC0A15"/>
    <w:rsid w:val="7EE650DE"/>
    <w:rsid w:val="7EEF3669"/>
    <w:rsid w:val="7EFE565A"/>
    <w:rsid w:val="7F001CE7"/>
    <w:rsid w:val="7F086945"/>
    <w:rsid w:val="7F2A54FD"/>
    <w:rsid w:val="7F565496"/>
    <w:rsid w:val="7F572145"/>
    <w:rsid w:val="7F5A53F2"/>
    <w:rsid w:val="7F5F3039"/>
    <w:rsid w:val="7F765B38"/>
    <w:rsid w:val="7F7E2AAF"/>
    <w:rsid w:val="7F813EFE"/>
    <w:rsid w:val="7F8F2756"/>
    <w:rsid w:val="7F936E87"/>
    <w:rsid w:val="7F9C1053"/>
    <w:rsid w:val="7FBD72C3"/>
    <w:rsid w:val="7FCC01AF"/>
    <w:rsid w:val="7FE47E50"/>
    <w:rsid w:val="7FE86C4F"/>
    <w:rsid w:val="7FF64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iPriority="0" w:name="heading 5" w:locked="1"/>
    <w:lsdException w:qFormat="1" w:uiPriority="0" w:name="heading 6" w:locked="1"/>
    <w:lsdException w:qFormat="1" w:unhideWhenUsed="0" w:uiPriority="0" w:semiHidden="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iPriority="39"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qFormat="1" w:unhideWhenUsed="0" w:uiPriority="0" w:name="table of authorities" w:locked="1"/>
    <w:lsdException w:unhideWhenUsed="0" w:uiPriority="0" w:semiHidden="0" w:name="macro" w:locked="1"/>
    <w:lsdException w:unhideWhenUsed="0" w:uiPriority="0" w:semiHidden="0" w:name="toa heading" w:locked="1"/>
    <w:lsdException w:qFormat="1" w:uiPriority="99"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qFormat="1"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qFormat="1" w:unhideWhenUsed="0" w:uiPriority="99"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iPriority="99" w:semiHidden="0" w:name="Body Text First Indent" w:locked="1"/>
    <w:lsdException w:qFormat="1" w:unhideWhenUsed="0" w:uiPriority="0" w:semiHidden="0" w:name="Body Text First Indent 2" w:locked="1"/>
    <w:lsdException w:unhideWhenUsed="0" w:uiPriority="0" w:semiHidden="0" w:name="Note Heading" w:locked="1"/>
    <w:lsdException w:qFormat="1" w:unhideWhenUsed="0" w:uiPriority="0" w:semiHidden="0" w:name="Body Text 2" w:locked="1"/>
    <w:lsdException w:unhideWhenUsed="0" w:uiPriority="0" w:semiHidden="0" w:name="Body Text 3" w:locked="1"/>
    <w:lsdException w:qFormat="1" w:unhideWhenUsed="0" w:uiPriority="0" w:semiHidden="0" w:name="Body Text Indent 2" w:locked="1"/>
    <w:lsdException w:qFormat="1" w:unhideWhenUsed="0" w:uiPriority="0" w:semiHidden="0" w:name="Body Text Indent 3" w:locked="1"/>
    <w:lsdException w:unhideWhenUsed="0" w:uiPriority="0" w:semiHidden="0" w:name="Block Text" w:locked="1"/>
    <w:lsdException w:qFormat="1"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2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qFormat="1" w:unhideWhenUsed="0" w:uiPriority="0" w:semiHidden="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qFormat="1" w:unhideWhenUsed="0" w:uiPriority="3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4">
    <w:name w:val="heading 2"/>
    <w:basedOn w:val="1"/>
    <w:next w:val="1"/>
    <w:qFormat/>
    <w:locked/>
    <w:uiPriority w:val="0"/>
    <w:pPr>
      <w:spacing w:before="100" w:beforeAutospacing="1" w:after="100" w:afterAutospacing="1"/>
      <w:jc w:val="left"/>
      <w:outlineLvl w:val="1"/>
    </w:pPr>
    <w:rPr>
      <w:rFonts w:hint="eastAsia" w:ascii="宋体" w:hAnsi="宋体"/>
      <w:b/>
      <w:bCs/>
      <w:kern w:val="0"/>
      <w:sz w:val="36"/>
      <w:szCs w:val="36"/>
    </w:rPr>
  </w:style>
  <w:style w:type="paragraph" w:styleId="5">
    <w:name w:val="heading 3"/>
    <w:basedOn w:val="1"/>
    <w:next w:val="6"/>
    <w:qFormat/>
    <w:locked/>
    <w:uiPriority w:val="0"/>
    <w:pPr>
      <w:keepNext/>
      <w:keepLines/>
      <w:spacing w:before="260" w:after="260" w:line="416" w:lineRule="auto"/>
      <w:outlineLvl w:val="2"/>
    </w:pPr>
    <w:rPr>
      <w:b/>
      <w:bCs/>
      <w:sz w:val="32"/>
      <w:szCs w:val="32"/>
    </w:rPr>
  </w:style>
  <w:style w:type="paragraph" w:styleId="7">
    <w:name w:val="heading 4"/>
    <w:basedOn w:val="1"/>
    <w:next w:val="1"/>
    <w:qFormat/>
    <w:locked/>
    <w:uiPriority w:val="0"/>
    <w:pPr>
      <w:spacing w:before="100" w:beforeAutospacing="1" w:after="100" w:afterAutospacing="1"/>
      <w:jc w:val="left"/>
      <w:outlineLvl w:val="3"/>
    </w:pPr>
    <w:rPr>
      <w:rFonts w:hint="eastAsia" w:ascii="宋体" w:hAnsi="宋体"/>
      <w:b/>
      <w:bCs/>
      <w:kern w:val="0"/>
      <w:sz w:val="24"/>
    </w:rPr>
  </w:style>
  <w:style w:type="paragraph" w:styleId="8">
    <w:name w:val="heading 7"/>
    <w:basedOn w:val="1"/>
    <w:next w:val="1"/>
    <w:qFormat/>
    <w:locked/>
    <w:uiPriority w:val="0"/>
    <w:pPr>
      <w:keepNext/>
      <w:keepLines/>
      <w:numPr>
        <w:ilvl w:val="6"/>
        <w:numId w:val="0"/>
      </w:numPr>
      <w:adjustRightInd w:val="0"/>
      <w:spacing w:beforeLines="0" w:afterLines="0" w:line="240" w:lineRule="auto"/>
      <w:ind w:left="0" w:firstLine="0"/>
      <w:jc w:val="center"/>
      <w:textAlignment w:val="baseline"/>
      <w:outlineLvl w:val="6"/>
    </w:pPr>
    <w:rPr>
      <w:rFonts w:ascii="Times New Roman" w:hAnsi="Times New Roman" w:eastAsia="宋体"/>
      <w:b/>
      <w:kern w:val="0"/>
      <w:sz w:val="24"/>
      <w:szCs w:val="20"/>
    </w:rPr>
  </w:style>
  <w:style w:type="character" w:default="1" w:styleId="33">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2"/>
    <w:qFormat/>
    <w:uiPriority w:val="0"/>
    <w:pPr>
      <w:widowControl/>
      <w:snapToGrid w:val="0"/>
      <w:spacing w:before="60" w:after="160" w:line="259" w:lineRule="auto"/>
      <w:ind w:right="113"/>
    </w:pPr>
    <w:rPr>
      <w:kern w:val="0"/>
      <w:sz w:val="18"/>
      <w:szCs w:val="20"/>
    </w:rPr>
  </w:style>
  <w:style w:type="paragraph" w:styleId="6">
    <w:name w:val="Normal Indent"/>
    <w:basedOn w:val="1"/>
    <w:next w:val="7"/>
    <w:qFormat/>
    <w:locked/>
    <w:uiPriority w:val="0"/>
    <w:pPr>
      <w:ind w:firstLine="420" w:firstLineChars="200"/>
    </w:pPr>
    <w:rPr>
      <w:kern w:val="0"/>
      <w:sz w:val="20"/>
    </w:rPr>
  </w:style>
  <w:style w:type="paragraph" w:styleId="9">
    <w:name w:val="table of authorities"/>
    <w:basedOn w:val="1"/>
    <w:next w:val="1"/>
    <w:semiHidden/>
    <w:qFormat/>
    <w:locked/>
    <w:uiPriority w:val="0"/>
    <w:pPr>
      <w:ind w:left="420" w:leftChars="200"/>
    </w:pPr>
    <w:rPr>
      <w:rFonts w:cs="宋体"/>
    </w:rPr>
  </w:style>
  <w:style w:type="paragraph" w:styleId="10">
    <w:name w:val="annotation text"/>
    <w:basedOn w:val="1"/>
    <w:link w:val="41"/>
    <w:semiHidden/>
    <w:qFormat/>
    <w:uiPriority w:val="0"/>
    <w:pPr>
      <w:jc w:val="left"/>
    </w:pPr>
    <w:rPr>
      <w:kern w:val="0"/>
      <w:sz w:val="24"/>
      <w:szCs w:val="20"/>
    </w:rPr>
  </w:style>
  <w:style w:type="paragraph" w:styleId="11">
    <w:name w:val="Body Text Indent"/>
    <w:basedOn w:val="1"/>
    <w:next w:val="1"/>
    <w:link w:val="43"/>
    <w:qFormat/>
    <w:uiPriority w:val="0"/>
    <w:pPr>
      <w:spacing w:after="120"/>
      <w:ind w:left="420" w:leftChars="200"/>
    </w:pPr>
    <w:rPr>
      <w:kern w:val="0"/>
      <w:sz w:val="24"/>
      <w:szCs w:val="20"/>
    </w:rPr>
  </w:style>
  <w:style w:type="paragraph" w:styleId="12">
    <w:name w:val="Plain Text"/>
    <w:basedOn w:val="1"/>
    <w:next w:val="13"/>
    <w:qFormat/>
    <w:locked/>
    <w:uiPriority w:val="0"/>
    <w:rPr>
      <w:rFonts w:ascii="宋体" w:hAnsi="Courier New"/>
      <w:szCs w:val="20"/>
    </w:rPr>
  </w:style>
  <w:style w:type="paragraph" w:styleId="13">
    <w:name w:val="toc 1"/>
    <w:basedOn w:val="1"/>
    <w:next w:val="1"/>
    <w:unhideWhenUsed/>
    <w:qFormat/>
    <w:locked/>
    <w:uiPriority w:val="39"/>
  </w:style>
  <w:style w:type="paragraph" w:styleId="14">
    <w:name w:val="List Bullet 5"/>
    <w:basedOn w:val="1"/>
    <w:qFormat/>
    <w:locked/>
    <w:uiPriority w:val="0"/>
    <w:pPr>
      <w:numPr>
        <w:ilvl w:val="0"/>
        <w:numId w:val="1"/>
      </w:numPr>
    </w:pPr>
  </w:style>
  <w:style w:type="paragraph" w:styleId="15">
    <w:name w:val="Date"/>
    <w:basedOn w:val="1"/>
    <w:next w:val="1"/>
    <w:link w:val="44"/>
    <w:qFormat/>
    <w:uiPriority w:val="0"/>
    <w:pPr>
      <w:ind w:left="100" w:leftChars="2500"/>
    </w:pPr>
    <w:rPr>
      <w:kern w:val="0"/>
      <w:sz w:val="24"/>
      <w:szCs w:val="20"/>
    </w:rPr>
  </w:style>
  <w:style w:type="paragraph" w:styleId="16">
    <w:name w:val="Body Text Indent 2"/>
    <w:basedOn w:val="1"/>
    <w:next w:val="1"/>
    <w:qFormat/>
    <w:locked/>
    <w:uiPriority w:val="0"/>
    <w:pPr>
      <w:spacing w:line="360" w:lineRule="auto"/>
      <w:ind w:firstLine="471" w:firstLineChars="200"/>
    </w:pPr>
    <w:rPr>
      <w:sz w:val="24"/>
    </w:rPr>
  </w:style>
  <w:style w:type="paragraph" w:styleId="17">
    <w:name w:val="Balloon Text"/>
    <w:basedOn w:val="1"/>
    <w:link w:val="45"/>
    <w:semiHidden/>
    <w:qFormat/>
    <w:uiPriority w:val="0"/>
    <w:rPr>
      <w:kern w:val="0"/>
      <w:sz w:val="18"/>
      <w:szCs w:val="20"/>
    </w:rPr>
  </w:style>
  <w:style w:type="paragraph" w:styleId="18">
    <w:name w:val="footer"/>
    <w:basedOn w:val="1"/>
    <w:next w:val="1"/>
    <w:link w:val="46"/>
    <w:qFormat/>
    <w:uiPriority w:val="99"/>
    <w:pPr>
      <w:tabs>
        <w:tab w:val="center" w:pos="4153"/>
        <w:tab w:val="right" w:pos="8306"/>
      </w:tabs>
      <w:snapToGrid w:val="0"/>
      <w:jc w:val="left"/>
    </w:pPr>
    <w:rPr>
      <w:kern w:val="0"/>
      <w:sz w:val="18"/>
      <w:szCs w:val="20"/>
    </w:rPr>
  </w:style>
  <w:style w:type="paragraph" w:styleId="19">
    <w:name w:val="header"/>
    <w:basedOn w:val="1"/>
    <w:next w:val="20"/>
    <w:link w:val="47"/>
    <w:qFormat/>
    <w:uiPriority w:val="0"/>
    <w:pPr>
      <w:pBdr>
        <w:bottom w:val="single" w:color="auto" w:sz="6" w:space="1"/>
      </w:pBdr>
      <w:tabs>
        <w:tab w:val="center" w:pos="4153"/>
        <w:tab w:val="right" w:pos="8306"/>
      </w:tabs>
      <w:snapToGrid w:val="0"/>
      <w:jc w:val="center"/>
    </w:pPr>
    <w:rPr>
      <w:kern w:val="0"/>
      <w:sz w:val="18"/>
      <w:szCs w:val="20"/>
    </w:rPr>
  </w:style>
  <w:style w:type="paragraph" w:customStyle="1" w:styleId="20">
    <w:name w:val="样式5"/>
    <w:basedOn w:val="6"/>
    <w:qFormat/>
    <w:uiPriority w:val="0"/>
    <w:pPr>
      <w:spacing w:line="380" w:lineRule="exact"/>
      <w:ind w:firstLine="566" w:firstLineChars="202"/>
    </w:pPr>
    <w:rPr>
      <w:rFonts w:eastAsia="华文行楷"/>
      <w:sz w:val="28"/>
    </w:rPr>
  </w:style>
  <w:style w:type="paragraph" w:styleId="21">
    <w:name w:val="List"/>
    <w:basedOn w:val="1"/>
    <w:next w:val="1"/>
    <w:unhideWhenUsed/>
    <w:qFormat/>
    <w:locked/>
    <w:uiPriority w:val="99"/>
    <w:pPr>
      <w:ind w:left="200" w:hanging="200" w:hangingChars="200"/>
      <w:contextualSpacing/>
    </w:pPr>
  </w:style>
  <w:style w:type="paragraph" w:styleId="22">
    <w:name w:val="Body Text Indent 3"/>
    <w:basedOn w:val="1"/>
    <w:qFormat/>
    <w:locked/>
    <w:uiPriority w:val="0"/>
    <w:pPr>
      <w:spacing w:line="360" w:lineRule="auto"/>
      <w:ind w:firstLine="482"/>
    </w:pPr>
    <w:rPr>
      <w:sz w:val="24"/>
      <w:szCs w:val="20"/>
    </w:rPr>
  </w:style>
  <w:style w:type="paragraph" w:styleId="23">
    <w:name w:val="toc 2"/>
    <w:basedOn w:val="1"/>
    <w:next w:val="1"/>
    <w:qFormat/>
    <w:locked/>
    <w:uiPriority w:val="0"/>
    <w:pPr>
      <w:ind w:left="420" w:leftChars="200"/>
    </w:pPr>
  </w:style>
  <w:style w:type="paragraph" w:styleId="24">
    <w:name w:val="Body Text 2"/>
    <w:basedOn w:val="1"/>
    <w:qFormat/>
    <w:locked/>
    <w:uiPriority w:val="0"/>
    <w:pPr>
      <w:jc w:val="center"/>
    </w:pPr>
    <w:rPr>
      <w:rFonts w:ascii="黑体" w:eastAsia="黑体"/>
      <w:kern w:val="0"/>
      <w:sz w:val="20"/>
      <w:szCs w:val="20"/>
    </w:rPr>
  </w:style>
  <w:style w:type="paragraph" w:styleId="25">
    <w:name w:val="Message Header"/>
    <w:basedOn w:val="1"/>
    <w:qFormat/>
    <w:locked/>
    <w:uiPriority w:val="99"/>
    <w:pPr>
      <w:widowControl/>
      <w:pBdr>
        <w:top w:val="single" w:color="auto" w:sz="6" w:space="1"/>
        <w:left w:val="single" w:color="auto" w:sz="6" w:space="1"/>
        <w:bottom w:val="single" w:color="auto" w:sz="6" w:space="1"/>
        <w:right w:val="single" w:color="auto" w:sz="6" w:space="1"/>
      </w:pBdr>
      <w:shd w:val="pct20" w:color="auto" w:fill="auto"/>
      <w:spacing w:line="520" w:lineRule="exact"/>
      <w:ind w:left="1080" w:leftChars="500" w:hanging="1080" w:hangingChars="500"/>
    </w:pPr>
    <w:rPr>
      <w:rFonts w:ascii="Arial" w:hAnsi="Arial"/>
      <w:bCs/>
    </w:rPr>
  </w:style>
  <w:style w:type="paragraph" w:styleId="26">
    <w:name w:val="Normal (Web)"/>
    <w:basedOn w:val="1"/>
    <w:link w:val="48"/>
    <w:qFormat/>
    <w:uiPriority w:val="0"/>
    <w:pPr>
      <w:widowControl/>
      <w:spacing w:before="100" w:beforeAutospacing="1" w:after="100" w:afterAutospacing="1"/>
      <w:jc w:val="left"/>
    </w:pPr>
    <w:rPr>
      <w:rFonts w:ascii="宋体" w:hAnsi="宋体"/>
      <w:kern w:val="0"/>
      <w:sz w:val="24"/>
      <w:szCs w:val="20"/>
    </w:rPr>
  </w:style>
  <w:style w:type="paragraph" w:styleId="27">
    <w:name w:val="annotation subject"/>
    <w:basedOn w:val="10"/>
    <w:next w:val="10"/>
    <w:link w:val="49"/>
    <w:semiHidden/>
    <w:qFormat/>
    <w:uiPriority w:val="0"/>
    <w:rPr>
      <w:b/>
      <w:kern w:val="2"/>
    </w:rPr>
  </w:style>
  <w:style w:type="paragraph" w:styleId="28">
    <w:name w:val="Body Text First Indent"/>
    <w:basedOn w:val="1"/>
    <w:next w:val="1"/>
    <w:unhideWhenUsed/>
    <w:qFormat/>
    <w:locked/>
    <w:uiPriority w:val="99"/>
    <w:pPr>
      <w:ind w:firstLine="420" w:firstLineChars="100"/>
    </w:pPr>
  </w:style>
  <w:style w:type="paragraph" w:styleId="29">
    <w:name w:val="Body Text First Indent 2"/>
    <w:basedOn w:val="11"/>
    <w:next w:val="1"/>
    <w:qFormat/>
    <w:locked/>
    <w:uiPriority w:val="0"/>
    <w:pPr>
      <w:ind w:firstLine="420"/>
    </w:pPr>
    <w:rPr>
      <w:kern w:val="2"/>
    </w:rPr>
  </w:style>
  <w:style w:type="table" w:styleId="31">
    <w:name w:val="Table Grid"/>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2">
    <w:name w:val="Table Simple 1"/>
    <w:basedOn w:val="30"/>
    <w:qFormat/>
    <w:locked/>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character" w:styleId="34">
    <w:name w:val="Strong"/>
    <w:basedOn w:val="33"/>
    <w:qFormat/>
    <w:locked/>
    <w:uiPriority w:val="0"/>
    <w:rPr>
      <w:b/>
    </w:rPr>
  </w:style>
  <w:style w:type="character" w:styleId="35">
    <w:name w:val="page number"/>
    <w:basedOn w:val="33"/>
    <w:qFormat/>
    <w:locked/>
    <w:uiPriority w:val="0"/>
  </w:style>
  <w:style w:type="character" w:styleId="36">
    <w:name w:val="Emphasis"/>
    <w:qFormat/>
    <w:locked/>
    <w:uiPriority w:val="20"/>
    <w:rPr>
      <w:i/>
      <w:iCs/>
    </w:rPr>
  </w:style>
  <w:style w:type="character" w:styleId="37">
    <w:name w:val="Hyperlink"/>
    <w:qFormat/>
    <w:locked/>
    <w:uiPriority w:val="0"/>
    <w:rPr>
      <w:color w:val="0000FF"/>
      <w:u w:val="single"/>
    </w:rPr>
  </w:style>
  <w:style w:type="character" w:styleId="38">
    <w:name w:val="annotation reference"/>
    <w:semiHidden/>
    <w:qFormat/>
    <w:uiPriority w:val="0"/>
    <w:rPr>
      <w:sz w:val="21"/>
    </w:rPr>
  </w:style>
  <w:style w:type="paragraph" w:customStyle="1" w:styleId="39">
    <w:name w:val="样式 正文文本缩进 + 行距: 1.5 倍行距"/>
    <w:basedOn w:val="1"/>
    <w:qFormat/>
    <w:uiPriority w:val="0"/>
    <w:pPr>
      <w:spacing w:after="120" w:line="360" w:lineRule="auto"/>
      <w:ind w:left="90" w:leftChars="32" w:firstLine="560" w:firstLineChars="200"/>
    </w:pPr>
    <w:rPr>
      <w:rFonts w:cs="宋体"/>
      <w:sz w:val="24"/>
    </w:rPr>
  </w:style>
  <w:style w:type="paragraph" w:customStyle="1" w:styleId="40">
    <w:name w:val="样式 正文11 + 首行缩进:  2 字符"/>
    <w:basedOn w:val="1"/>
    <w:qFormat/>
    <w:uiPriority w:val="0"/>
    <w:pPr>
      <w:spacing w:line="500" w:lineRule="exact"/>
      <w:ind w:firstLine="560" w:firstLineChars="200"/>
    </w:pPr>
    <w:rPr>
      <w:rFonts w:ascii="宋体" w:hAnsi="宋体" w:cs="宋体"/>
      <w:color w:val="FF0000"/>
      <w:sz w:val="28"/>
      <w:szCs w:val="20"/>
    </w:rPr>
  </w:style>
  <w:style w:type="character" w:customStyle="1" w:styleId="41">
    <w:name w:val="批注文字 字符"/>
    <w:link w:val="10"/>
    <w:qFormat/>
    <w:locked/>
    <w:uiPriority w:val="0"/>
    <w:rPr>
      <w:rFonts w:ascii="Times New Roman" w:hAnsi="Times New Roman" w:eastAsia="宋体"/>
      <w:sz w:val="24"/>
    </w:rPr>
  </w:style>
  <w:style w:type="character" w:customStyle="1" w:styleId="42">
    <w:name w:val="正文文本 字符"/>
    <w:link w:val="2"/>
    <w:qFormat/>
    <w:locked/>
    <w:uiPriority w:val="0"/>
    <w:rPr>
      <w:sz w:val="18"/>
    </w:rPr>
  </w:style>
  <w:style w:type="character" w:customStyle="1" w:styleId="43">
    <w:name w:val="正文文本缩进 字符"/>
    <w:link w:val="11"/>
    <w:semiHidden/>
    <w:qFormat/>
    <w:locked/>
    <w:uiPriority w:val="0"/>
    <w:rPr>
      <w:rFonts w:ascii="Times New Roman" w:hAnsi="Times New Roman" w:eastAsia="宋体"/>
      <w:sz w:val="24"/>
    </w:rPr>
  </w:style>
  <w:style w:type="character" w:customStyle="1" w:styleId="44">
    <w:name w:val="日期 字符1"/>
    <w:link w:val="15"/>
    <w:qFormat/>
    <w:locked/>
    <w:uiPriority w:val="0"/>
    <w:rPr>
      <w:rFonts w:ascii="Times New Roman" w:hAnsi="Times New Roman" w:eastAsia="宋体"/>
      <w:sz w:val="24"/>
    </w:rPr>
  </w:style>
  <w:style w:type="character" w:customStyle="1" w:styleId="45">
    <w:name w:val="批注框文本 字符"/>
    <w:link w:val="17"/>
    <w:semiHidden/>
    <w:qFormat/>
    <w:locked/>
    <w:uiPriority w:val="0"/>
    <w:rPr>
      <w:rFonts w:ascii="Times New Roman" w:hAnsi="Times New Roman" w:eastAsia="宋体"/>
      <w:sz w:val="18"/>
    </w:rPr>
  </w:style>
  <w:style w:type="character" w:customStyle="1" w:styleId="46">
    <w:name w:val="页脚 字符1"/>
    <w:link w:val="18"/>
    <w:qFormat/>
    <w:locked/>
    <w:uiPriority w:val="99"/>
    <w:rPr>
      <w:sz w:val="18"/>
    </w:rPr>
  </w:style>
  <w:style w:type="character" w:customStyle="1" w:styleId="47">
    <w:name w:val="页眉 字符"/>
    <w:link w:val="19"/>
    <w:qFormat/>
    <w:locked/>
    <w:uiPriority w:val="0"/>
    <w:rPr>
      <w:sz w:val="18"/>
    </w:rPr>
  </w:style>
  <w:style w:type="character" w:customStyle="1" w:styleId="48">
    <w:name w:val="普通(网站) 字符"/>
    <w:link w:val="26"/>
    <w:qFormat/>
    <w:locked/>
    <w:uiPriority w:val="0"/>
    <w:rPr>
      <w:rFonts w:ascii="宋体" w:hAnsi="宋体" w:eastAsia="宋体"/>
      <w:sz w:val="24"/>
    </w:rPr>
  </w:style>
  <w:style w:type="character" w:customStyle="1" w:styleId="49">
    <w:name w:val="批注主题 字符"/>
    <w:link w:val="27"/>
    <w:semiHidden/>
    <w:qFormat/>
    <w:locked/>
    <w:uiPriority w:val="0"/>
    <w:rPr>
      <w:rFonts w:ascii="Times New Roman" w:hAnsi="Times New Roman" w:eastAsia="宋体"/>
      <w:b/>
      <w:kern w:val="2"/>
      <w:sz w:val="24"/>
    </w:rPr>
  </w:style>
  <w:style w:type="character" w:customStyle="1" w:styleId="50">
    <w:name w:val="页脚 字符"/>
    <w:qFormat/>
    <w:uiPriority w:val="99"/>
  </w:style>
  <w:style w:type="character" w:customStyle="1" w:styleId="51">
    <w:name w:val="正文文本 字符1"/>
    <w:semiHidden/>
    <w:qFormat/>
    <w:uiPriority w:val="0"/>
    <w:rPr>
      <w:rFonts w:ascii="Times New Roman" w:hAnsi="Times New Roman" w:eastAsia="宋体"/>
      <w:sz w:val="24"/>
    </w:rPr>
  </w:style>
  <w:style w:type="character" w:customStyle="1" w:styleId="52">
    <w:name w:val="表格 Char"/>
    <w:link w:val="53"/>
    <w:qFormat/>
    <w:locked/>
    <w:uiPriority w:val="0"/>
    <w:rPr>
      <w:rFonts w:ascii="宋体"/>
      <w:sz w:val="21"/>
    </w:rPr>
  </w:style>
  <w:style w:type="paragraph" w:customStyle="1" w:styleId="53">
    <w:name w:val="表格"/>
    <w:basedOn w:val="6"/>
    <w:next w:val="1"/>
    <w:link w:val="52"/>
    <w:qFormat/>
    <w:uiPriority w:val="0"/>
    <w:pPr>
      <w:adjustRightInd w:val="0"/>
      <w:snapToGrid w:val="0"/>
      <w:spacing w:beforeLines="10" w:afterLines="10" w:line="259" w:lineRule="auto"/>
      <w:jc w:val="center"/>
    </w:pPr>
    <w:rPr>
      <w:rFonts w:ascii="宋体"/>
      <w:bCs/>
      <w:szCs w:val="20"/>
    </w:rPr>
  </w:style>
  <w:style w:type="paragraph" w:customStyle="1" w:styleId="54">
    <w:name w:val="表格格式"/>
    <w:basedOn w:val="1"/>
    <w:qFormat/>
    <w:uiPriority w:val="99"/>
    <w:rPr>
      <w:rFonts w:ascii="仿宋_GB2312" w:eastAsia="仿宋_GB2312"/>
      <w:bCs/>
      <w:color w:val="000000"/>
      <w:szCs w:val="21"/>
    </w:rPr>
  </w:style>
  <w:style w:type="character" w:customStyle="1" w:styleId="55">
    <w:name w:val="日期 字符"/>
    <w:semiHidden/>
    <w:qFormat/>
    <w:uiPriority w:val="0"/>
    <w:rPr>
      <w:rFonts w:ascii="Times New Roman" w:hAnsi="Times New Roman" w:eastAsia="宋体"/>
      <w:sz w:val="24"/>
    </w:rPr>
  </w:style>
  <w:style w:type="character" w:customStyle="1" w:styleId="56">
    <w:name w:val="批注文字 字符1"/>
    <w:semiHidden/>
    <w:qFormat/>
    <w:uiPriority w:val="0"/>
    <w:rPr>
      <w:rFonts w:ascii="Times New Roman" w:hAnsi="Times New Roman" w:eastAsia="宋体"/>
      <w:sz w:val="24"/>
    </w:rPr>
  </w:style>
  <w:style w:type="paragraph" w:customStyle="1" w:styleId="57">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8">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59">
    <w:name w:val="表格标题s"/>
    <w:basedOn w:val="1"/>
    <w:qFormat/>
    <w:uiPriority w:val="0"/>
    <w:pPr>
      <w:jc w:val="center"/>
    </w:pPr>
    <w:rPr>
      <w:b/>
      <w:bCs/>
      <w:color w:val="000000"/>
      <w:lang w:val="zh-CN"/>
    </w:rPr>
  </w:style>
  <w:style w:type="paragraph" w:customStyle="1" w:styleId="60">
    <w:name w:val="4"/>
    <w:basedOn w:val="1"/>
    <w:qFormat/>
    <w:uiPriority w:val="0"/>
    <w:rPr>
      <w:sz w:val="24"/>
    </w:rPr>
  </w:style>
  <w:style w:type="paragraph" w:customStyle="1" w:styleId="61">
    <w:name w:val="表格文字"/>
    <w:basedOn w:val="62"/>
    <w:next w:val="1"/>
    <w:qFormat/>
    <w:uiPriority w:val="0"/>
    <w:pPr>
      <w:spacing w:before="60" w:after="60" w:line="240" w:lineRule="atLeast"/>
      <w:jc w:val="center"/>
    </w:pPr>
  </w:style>
  <w:style w:type="paragraph" w:customStyle="1" w:styleId="62">
    <w:name w:val="博士论文正文"/>
    <w:basedOn w:val="1"/>
    <w:qFormat/>
    <w:uiPriority w:val="0"/>
    <w:pPr>
      <w:snapToGrid w:val="0"/>
      <w:spacing w:beforeLines="20" w:afterLines="20" w:line="360" w:lineRule="auto"/>
      <w:ind w:firstLine="200" w:firstLineChars="200"/>
      <w:contextualSpacing/>
    </w:pPr>
    <w:rPr>
      <w:kern w:val="0"/>
      <w:sz w:val="24"/>
    </w:rPr>
  </w:style>
  <w:style w:type="paragraph" w:customStyle="1" w:styleId="63">
    <w:name w:val="Default"/>
    <w:basedOn w:val="64"/>
    <w:next w:val="1"/>
    <w:qFormat/>
    <w:uiPriority w:val="0"/>
    <w:pPr>
      <w:autoSpaceDE w:val="0"/>
      <w:autoSpaceDN w:val="0"/>
    </w:pPr>
    <w:rPr>
      <w:rFonts w:ascii="Times New Roman" w:hAnsi="Times New Roman"/>
      <w:color w:val="000000"/>
      <w:sz w:val="24"/>
      <w:szCs w:val="24"/>
    </w:rPr>
  </w:style>
  <w:style w:type="paragraph" w:customStyle="1" w:styleId="64">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纯文本1"/>
    <w:basedOn w:val="1"/>
    <w:qFormat/>
    <w:uiPriority w:val="0"/>
    <w:pPr>
      <w:adjustRightInd w:val="0"/>
      <w:textAlignment w:val="baseline"/>
    </w:pPr>
    <w:rPr>
      <w:rFonts w:ascii="宋体" w:hAnsi="Courier New"/>
      <w:szCs w:val="20"/>
    </w:rPr>
  </w:style>
  <w:style w:type="paragraph" w:customStyle="1" w:styleId="66">
    <w:name w:val="报告书正文"/>
    <w:basedOn w:val="1"/>
    <w:qFormat/>
    <w:uiPriority w:val="0"/>
    <w:pPr>
      <w:spacing w:line="300" w:lineRule="auto"/>
      <w:ind w:firstLine="200" w:firstLineChars="200"/>
    </w:pPr>
    <w:rPr>
      <w:sz w:val="24"/>
      <w:szCs w:val="20"/>
    </w:rPr>
  </w:style>
  <w:style w:type="paragraph" w:customStyle="1" w:styleId="67">
    <w:name w:val="0正文"/>
    <w:unhideWhenUsed/>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 w:type="paragraph" w:customStyle="1" w:styleId="68">
    <w:name w:val="图表标题"/>
    <w:basedOn w:val="1"/>
    <w:next w:val="1"/>
    <w:qFormat/>
    <w:uiPriority w:val="0"/>
    <w:pPr>
      <w:spacing w:before="50" w:beforeLines="50" w:after="50" w:afterLines="50"/>
      <w:jc w:val="center"/>
    </w:pPr>
    <w:rPr>
      <w:b/>
    </w:rPr>
  </w:style>
  <w:style w:type="paragraph" w:customStyle="1" w:styleId="69">
    <w:name w:val="表格内容"/>
    <w:basedOn w:val="1"/>
    <w:next w:val="1"/>
    <w:qFormat/>
    <w:uiPriority w:val="0"/>
    <w:pPr>
      <w:jc w:val="center"/>
    </w:pPr>
  </w:style>
  <w:style w:type="paragraph" w:customStyle="1" w:styleId="70">
    <w:name w:val="表名"/>
    <w:basedOn w:val="1"/>
    <w:qFormat/>
    <w:uiPriority w:val="0"/>
    <w:pPr>
      <w:adjustRightInd w:val="0"/>
      <w:spacing w:before="50" w:beforeLines="50"/>
      <w:jc w:val="center"/>
    </w:pPr>
    <w:rPr>
      <w:b/>
      <w:bCs/>
      <w:kern w:val="0"/>
      <w:szCs w:val="20"/>
    </w:rPr>
  </w:style>
  <w:style w:type="paragraph" w:customStyle="1" w:styleId="71">
    <w:name w:val="Table Paragraph"/>
    <w:basedOn w:val="1"/>
    <w:qFormat/>
    <w:uiPriority w:val="1"/>
    <w:pPr>
      <w:jc w:val="center"/>
    </w:pPr>
  </w:style>
  <w:style w:type="paragraph" w:customStyle="1" w:styleId="72">
    <w:name w:val="样式 小四 黑色 行距: 固定值 25 磅1"/>
    <w:basedOn w:val="1"/>
    <w:qFormat/>
    <w:uiPriority w:val="99"/>
    <w:pPr>
      <w:spacing w:line="500" w:lineRule="exact"/>
      <w:ind w:firstLine="480"/>
    </w:pPr>
    <w:rPr>
      <w:rFonts w:cs="宋体"/>
      <w:color w:val="000000"/>
    </w:rPr>
  </w:style>
  <w:style w:type="paragraph" w:customStyle="1" w:styleId="73">
    <w:name w:val="报告正文-连续目录"/>
    <w:basedOn w:val="1"/>
    <w:qFormat/>
    <w:uiPriority w:val="0"/>
    <w:pPr>
      <w:snapToGrid w:val="0"/>
      <w:spacing w:line="440" w:lineRule="exact"/>
      <w:ind w:firstLine="200" w:firstLineChars="200"/>
    </w:pPr>
    <w:rPr>
      <w:rFonts w:ascii="Tahoma" w:hAnsi="Tahoma"/>
      <w:snapToGrid w:val="0"/>
      <w:kern w:val="0"/>
      <w:sz w:val="24"/>
    </w:rPr>
  </w:style>
  <w:style w:type="paragraph" w:customStyle="1" w:styleId="74">
    <w:name w:val="环保表头"/>
    <w:qFormat/>
    <w:uiPriority w:val="0"/>
    <w:pPr>
      <w:spacing w:before="156" w:beforeLines="50"/>
      <w:jc w:val="center"/>
    </w:pPr>
    <w:rPr>
      <w:rFonts w:ascii="Times New Roman" w:hAnsi="Times New Roman" w:eastAsia="黑体" w:cs="Times New Roman"/>
      <w:color w:val="00B050"/>
      <w:sz w:val="24"/>
      <w:lang w:val="en-US" w:eastAsia="zh-CN" w:bidi="ar-SA"/>
    </w:rPr>
  </w:style>
  <w:style w:type="paragraph" w:customStyle="1" w:styleId="75">
    <w:name w:val="正文-加粗"/>
    <w:basedOn w:val="1"/>
    <w:next w:val="1"/>
    <w:qFormat/>
    <w:uiPriority w:val="0"/>
    <w:pPr>
      <w:widowControl/>
      <w:spacing w:line="360" w:lineRule="auto"/>
      <w:jc w:val="left"/>
      <w:outlineLvl w:val="2"/>
    </w:pPr>
    <w:rPr>
      <w:b/>
      <w:kern w:val="0"/>
    </w:rPr>
  </w:style>
  <w:style w:type="paragraph" w:customStyle="1" w:styleId="76">
    <w:name w:val="L-表格内格式"/>
    <w:basedOn w:val="1"/>
    <w:qFormat/>
    <w:uiPriority w:val="0"/>
    <w:pPr>
      <w:overflowPunct w:val="0"/>
      <w:adjustRightInd w:val="0"/>
      <w:snapToGrid w:val="0"/>
      <w:jc w:val="center"/>
      <w:textAlignment w:val="baseline"/>
    </w:pPr>
    <w:rPr>
      <w:kern w:val="0"/>
    </w:rPr>
  </w:style>
  <w:style w:type="paragraph" w:customStyle="1" w:styleId="77">
    <w:name w:val="正文2"/>
    <w:qFormat/>
    <w:uiPriority w:val="0"/>
    <w:pPr>
      <w:widowControl w:val="0"/>
      <w:adjustRightInd w:val="0"/>
      <w:spacing w:after="160" w:line="360" w:lineRule="atLeast"/>
      <w:jc w:val="both"/>
      <w:textAlignment w:val="baseline"/>
    </w:pPr>
    <w:rPr>
      <w:rFonts w:ascii="宋体" w:hAnsi="Times New Roman" w:eastAsia="宋体" w:cs="Times New Roman"/>
      <w:kern w:val="2"/>
      <w:sz w:val="24"/>
      <w:szCs w:val="22"/>
      <w:lang w:val="en-US" w:eastAsia="zh-CN" w:bidi="ar-SA"/>
    </w:rPr>
  </w:style>
  <w:style w:type="paragraph" w:customStyle="1" w:styleId="78">
    <w:name w:val="车正文"/>
    <w:basedOn w:val="1"/>
    <w:qFormat/>
    <w:uiPriority w:val="0"/>
    <w:pPr>
      <w:adjustRightInd w:val="0"/>
      <w:snapToGrid w:val="0"/>
      <w:spacing w:line="360" w:lineRule="auto"/>
      <w:ind w:firstLine="480" w:firstLineChars="200"/>
    </w:pPr>
    <w:rPr>
      <w:sz w:val="24"/>
    </w:rPr>
  </w:style>
  <w:style w:type="paragraph" w:customStyle="1" w:styleId="79">
    <w:name w:val="0表头环评"/>
    <w:next w:val="1"/>
    <w:qFormat/>
    <w:uiPriority w:val="0"/>
    <w:pPr>
      <w:widowControl w:val="0"/>
      <w:numPr>
        <w:ilvl w:val="0"/>
        <w:numId w:val="2"/>
      </w:numPr>
      <w:jc w:val="center"/>
    </w:pPr>
    <w:rPr>
      <w:rFonts w:ascii="宋体" w:hAnsi="宋体" w:eastAsia="宋体" w:cs="等线"/>
      <w:b/>
      <w:bCs/>
      <w:color w:val="000000"/>
      <w:kern w:val="2"/>
      <w:sz w:val="21"/>
      <w:szCs w:val="24"/>
      <w:lang w:val="en-US" w:eastAsia="zh-CN" w:bidi="ar-SA"/>
    </w:rPr>
  </w:style>
  <w:style w:type="paragraph" w:customStyle="1" w:styleId="80">
    <w:name w:val="1"/>
    <w:basedOn w:val="1"/>
    <w:next w:val="12"/>
    <w:qFormat/>
    <w:uiPriority w:val="0"/>
    <w:pPr>
      <w:autoSpaceDE w:val="0"/>
      <w:autoSpaceDN w:val="0"/>
      <w:adjustRightInd w:val="0"/>
      <w:spacing w:line="360" w:lineRule="auto"/>
    </w:pPr>
    <w:rPr>
      <w:rFonts w:hint="eastAsia" w:ascii="楷体_GB2312" w:eastAsia="楷体_GB2312"/>
      <w:kern w:val="0"/>
      <w:sz w:val="28"/>
    </w:rPr>
  </w:style>
  <w:style w:type="paragraph" w:customStyle="1" w:styleId="81">
    <w:name w:val="表头"/>
    <w:basedOn w:val="6"/>
    <w:next w:val="1"/>
    <w:qFormat/>
    <w:uiPriority w:val="0"/>
    <w:pPr>
      <w:adjustRightInd w:val="0"/>
      <w:snapToGrid w:val="0"/>
      <w:ind w:firstLine="0" w:firstLineChars="0"/>
      <w:jc w:val="center"/>
    </w:pPr>
    <w:rPr>
      <w:b/>
      <w:color w:val="000000"/>
      <w:kern w:val="2"/>
      <w:sz w:val="24"/>
    </w:rPr>
  </w:style>
  <w:style w:type="paragraph" w:customStyle="1" w:styleId="82">
    <w:name w:val="表格格"/>
    <w:basedOn w:val="1"/>
    <w:next w:val="83"/>
    <w:qFormat/>
    <w:uiPriority w:val="0"/>
    <w:pPr>
      <w:adjustRightInd w:val="0"/>
      <w:snapToGrid w:val="0"/>
      <w:jc w:val="center"/>
    </w:pPr>
    <w:rPr>
      <w:rFonts w:hint="eastAsia"/>
      <w:szCs w:val="21"/>
    </w:rPr>
  </w:style>
  <w:style w:type="paragraph" w:customStyle="1" w:styleId="83">
    <w:name w:val="新正文"/>
    <w:basedOn w:val="1"/>
    <w:qFormat/>
    <w:uiPriority w:val="0"/>
    <w:pPr>
      <w:adjustRightInd w:val="0"/>
      <w:snapToGrid w:val="0"/>
      <w:spacing w:line="360" w:lineRule="auto"/>
      <w:ind w:firstLine="720" w:firstLineChars="200"/>
    </w:pPr>
    <w:rPr>
      <w:sz w:val="24"/>
    </w:rPr>
  </w:style>
  <w:style w:type="paragraph" w:customStyle="1" w:styleId="84">
    <w:name w:val="正文报告表"/>
    <w:qFormat/>
    <w:uiPriority w:val="0"/>
    <w:pPr>
      <w:spacing w:line="360" w:lineRule="auto"/>
      <w:ind w:firstLine="720" w:firstLineChars="200"/>
    </w:pPr>
    <w:rPr>
      <w:rFonts w:ascii="Times New Roman" w:hAnsi="Times New Roman" w:eastAsia="宋体" w:cs="Times New Roman"/>
      <w:sz w:val="21"/>
      <w:lang w:val="en-US" w:eastAsia="zh-CN" w:bidi="ar-SA"/>
    </w:rPr>
  </w:style>
  <w:style w:type="paragraph" w:customStyle="1" w:styleId="85">
    <w:name w:val="B环评正文"/>
    <w:basedOn w:val="1"/>
    <w:next w:val="29"/>
    <w:qFormat/>
    <w:uiPriority w:val="0"/>
    <w:pPr>
      <w:adjustRightInd w:val="0"/>
      <w:spacing w:line="360" w:lineRule="auto"/>
      <w:ind w:firstLine="480" w:firstLineChars="200"/>
    </w:pPr>
    <w:rPr>
      <w:bCs/>
      <w:color w:val="000000"/>
      <w:kern w:val="0"/>
      <w:sz w:val="24"/>
      <w:szCs w:val="28"/>
    </w:rPr>
  </w:style>
  <w:style w:type="paragraph" w:customStyle="1" w:styleId="86">
    <w:name w:val="xl24"/>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customStyle="1" w:styleId="87">
    <w:name w:val="表内容"/>
    <w:basedOn w:val="1"/>
    <w:next w:val="1"/>
    <w:qFormat/>
    <w:uiPriority w:val="0"/>
    <w:pPr>
      <w:spacing w:line="320" w:lineRule="exact"/>
      <w:jc w:val="center"/>
    </w:pPr>
  </w:style>
  <w:style w:type="paragraph" w:customStyle="1" w:styleId="88">
    <w:name w:val="表格标题样式"/>
    <w:basedOn w:val="28"/>
    <w:qFormat/>
    <w:uiPriority w:val="0"/>
    <w:pPr>
      <w:spacing w:line="480" w:lineRule="exact"/>
      <w:ind w:firstLine="0"/>
      <w:jc w:val="center"/>
    </w:pPr>
    <w:rPr>
      <w:rFonts w:eastAsia="黑体"/>
      <w:color w:val="0070C0"/>
      <w:sz w:val="24"/>
    </w:rPr>
  </w:style>
  <w:style w:type="paragraph" w:customStyle="1" w:styleId="89">
    <w:name w:val="【正文】"/>
    <w:basedOn w:val="1"/>
    <w:next w:val="25"/>
    <w:qFormat/>
    <w:uiPriority w:val="0"/>
    <w:pPr>
      <w:adjustRightInd w:val="0"/>
      <w:snapToGrid w:val="0"/>
      <w:spacing w:line="480" w:lineRule="exact"/>
      <w:ind w:firstLine="200" w:firstLineChars="200"/>
    </w:pPr>
    <w:rPr>
      <w:color w:val="0070C0"/>
    </w:rPr>
  </w:style>
  <w:style w:type="paragraph" w:customStyle="1" w:styleId="90">
    <w:name w:val="韩笑正文"/>
    <w:basedOn w:val="1"/>
    <w:qFormat/>
    <w:uiPriority w:val="0"/>
    <w:pPr>
      <w:spacing w:line="360" w:lineRule="auto"/>
      <w:ind w:firstLine="480" w:firstLineChars="200"/>
    </w:pPr>
    <w:rPr>
      <w:sz w:val="24"/>
    </w:rPr>
  </w:style>
  <w:style w:type="paragraph" w:customStyle="1" w:styleId="91">
    <w:name w:val="环评标准正文"/>
    <w:basedOn w:val="1"/>
    <w:qFormat/>
    <w:uiPriority w:val="0"/>
    <w:pPr>
      <w:spacing w:line="360" w:lineRule="auto"/>
      <w:ind w:firstLine="425" w:firstLineChars="177"/>
    </w:pPr>
    <w:rPr>
      <w:sz w:val="24"/>
    </w:rPr>
  </w:style>
  <w:style w:type="paragraph" w:customStyle="1" w:styleId="92">
    <w:name w:val="EIS_TABLE_TEXT"/>
    <w:basedOn w:val="1"/>
    <w:qFormat/>
    <w:uiPriority w:val="0"/>
    <w:pPr>
      <w:adjustRightInd w:val="0"/>
      <w:snapToGrid w:val="0"/>
      <w:contextualSpacing/>
      <w:jc w:val="center"/>
    </w:pPr>
    <w:rPr>
      <w:szCs w:val="21"/>
    </w:rPr>
  </w:style>
  <w:style w:type="paragraph" w:customStyle="1" w:styleId="93">
    <w:name w:val="EIS_TEXT"/>
    <w:basedOn w:val="1"/>
    <w:qFormat/>
    <w:uiPriority w:val="0"/>
    <w:pPr>
      <w:adjustRightInd w:val="0"/>
      <w:snapToGrid w:val="0"/>
      <w:spacing w:beforeLines="20" w:afterLines="20" w:line="360" w:lineRule="auto"/>
      <w:ind w:firstLine="480" w:firstLineChars="200"/>
      <w:contextualSpacing/>
    </w:pPr>
    <w:rPr>
      <w:sz w:val="24"/>
    </w:rPr>
  </w:style>
  <w:style w:type="paragraph" w:customStyle="1" w:styleId="94">
    <w:name w:val="环评正文"/>
    <w:basedOn w:val="1"/>
    <w:qFormat/>
    <w:uiPriority w:val="0"/>
    <w:pPr>
      <w:spacing w:line="360" w:lineRule="auto"/>
      <w:ind w:firstLine="425" w:firstLineChars="177"/>
    </w:pPr>
    <w:rPr>
      <w:rFonts w:ascii="宋体" w:hAnsi="宋体"/>
      <w:kern w:val="0"/>
      <w:sz w:val="24"/>
    </w:rPr>
  </w:style>
  <w:style w:type="paragraph" w:customStyle="1" w:styleId="95">
    <w:name w:val="Char Char Char Char Char Char1"/>
    <w:basedOn w:val="1"/>
    <w:qFormat/>
    <w:uiPriority w:val="0"/>
  </w:style>
  <w:style w:type="paragraph" w:customStyle="1" w:styleId="96">
    <w:name w:val="样式 正文缩进 + 首行缩进:  2 字符"/>
    <w:basedOn w:val="6"/>
    <w:qFormat/>
    <w:uiPriority w:val="0"/>
    <w:pPr>
      <w:tabs>
        <w:tab w:val="left" w:pos="539"/>
        <w:tab w:val="left" w:pos="1257"/>
        <w:tab w:val="left" w:pos="2880"/>
        <w:tab w:val="left" w:pos="6300"/>
      </w:tabs>
      <w:spacing w:line="360" w:lineRule="auto"/>
      <w:ind w:firstLine="480" w:firstLineChars="200"/>
      <w:jc w:val="left"/>
    </w:pPr>
    <w:rPr>
      <w:rFonts w:ascii="Times New Roman" w:hAnsi="Times New Roman" w:eastAsia="宋体" w:cs="宋体"/>
      <w:color w:val="000000"/>
      <w:sz w:val="24"/>
      <w:szCs w:val="24"/>
    </w:rPr>
  </w:style>
  <w:style w:type="paragraph" w:customStyle="1" w:styleId="97">
    <w:name w:val="雷丹正文"/>
    <w:basedOn w:val="1"/>
    <w:qFormat/>
    <w:uiPriority w:val="0"/>
    <w:pPr>
      <w:adjustRightInd w:val="0"/>
      <w:snapToGrid w:val="0"/>
      <w:spacing w:line="360" w:lineRule="auto"/>
      <w:ind w:firstLine="480" w:firstLineChars="200"/>
      <w:jc w:val="both"/>
    </w:pPr>
    <w:rPr>
      <w:rFonts w:ascii="Times New Roman" w:hAnsi="Times New Roman"/>
    </w:rPr>
  </w:style>
  <w:style w:type="paragraph" w:customStyle="1" w:styleId="98">
    <w:name w:val="样式 2-标准-正文 + 非加粗 首行缩进:  2 字符"/>
    <w:basedOn w:val="99"/>
    <w:qFormat/>
    <w:uiPriority w:val="0"/>
    <w:rPr>
      <w:rFonts w:cs="宋体"/>
      <w:szCs w:val="20"/>
    </w:rPr>
  </w:style>
  <w:style w:type="paragraph" w:customStyle="1" w:styleId="99">
    <w:name w:val="2-标准-正文"/>
    <w:basedOn w:val="1"/>
    <w:qFormat/>
    <w:uiPriority w:val="0"/>
    <w:pPr>
      <w:adjustRightInd w:val="0"/>
      <w:snapToGrid w:val="0"/>
      <w:spacing w:line="360" w:lineRule="auto"/>
      <w:ind w:firstLine="480" w:firstLineChars="200"/>
      <w:jc w:val="left"/>
    </w:pPr>
    <w:rPr>
      <w:sz w:val="24"/>
      <w:szCs w:val="24"/>
    </w:rPr>
  </w:style>
  <w:style w:type="paragraph" w:customStyle="1" w:styleId="100">
    <w:name w:val="标准正文"/>
    <w:basedOn w:val="1"/>
    <w:qFormat/>
    <w:uiPriority w:val="0"/>
    <w:pPr>
      <w:ind w:firstLine="600"/>
    </w:pPr>
    <w:rPr>
      <w:rFonts w:ascii="Calibri" w:hAnsi="Calibri"/>
      <w:spacing w:val="10"/>
      <w:kern w:val="0"/>
      <w:szCs w:val="28"/>
    </w:rPr>
  </w:style>
  <w:style w:type="paragraph" w:customStyle="1" w:styleId="101">
    <w:name w:val="李-正文"/>
    <w:basedOn w:val="1"/>
    <w:qFormat/>
    <w:uiPriority w:val="0"/>
    <w:pPr>
      <w:spacing w:line="360" w:lineRule="auto"/>
      <w:ind w:firstLine="560" w:firstLineChars="200"/>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jpe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52</Pages>
  <Words>29295</Words>
  <Characters>34293</Characters>
  <Lines>350</Lines>
  <Paragraphs>98</Paragraphs>
  <TotalTime>1</TotalTime>
  <ScaleCrop>false</ScaleCrop>
  <LinksUpToDate>false</LinksUpToDate>
  <CharactersWithSpaces>34600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2020-12-24T01:29:00Z</dcterms:created>
  <dc:creator>lhj</dc:creator>
  <cp:lastModifiedBy>Administrator</cp:lastModifiedBy>
  <cp:lastPrinted>2023-03-06T00:42:00Z</cp:lastPrinted>
  <dcterms:modified xsi:type="dcterms:W3CDTF">2023-05-15T03:22:40Z</dcterms:modified>
  <dc:title>附件2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D08625C46A164C0B9D9E57F9C415D046_13</vt:lpwstr>
  </property>
</Properties>
</file>